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r>
        <w:rPr>
          <w:rFonts w:hint="eastAsia"/>
          <w:lang w:val="en-US" w:eastAsia="zh-CN"/>
        </w:rPr>
        <w:t xml:space="preserve"> </w:t>
      </w:r>
      <w:r>
        <w:rPr>
          <w:rFonts w:hint="eastAsia"/>
        </w:rPr>
        <w:t xml:space="preserve"> </w:t>
      </w:r>
    </w:p>
    <w:p/>
    <w:p>
      <w:pPr>
        <w:jc w:val="center"/>
        <w:rPr>
          <w:b/>
          <w:bCs w:val="0"/>
          <w:spacing w:val="10"/>
          <w:sz w:val="52"/>
          <w:szCs w:val="52"/>
        </w:rPr>
      </w:pPr>
    </w:p>
    <w:p>
      <w:pPr>
        <w:keepNext w:val="0"/>
        <w:keepLines w:val="0"/>
        <w:widowControl/>
        <w:suppressLineNumbers w:val="0"/>
        <w:spacing w:line="720" w:lineRule="auto"/>
        <w:jc w:val="center"/>
        <w:rPr>
          <w:rFonts w:hint="eastAsia" w:cs="Times New Roman"/>
          <w:b/>
          <w:bCs w:val="0"/>
          <w:color w:val="000000"/>
          <w:kern w:val="0"/>
          <w:sz w:val="48"/>
          <w:szCs w:val="48"/>
          <w:lang w:val="en-US" w:eastAsia="zh-CN" w:bidi="ar"/>
        </w:rPr>
      </w:pPr>
      <w:r>
        <w:rPr>
          <w:rFonts w:hint="eastAsia" w:cs="Times New Roman"/>
          <w:b/>
          <w:bCs w:val="0"/>
          <w:color w:val="000000"/>
          <w:kern w:val="0"/>
          <w:sz w:val="48"/>
          <w:szCs w:val="48"/>
          <w:lang w:val="en-US" w:eastAsia="zh-CN" w:bidi="ar"/>
        </w:rPr>
        <w:t>山屿</w:t>
      </w:r>
      <w:r>
        <w:rPr>
          <w:rFonts w:hint="default" w:ascii="Times New Roman" w:hAnsi="Times New Roman" w:eastAsia="宋体" w:cs="Times New Roman"/>
          <w:b/>
          <w:bCs w:val="0"/>
          <w:color w:val="000000"/>
          <w:kern w:val="0"/>
          <w:sz w:val="48"/>
          <w:szCs w:val="48"/>
          <w:lang w:val="en-US" w:eastAsia="zh-CN" w:bidi="ar"/>
        </w:rPr>
        <w:t>城</w:t>
      </w:r>
      <w:r>
        <w:rPr>
          <w:rFonts w:hint="eastAsia" w:cs="Times New Roman"/>
          <w:b/>
          <w:bCs w:val="0"/>
          <w:color w:val="000000"/>
          <w:kern w:val="0"/>
          <w:sz w:val="48"/>
          <w:szCs w:val="48"/>
          <w:lang w:val="en-US" w:eastAsia="zh-CN" w:bidi="ar"/>
        </w:rPr>
        <w:t>1、22、23、25、26、27号楼</w:t>
      </w:r>
    </w:p>
    <w:p>
      <w:pPr>
        <w:keepNext w:val="0"/>
        <w:keepLines w:val="0"/>
        <w:widowControl/>
        <w:suppressLineNumbers w:val="0"/>
        <w:spacing w:line="720" w:lineRule="auto"/>
        <w:jc w:val="center"/>
        <w:rPr>
          <w:rFonts w:hint="default" w:ascii="Times New Roman" w:hAnsi="Times New Roman" w:eastAsia="宋体" w:cs="Times New Roman"/>
          <w:b/>
          <w:bCs w:val="0"/>
          <w:color w:val="000000"/>
          <w:kern w:val="0"/>
          <w:sz w:val="48"/>
          <w:szCs w:val="48"/>
          <w:lang w:val="en-US" w:eastAsia="zh-CN" w:bidi="ar"/>
        </w:rPr>
      </w:pPr>
      <w:r>
        <w:rPr>
          <w:rFonts w:hint="eastAsia" w:cs="Times New Roman"/>
          <w:b/>
          <w:bCs w:val="0"/>
          <w:color w:val="000000"/>
          <w:kern w:val="0"/>
          <w:sz w:val="48"/>
          <w:szCs w:val="48"/>
          <w:lang w:val="en-US" w:eastAsia="zh-CN" w:bidi="ar"/>
        </w:rPr>
        <w:t>及2、3号车库建设项目</w:t>
      </w:r>
    </w:p>
    <w:p>
      <w:pPr>
        <w:keepNext w:val="0"/>
        <w:keepLines w:val="0"/>
        <w:widowControl/>
        <w:suppressLineNumbers w:val="0"/>
        <w:spacing w:line="720" w:lineRule="auto"/>
        <w:jc w:val="center"/>
        <w:rPr>
          <w:b/>
          <w:bCs w:val="0"/>
          <w:sz w:val="52"/>
          <w:szCs w:val="52"/>
        </w:rPr>
      </w:pPr>
      <w:r>
        <w:rPr>
          <w:rFonts w:hint="eastAsia" w:ascii="宋体" w:hAnsi="宋体" w:eastAsia="宋体" w:cs="宋体"/>
          <w:b/>
          <w:bCs w:val="0"/>
          <w:color w:val="000000"/>
          <w:kern w:val="0"/>
          <w:sz w:val="52"/>
          <w:szCs w:val="52"/>
          <w:lang w:val="en-US" w:eastAsia="zh-CN" w:bidi="ar"/>
        </w:rPr>
        <w:t>竣工环境保护验收监测报告</w:t>
      </w:r>
    </w:p>
    <w:p>
      <w:pPr>
        <w:jc w:val="center"/>
        <w:rPr>
          <w:b/>
          <w:sz w:val="48"/>
          <w:szCs w:val="48"/>
        </w:rPr>
      </w:pPr>
    </w:p>
    <w:p>
      <w:pPr>
        <w:jc w:val="center"/>
        <w:rPr>
          <w:b/>
          <w:sz w:val="52"/>
          <w:szCs w:val="52"/>
        </w:rPr>
      </w:pPr>
    </w:p>
    <w:p>
      <w:pPr>
        <w:jc w:val="center"/>
        <w:rPr>
          <w:b/>
          <w:sz w:val="52"/>
          <w:szCs w:val="52"/>
        </w:rPr>
      </w:pPr>
    </w:p>
    <w:p>
      <w:pPr>
        <w:jc w:val="center"/>
        <w:rPr>
          <w:b/>
          <w:sz w:val="52"/>
          <w:szCs w:val="52"/>
        </w:rPr>
      </w:pPr>
    </w:p>
    <w:p>
      <w:pPr>
        <w:jc w:val="center"/>
        <w:rPr>
          <w:b/>
          <w:sz w:val="52"/>
          <w:szCs w:val="52"/>
        </w:rPr>
      </w:pPr>
    </w:p>
    <w:p>
      <w:pPr>
        <w:rPr>
          <w:b/>
          <w:sz w:val="52"/>
          <w:szCs w:val="52"/>
        </w:rPr>
      </w:pPr>
    </w:p>
    <w:p>
      <w:pPr>
        <w:jc w:val="center"/>
        <w:rPr>
          <w:b/>
          <w:sz w:val="52"/>
          <w:szCs w:val="52"/>
        </w:rPr>
      </w:pPr>
    </w:p>
    <w:p>
      <w:pPr>
        <w:spacing w:line="600" w:lineRule="exact"/>
        <w:rPr>
          <w:b/>
          <w:spacing w:val="10"/>
          <w:sz w:val="32"/>
          <w:szCs w:val="28"/>
        </w:rPr>
      </w:pPr>
    </w:p>
    <w:p>
      <w:pPr>
        <w:spacing w:before="100" w:beforeAutospacing="1" w:after="100" w:afterAutospacing="1"/>
        <w:ind w:firstLine="1177" w:firstLineChars="345"/>
        <w:jc w:val="left"/>
        <w:rPr>
          <w:rFonts w:hint="eastAsia"/>
          <w:b/>
          <w:spacing w:val="10"/>
          <w:sz w:val="32"/>
          <w:szCs w:val="28"/>
        </w:rPr>
      </w:pPr>
      <w:r>
        <w:rPr>
          <w:rFonts w:hint="eastAsia"/>
          <w:b/>
          <w:spacing w:val="10"/>
          <w:sz w:val="32"/>
          <w:szCs w:val="28"/>
        </w:rPr>
        <w:t>建设单位:</w:t>
      </w:r>
      <w:r>
        <w:rPr>
          <w:rFonts w:hint="eastAsia" w:hAnsi="宋体"/>
          <w:sz w:val="24"/>
        </w:rPr>
        <w:t xml:space="preserve"> </w:t>
      </w:r>
      <w:r>
        <w:rPr>
          <w:rFonts w:hint="eastAsia"/>
          <w:b/>
          <w:spacing w:val="10"/>
          <w:sz w:val="32"/>
          <w:szCs w:val="28"/>
          <w:lang w:val="en-US" w:eastAsia="zh-CN"/>
        </w:rPr>
        <w:t>重庆市万州区鸿鸥地产发展有限公司</w:t>
      </w:r>
    </w:p>
    <w:p>
      <w:pPr>
        <w:spacing w:before="100" w:beforeAutospacing="1" w:after="100" w:afterAutospacing="1"/>
        <w:ind w:firstLine="1177" w:firstLineChars="345"/>
        <w:jc w:val="left"/>
        <w:rPr>
          <w:rFonts w:hint="eastAsia" w:eastAsia="宋体"/>
          <w:b/>
          <w:spacing w:val="10"/>
          <w:sz w:val="32"/>
          <w:szCs w:val="28"/>
          <w:lang w:eastAsia="zh-CN"/>
        </w:rPr>
      </w:pPr>
      <w:r>
        <w:rPr>
          <w:rFonts w:hint="eastAsia"/>
          <w:b/>
          <w:spacing w:val="10"/>
          <w:sz w:val="32"/>
          <w:szCs w:val="28"/>
        </w:rPr>
        <w:t xml:space="preserve">编制单位: </w:t>
      </w:r>
      <w:r>
        <w:rPr>
          <w:rFonts w:hint="eastAsia"/>
          <w:b/>
          <w:spacing w:val="10"/>
          <w:sz w:val="32"/>
          <w:szCs w:val="28"/>
          <w:lang w:eastAsia="zh-CN"/>
        </w:rPr>
        <w:t>重庆伟达环保科技有限责任公司</w:t>
      </w:r>
    </w:p>
    <w:p>
      <w:pPr>
        <w:jc w:val="center"/>
        <w:rPr>
          <w:b/>
          <w:sz w:val="28"/>
          <w:szCs w:val="28"/>
        </w:rPr>
      </w:pPr>
    </w:p>
    <w:p>
      <w:pPr>
        <w:jc w:val="center"/>
        <w:rPr>
          <w:b/>
          <w:spacing w:val="10"/>
          <w:sz w:val="28"/>
          <w:szCs w:val="28"/>
        </w:rPr>
      </w:pPr>
      <w:r>
        <w:rPr>
          <w:b/>
          <w:sz w:val="28"/>
          <w:szCs w:val="28"/>
        </w:rPr>
        <w:t>二〇二</w:t>
      </w:r>
      <w:r>
        <w:rPr>
          <w:rFonts w:hint="eastAsia"/>
          <w:b/>
          <w:sz w:val="28"/>
          <w:szCs w:val="28"/>
          <w:lang w:eastAsia="zh-CN"/>
        </w:rPr>
        <w:t>一</w:t>
      </w:r>
      <w:r>
        <w:rPr>
          <w:rFonts w:hint="eastAsia"/>
          <w:b/>
          <w:spacing w:val="10"/>
          <w:sz w:val="32"/>
          <w:szCs w:val="28"/>
        </w:rPr>
        <w:t>年</w:t>
      </w:r>
      <w:r>
        <w:rPr>
          <w:rFonts w:hint="eastAsia"/>
          <w:b/>
          <w:spacing w:val="10"/>
          <w:sz w:val="32"/>
          <w:szCs w:val="28"/>
          <w:lang w:eastAsia="zh-CN"/>
        </w:rPr>
        <w:t>七</w:t>
      </w:r>
      <w:r>
        <w:rPr>
          <w:rFonts w:hint="eastAsia"/>
          <w:b/>
          <w:spacing w:val="10"/>
          <w:sz w:val="32"/>
          <w:szCs w:val="28"/>
        </w:rPr>
        <w:t>月</w:t>
      </w:r>
    </w:p>
    <w:p>
      <w:pPr>
        <w:jc w:val="left"/>
        <w:rPr>
          <w:b/>
          <w:sz w:val="28"/>
          <w:szCs w:val="28"/>
        </w:rPr>
      </w:pPr>
      <w:r>
        <w:rPr>
          <w:b/>
          <w:sz w:val="28"/>
          <w:szCs w:val="28"/>
        </w:rPr>
        <w:t xml:space="preserve">                       </w:t>
      </w:r>
    </w:p>
    <w:p>
      <w:pPr>
        <w:jc w:val="left"/>
        <w:rPr>
          <w:b/>
          <w:sz w:val="28"/>
          <w:szCs w:val="28"/>
        </w:rPr>
      </w:pPr>
    </w:p>
    <w:p>
      <w:pPr>
        <w:spacing w:line="360" w:lineRule="auto"/>
        <w:ind w:firstLine="562" w:firstLineChars="200"/>
        <w:rPr>
          <w:b/>
          <w:sz w:val="28"/>
          <w:szCs w:val="28"/>
        </w:rPr>
      </w:pPr>
      <w:bookmarkStart w:id="0" w:name="_Toc130912622"/>
    </w:p>
    <w:p>
      <w:pPr>
        <w:keepNext w:val="0"/>
        <w:keepLines w:val="0"/>
        <w:widowControl/>
        <w:suppressLineNumbers w:val="0"/>
        <w:jc w:val="left"/>
        <w:rPr>
          <w:rFonts w:hint="eastAsia" w:ascii="宋体" w:hAnsi="宋体" w:eastAsia="宋体" w:cs="宋体"/>
          <w:b w:val="0"/>
          <w:bCs/>
          <w:color w:val="000000"/>
          <w:kern w:val="0"/>
          <w:sz w:val="30"/>
          <w:szCs w:val="30"/>
          <w:lang w:val="en-US" w:eastAsia="zh-CN" w:bidi="ar"/>
        </w:rPr>
      </w:pPr>
      <w:r>
        <w:rPr>
          <w:rFonts w:hint="eastAsia" w:ascii="宋体" w:hAnsi="宋体" w:eastAsia="宋体" w:cs="宋体"/>
          <w:b/>
          <w:bCs w:val="0"/>
          <w:color w:val="000000"/>
          <w:kern w:val="0"/>
          <w:sz w:val="30"/>
          <w:szCs w:val="30"/>
          <w:lang w:val="en-US" w:eastAsia="zh-CN" w:bidi="ar"/>
        </w:rPr>
        <w:t>建设单位：</w:t>
      </w:r>
      <w:r>
        <w:rPr>
          <w:rFonts w:hint="eastAsia" w:ascii="宋体" w:hAnsi="宋体" w:cs="宋体"/>
          <w:b w:val="0"/>
          <w:bCs/>
          <w:color w:val="000000"/>
          <w:kern w:val="0"/>
          <w:sz w:val="30"/>
          <w:szCs w:val="30"/>
          <w:lang w:val="en-US" w:eastAsia="zh-CN" w:bidi="ar"/>
        </w:rPr>
        <w:t>重庆市万州区鸿鸥地产发展有限公司</w:t>
      </w:r>
    </w:p>
    <w:p>
      <w:pPr>
        <w:keepNext w:val="0"/>
        <w:keepLines w:val="0"/>
        <w:widowControl/>
        <w:suppressLineNumbers w:val="0"/>
        <w:jc w:val="left"/>
        <w:rPr>
          <w:rFonts w:hint="eastAsia" w:ascii="宋体" w:hAnsi="宋体" w:eastAsia="宋体" w:cs="宋体"/>
          <w:b w:val="0"/>
          <w:bCs/>
          <w:color w:val="000000"/>
          <w:kern w:val="0"/>
          <w:sz w:val="30"/>
          <w:szCs w:val="30"/>
          <w:lang w:val="en-US" w:eastAsia="zh-CN" w:bidi="ar"/>
        </w:rPr>
      </w:pPr>
      <w:r>
        <w:rPr>
          <w:rFonts w:hint="eastAsia" w:ascii="宋体" w:hAnsi="宋体" w:eastAsia="宋体" w:cs="宋体"/>
          <w:b/>
          <w:bCs w:val="0"/>
          <w:color w:val="000000"/>
          <w:kern w:val="0"/>
          <w:sz w:val="30"/>
          <w:szCs w:val="30"/>
          <w:lang w:val="en-US" w:eastAsia="zh-CN" w:bidi="ar"/>
        </w:rPr>
        <w:t>法人代表：</w:t>
      </w:r>
      <w:r>
        <w:rPr>
          <w:rFonts w:hint="eastAsia" w:ascii="宋体" w:hAnsi="宋体" w:eastAsia="宋体" w:cs="宋体"/>
          <w:b w:val="0"/>
          <w:bCs/>
          <w:color w:val="000000"/>
          <w:kern w:val="0"/>
          <w:sz w:val="30"/>
          <w:szCs w:val="30"/>
          <w:lang w:val="en-US" w:eastAsia="zh-CN" w:bidi="ar"/>
        </w:rPr>
        <w:t>颜静宁</w:t>
      </w:r>
    </w:p>
    <w:p>
      <w:pPr>
        <w:keepNext w:val="0"/>
        <w:keepLines w:val="0"/>
        <w:widowControl/>
        <w:suppressLineNumbers w:val="0"/>
        <w:jc w:val="left"/>
        <w:rPr>
          <w:rFonts w:hint="eastAsia" w:ascii="宋体" w:hAnsi="宋体" w:eastAsia="宋体" w:cs="宋体"/>
          <w:b/>
          <w:bCs w:val="0"/>
          <w:color w:val="000000"/>
          <w:kern w:val="0"/>
          <w:sz w:val="30"/>
          <w:szCs w:val="30"/>
          <w:lang w:val="en-US" w:eastAsia="zh-CN" w:bidi="ar"/>
        </w:rPr>
      </w:pPr>
    </w:p>
    <w:p>
      <w:pPr>
        <w:keepNext w:val="0"/>
        <w:keepLines w:val="0"/>
        <w:widowControl/>
        <w:suppressLineNumbers w:val="0"/>
        <w:jc w:val="left"/>
        <w:rPr>
          <w:rFonts w:hint="eastAsia" w:ascii="宋体" w:hAnsi="宋体" w:eastAsia="宋体" w:cs="宋体"/>
          <w:b/>
          <w:bCs w:val="0"/>
          <w:color w:val="000000"/>
          <w:kern w:val="0"/>
          <w:sz w:val="30"/>
          <w:szCs w:val="30"/>
          <w:lang w:val="en-US" w:eastAsia="zh-CN" w:bidi="ar"/>
        </w:rPr>
      </w:pPr>
    </w:p>
    <w:p>
      <w:pPr>
        <w:keepNext w:val="0"/>
        <w:keepLines w:val="0"/>
        <w:widowControl/>
        <w:suppressLineNumbers w:val="0"/>
        <w:jc w:val="left"/>
        <w:rPr>
          <w:b w:val="0"/>
          <w:bCs/>
          <w:sz w:val="30"/>
          <w:szCs w:val="30"/>
        </w:rPr>
      </w:pPr>
      <w:r>
        <w:rPr>
          <w:rFonts w:hint="eastAsia" w:ascii="宋体" w:hAnsi="宋体" w:eastAsia="宋体" w:cs="宋体"/>
          <w:b/>
          <w:bCs w:val="0"/>
          <w:color w:val="000000"/>
          <w:kern w:val="0"/>
          <w:sz w:val="30"/>
          <w:szCs w:val="30"/>
          <w:lang w:val="en-US" w:eastAsia="zh-CN" w:bidi="ar"/>
        </w:rPr>
        <w:t>编制单位：</w:t>
      </w:r>
      <w:r>
        <w:rPr>
          <w:rFonts w:hint="eastAsia" w:ascii="宋体" w:hAnsi="宋体" w:cs="宋体"/>
          <w:b w:val="0"/>
          <w:bCs/>
          <w:color w:val="000000"/>
          <w:kern w:val="0"/>
          <w:sz w:val="30"/>
          <w:szCs w:val="30"/>
          <w:lang w:val="en-US" w:eastAsia="zh-CN" w:bidi="ar"/>
        </w:rPr>
        <w:t>重庆伟达环保科技有限责任公司</w:t>
      </w:r>
    </w:p>
    <w:p>
      <w:pPr>
        <w:keepNext w:val="0"/>
        <w:keepLines w:val="0"/>
        <w:widowControl/>
        <w:suppressLineNumbers w:val="0"/>
        <w:jc w:val="left"/>
        <w:rPr>
          <w:b w:val="0"/>
          <w:bCs/>
          <w:sz w:val="30"/>
          <w:szCs w:val="30"/>
        </w:rPr>
      </w:pPr>
      <w:r>
        <w:rPr>
          <w:rFonts w:hint="eastAsia" w:ascii="宋体" w:hAnsi="宋体" w:eastAsia="宋体" w:cs="宋体"/>
          <w:b/>
          <w:bCs w:val="0"/>
          <w:color w:val="000000"/>
          <w:kern w:val="0"/>
          <w:sz w:val="30"/>
          <w:szCs w:val="30"/>
          <w:lang w:val="en-US" w:eastAsia="zh-CN" w:bidi="ar"/>
        </w:rPr>
        <w:t>法人代表：</w:t>
      </w:r>
      <w:r>
        <w:rPr>
          <w:rFonts w:hint="eastAsia" w:ascii="宋体" w:hAnsi="宋体" w:cs="宋体"/>
          <w:b w:val="0"/>
          <w:bCs/>
          <w:color w:val="000000"/>
          <w:kern w:val="0"/>
          <w:sz w:val="30"/>
          <w:szCs w:val="30"/>
          <w:lang w:val="en-US" w:eastAsia="zh-CN" w:bidi="ar"/>
        </w:rPr>
        <w:t>周熊伟</w:t>
      </w:r>
      <w:r>
        <w:rPr>
          <w:rFonts w:hint="eastAsia" w:ascii="宋体" w:hAnsi="宋体" w:eastAsia="宋体" w:cs="宋体"/>
          <w:b w:val="0"/>
          <w:bCs/>
          <w:color w:val="000000"/>
          <w:kern w:val="0"/>
          <w:sz w:val="30"/>
          <w:szCs w:val="30"/>
          <w:lang w:val="en-US" w:eastAsia="zh-CN" w:bidi="ar"/>
        </w:rPr>
        <w:t xml:space="preserve"> </w:t>
      </w:r>
    </w:p>
    <w:p>
      <w:pPr>
        <w:keepNext w:val="0"/>
        <w:keepLines w:val="0"/>
        <w:widowControl/>
        <w:suppressLineNumbers w:val="0"/>
        <w:jc w:val="left"/>
        <w:rPr>
          <w:rFonts w:hint="eastAsia" w:ascii="宋体" w:hAnsi="宋体" w:eastAsia="宋体" w:cs="宋体"/>
          <w:b/>
          <w:bCs w:val="0"/>
          <w:color w:val="000000"/>
          <w:kern w:val="0"/>
          <w:sz w:val="30"/>
          <w:szCs w:val="30"/>
          <w:lang w:val="en-US" w:eastAsia="zh-CN" w:bidi="ar"/>
        </w:rPr>
      </w:pPr>
      <w:r>
        <w:rPr>
          <w:rFonts w:hint="eastAsia" w:ascii="宋体" w:hAnsi="宋体" w:eastAsia="宋体" w:cs="宋体"/>
          <w:b/>
          <w:bCs w:val="0"/>
          <w:color w:val="000000"/>
          <w:kern w:val="0"/>
          <w:sz w:val="30"/>
          <w:szCs w:val="30"/>
          <w:lang w:val="en-US" w:eastAsia="zh-CN" w:bidi="ar"/>
        </w:rPr>
        <w:t>项目负责人：</w:t>
      </w:r>
      <w:r>
        <w:rPr>
          <w:rFonts w:hint="eastAsia" w:ascii="宋体" w:hAnsi="宋体" w:cs="宋体"/>
          <w:b w:val="0"/>
          <w:bCs/>
          <w:color w:val="000000"/>
          <w:kern w:val="0"/>
          <w:sz w:val="30"/>
          <w:szCs w:val="30"/>
          <w:lang w:val="en-US" w:eastAsia="zh-CN" w:bidi="ar"/>
        </w:rPr>
        <w:t>周熊伟</w:t>
      </w:r>
    </w:p>
    <w:p>
      <w:pPr>
        <w:keepNext w:val="0"/>
        <w:keepLines w:val="0"/>
        <w:widowControl/>
        <w:suppressLineNumbers w:val="0"/>
        <w:jc w:val="left"/>
        <w:rPr>
          <w:rFonts w:hint="eastAsia" w:ascii="宋体" w:hAnsi="宋体" w:eastAsia="宋体" w:cs="宋体"/>
          <w:b/>
          <w:bCs w:val="0"/>
          <w:color w:val="000000"/>
          <w:kern w:val="0"/>
          <w:sz w:val="30"/>
          <w:szCs w:val="30"/>
          <w:lang w:val="en-US" w:eastAsia="zh-CN" w:bidi="ar"/>
        </w:rPr>
      </w:pPr>
    </w:p>
    <w:p>
      <w:pPr>
        <w:keepNext w:val="0"/>
        <w:keepLines w:val="0"/>
        <w:widowControl/>
        <w:suppressLineNumbers w:val="0"/>
        <w:jc w:val="left"/>
        <w:rPr>
          <w:rFonts w:hint="eastAsia" w:ascii="宋体" w:hAnsi="宋体" w:eastAsia="宋体" w:cs="宋体"/>
          <w:color w:val="000000"/>
          <w:kern w:val="0"/>
          <w:sz w:val="28"/>
          <w:szCs w:val="28"/>
          <w:lang w:val="en-US" w:eastAsia="zh-CN" w:bidi="ar"/>
        </w:rPr>
      </w:pPr>
    </w:p>
    <w:p>
      <w:pPr>
        <w:keepNext w:val="0"/>
        <w:keepLines w:val="0"/>
        <w:widowControl/>
        <w:suppressLineNumbers w:val="0"/>
        <w:jc w:val="left"/>
        <w:rPr>
          <w:rFonts w:hint="eastAsia" w:ascii="宋体" w:hAnsi="宋体" w:eastAsia="宋体" w:cs="宋体"/>
          <w:color w:val="000000"/>
          <w:kern w:val="0"/>
          <w:sz w:val="28"/>
          <w:szCs w:val="28"/>
          <w:lang w:val="en-US" w:eastAsia="zh-CN" w:bidi="ar"/>
        </w:rPr>
      </w:pPr>
    </w:p>
    <w:p>
      <w:pPr>
        <w:keepNext w:val="0"/>
        <w:keepLines w:val="0"/>
        <w:widowControl/>
        <w:suppressLineNumbers w:val="0"/>
        <w:jc w:val="left"/>
        <w:rPr>
          <w:rFonts w:hint="eastAsia" w:ascii="宋体" w:hAnsi="宋体" w:eastAsia="宋体" w:cs="宋体"/>
          <w:color w:val="000000"/>
          <w:kern w:val="0"/>
          <w:sz w:val="28"/>
          <w:szCs w:val="28"/>
          <w:lang w:val="en-US" w:eastAsia="zh-CN" w:bidi="ar"/>
        </w:rPr>
      </w:pPr>
      <w:r>
        <w:rPr>
          <w:rFonts w:hint="eastAsia" w:ascii="宋体" w:hAnsi="宋体" w:eastAsia="宋体" w:cs="宋体"/>
          <w:color w:val="000000"/>
          <w:kern w:val="0"/>
          <w:sz w:val="28"/>
          <w:szCs w:val="28"/>
          <w:lang w:val="en-US" w:eastAsia="zh-CN" w:bidi="ar"/>
        </w:rPr>
        <w:t xml:space="preserve"> </w:t>
      </w:r>
    </w:p>
    <w:p>
      <w:pPr>
        <w:pStyle w:val="30"/>
        <w:rPr>
          <w:rFonts w:hint="eastAsia" w:ascii="宋体" w:hAnsi="宋体" w:eastAsia="宋体" w:cs="宋体"/>
          <w:color w:val="000000"/>
          <w:kern w:val="0"/>
          <w:sz w:val="28"/>
          <w:szCs w:val="28"/>
          <w:lang w:val="en-US" w:eastAsia="zh-CN" w:bidi="ar"/>
        </w:rPr>
      </w:pPr>
    </w:p>
    <w:p>
      <w:pPr>
        <w:pStyle w:val="30"/>
        <w:rPr>
          <w:rFonts w:hint="eastAsia" w:ascii="宋体" w:hAnsi="宋体" w:eastAsia="宋体" w:cs="宋体"/>
          <w:color w:val="000000"/>
          <w:kern w:val="0"/>
          <w:sz w:val="28"/>
          <w:szCs w:val="28"/>
          <w:lang w:val="en-US" w:eastAsia="zh-CN" w:bidi="ar"/>
        </w:rPr>
      </w:pPr>
    </w:p>
    <w:tbl>
      <w:tblPr>
        <w:tblStyle w:val="23"/>
        <w:tblW w:w="9464" w:type="dxa"/>
        <w:tblInd w:w="0" w:type="dxa"/>
        <w:tblLayout w:type="fixed"/>
        <w:tblCellMar>
          <w:top w:w="0" w:type="dxa"/>
          <w:left w:w="108" w:type="dxa"/>
          <w:bottom w:w="0" w:type="dxa"/>
          <w:right w:w="108" w:type="dxa"/>
        </w:tblCellMar>
      </w:tblPr>
      <w:tblGrid>
        <w:gridCol w:w="4741"/>
        <w:gridCol w:w="4723"/>
      </w:tblGrid>
      <w:tr>
        <w:tblPrEx>
          <w:tblCellMar>
            <w:top w:w="0" w:type="dxa"/>
            <w:left w:w="108" w:type="dxa"/>
            <w:bottom w:w="0" w:type="dxa"/>
            <w:right w:w="108" w:type="dxa"/>
          </w:tblCellMar>
        </w:tblPrEx>
        <w:trPr>
          <w:trHeight w:val="680" w:hRule="atLeast"/>
        </w:trPr>
        <w:tc>
          <w:tcPr>
            <w:tcW w:w="4741" w:type="dxa"/>
            <w:noWrap w:val="0"/>
            <w:vAlign w:val="top"/>
          </w:tcPr>
          <w:p>
            <w:pPr>
              <w:spacing w:line="500" w:lineRule="exact"/>
              <w:ind w:left="1200" w:right="105" w:rightChars="50" w:hanging="1205" w:hangingChars="500"/>
              <w:rPr>
                <w:rFonts w:ascii="宋体" w:hAnsi="宋体" w:eastAsia="宋体"/>
                <w:sz w:val="24"/>
                <w:szCs w:val="24"/>
              </w:rPr>
            </w:pPr>
            <w:r>
              <w:rPr>
                <w:rFonts w:hint="eastAsia" w:ascii="宋体" w:hAnsi="宋体" w:eastAsia="宋体"/>
                <w:b/>
                <w:bCs/>
                <w:sz w:val="24"/>
                <w:szCs w:val="24"/>
              </w:rPr>
              <w:t>建设单位</w:t>
            </w:r>
            <w:r>
              <w:rPr>
                <w:rFonts w:hint="eastAsia" w:ascii="宋体" w:hAnsi="宋体" w:eastAsia="宋体"/>
                <w:sz w:val="24"/>
                <w:szCs w:val="24"/>
              </w:rPr>
              <w:t>:</w:t>
            </w:r>
            <w:r>
              <w:rPr>
                <w:rFonts w:hint="eastAsia" w:ascii="宋体" w:hAnsi="宋体" w:eastAsia="宋体"/>
                <w:b/>
                <w:sz w:val="24"/>
                <w:szCs w:val="24"/>
              </w:rPr>
              <w:t xml:space="preserve"> </w:t>
            </w:r>
            <w:r>
              <w:rPr>
                <w:rFonts w:hint="eastAsia" w:ascii="宋体" w:hAnsi="宋体" w:cs="Times New Roman"/>
                <w:spacing w:val="-4"/>
                <w:sz w:val="24"/>
                <w:szCs w:val="24"/>
                <w:lang w:val="en-US" w:eastAsia="zh-CN"/>
              </w:rPr>
              <w:t>重庆市万州区鸿鸥地产发展有限公司</w:t>
            </w:r>
            <w:r>
              <w:rPr>
                <w:rFonts w:hint="eastAsia" w:ascii="宋体" w:hAnsi="宋体" w:eastAsia="宋体"/>
                <w:sz w:val="24"/>
                <w:szCs w:val="24"/>
                <w:lang w:val="en-US" w:eastAsia="zh-CN"/>
              </w:rPr>
              <w:t>（盖章）</w:t>
            </w:r>
          </w:p>
        </w:tc>
        <w:tc>
          <w:tcPr>
            <w:tcW w:w="4723" w:type="dxa"/>
            <w:noWrap w:val="0"/>
            <w:vAlign w:val="top"/>
          </w:tcPr>
          <w:p>
            <w:pPr>
              <w:spacing w:line="500" w:lineRule="exact"/>
              <w:ind w:left="1224" w:hanging="1229" w:hangingChars="510"/>
              <w:rPr>
                <w:rFonts w:hint="eastAsia" w:ascii="宋体" w:hAnsi="宋体" w:eastAsia="宋体"/>
                <w:sz w:val="24"/>
                <w:szCs w:val="24"/>
                <w:lang w:eastAsia="zh-CN"/>
              </w:rPr>
            </w:pPr>
            <w:r>
              <w:rPr>
                <w:rFonts w:hint="eastAsia" w:ascii="宋体" w:hAnsi="宋体" w:eastAsia="宋体"/>
                <w:b/>
                <w:bCs/>
                <w:sz w:val="24"/>
                <w:szCs w:val="24"/>
              </w:rPr>
              <w:t>编制单位:</w:t>
            </w:r>
            <w:r>
              <w:rPr>
                <w:rFonts w:hint="eastAsia" w:ascii="宋体" w:hAnsi="宋体" w:eastAsia="宋体"/>
                <w:spacing w:val="-4"/>
                <w:sz w:val="24"/>
                <w:szCs w:val="24"/>
              </w:rPr>
              <w:t xml:space="preserve"> </w:t>
            </w:r>
            <w:r>
              <w:rPr>
                <w:rFonts w:hint="eastAsia" w:ascii="宋体" w:hAnsi="宋体"/>
                <w:spacing w:val="-4"/>
                <w:sz w:val="24"/>
                <w:szCs w:val="24"/>
                <w:lang w:eastAsia="zh-CN"/>
              </w:rPr>
              <w:t>重庆伟达环保科技有限责任公司</w:t>
            </w:r>
            <w:r>
              <w:rPr>
                <w:rFonts w:hint="eastAsia" w:ascii="宋体" w:hAnsi="宋体" w:eastAsia="宋体"/>
                <w:sz w:val="24"/>
                <w:szCs w:val="24"/>
                <w:lang w:val="en-US" w:eastAsia="zh-CN"/>
              </w:rPr>
              <w:t>（盖章）</w:t>
            </w:r>
          </w:p>
        </w:tc>
      </w:tr>
      <w:tr>
        <w:tblPrEx>
          <w:tblCellMar>
            <w:top w:w="0" w:type="dxa"/>
            <w:left w:w="108" w:type="dxa"/>
            <w:bottom w:w="0" w:type="dxa"/>
            <w:right w:w="108" w:type="dxa"/>
          </w:tblCellMar>
        </w:tblPrEx>
        <w:trPr>
          <w:trHeight w:val="680" w:hRule="atLeast"/>
        </w:trPr>
        <w:tc>
          <w:tcPr>
            <w:tcW w:w="4741" w:type="dxa"/>
            <w:noWrap w:val="0"/>
            <w:vAlign w:val="top"/>
          </w:tcPr>
          <w:p>
            <w:pPr>
              <w:spacing w:line="500" w:lineRule="exact"/>
              <w:ind w:right="210" w:rightChars="100"/>
              <w:rPr>
                <w:rFonts w:hint="default" w:ascii="宋体" w:hAnsi="宋体" w:eastAsia="宋体"/>
                <w:sz w:val="24"/>
                <w:szCs w:val="24"/>
                <w:lang w:val="en-US" w:eastAsia="zh-CN"/>
              </w:rPr>
            </w:pPr>
            <w:r>
              <w:rPr>
                <w:rFonts w:hint="eastAsia" w:ascii="宋体" w:hAnsi="宋体" w:eastAsia="宋体"/>
                <w:b/>
                <w:bCs/>
                <w:sz w:val="24"/>
                <w:szCs w:val="24"/>
              </w:rPr>
              <w:t>电    话:</w:t>
            </w:r>
            <w:r>
              <w:rPr>
                <w:rFonts w:hint="eastAsia" w:ascii="宋体" w:hAnsi="宋体" w:eastAsia="宋体"/>
                <w:sz w:val="24"/>
                <w:szCs w:val="24"/>
              </w:rPr>
              <w:t xml:space="preserve"> </w:t>
            </w:r>
            <w:r>
              <w:rPr>
                <w:rFonts w:hint="eastAsia" w:ascii="宋体" w:hAnsi="宋体" w:eastAsia="宋体"/>
                <w:sz w:val="24"/>
                <w:szCs w:val="24"/>
                <w:lang w:val="en-US" w:eastAsia="zh-CN"/>
              </w:rPr>
              <w:t>13709431856</w:t>
            </w:r>
          </w:p>
        </w:tc>
        <w:tc>
          <w:tcPr>
            <w:tcW w:w="4723" w:type="dxa"/>
            <w:noWrap w:val="0"/>
            <w:vAlign w:val="top"/>
          </w:tcPr>
          <w:p>
            <w:pPr>
              <w:spacing w:line="500" w:lineRule="exact"/>
              <w:ind w:right="105" w:rightChars="50"/>
              <w:rPr>
                <w:rFonts w:hint="default" w:ascii="宋体" w:hAnsi="宋体" w:eastAsia="宋体"/>
                <w:sz w:val="24"/>
                <w:szCs w:val="24"/>
                <w:lang w:val="en-US" w:eastAsia="zh-CN"/>
              </w:rPr>
            </w:pPr>
            <w:r>
              <w:rPr>
                <w:rFonts w:hint="eastAsia" w:ascii="宋体" w:hAnsi="宋体" w:eastAsia="宋体"/>
                <w:b/>
                <w:bCs/>
                <w:sz w:val="24"/>
                <w:szCs w:val="24"/>
              </w:rPr>
              <w:t xml:space="preserve">电    话: </w:t>
            </w:r>
            <w:r>
              <w:rPr>
                <w:rFonts w:hint="eastAsia" w:ascii="宋体" w:hAnsi="宋体" w:eastAsia="宋体"/>
                <w:sz w:val="24"/>
                <w:szCs w:val="24"/>
                <w:lang w:val="en-US" w:eastAsia="zh-CN"/>
              </w:rPr>
              <w:t>023-58600211</w:t>
            </w:r>
          </w:p>
        </w:tc>
      </w:tr>
      <w:tr>
        <w:tblPrEx>
          <w:tblCellMar>
            <w:top w:w="0" w:type="dxa"/>
            <w:left w:w="108" w:type="dxa"/>
            <w:bottom w:w="0" w:type="dxa"/>
            <w:right w:w="108" w:type="dxa"/>
          </w:tblCellMar>
        </w:tblPrEx>
        <w:trPr>
          <w:trHeight w:val="680" w:hRule="atLeast"/>
        </w:trPr>
        <w:tc>
          <w:tcPr>
            <w:tcW w:w="4741" w:type="dxa"/>
            <w:noWrap w:val="0"/>
            <w:vAlign w:val="top"/>
          </w:tcPr>
          <w:p>
            <w:pPr>
              <w:spacing w:line="500" w:lineRule="exact"/>
              <w:ind w:right="210" w:rightChars="100"/>
              <w:rPr>
                <w:rFonts w:ascii="宋体" w:hAnsi="宋体" w:eastAsia="宋体"/>
                <w:sz w:val="24"/>
                <w:szCs w:val="24"/>
              </w:rPr>
            </w:pPr>
            <w:r>
              <w:rPr>
                <w:rFonts w:hint="eastAsia" w:ascii="宋体" w:hAnsi="宋体" w:eastAsia="宋体"/>
                <w:b/>
                <w:bCs/>
                <w:sz w:val="24"/>
                <w:szCs w:val="24"/>
              </w:rPr>
              <w:t xml:space="preserve">邮    编: </w:t>
            </w:r>
            <w:r>
              <w:rPr>
                <w:rFonts w:hint="eastAsia" w:ascii="宋体" w:hAnsi="宋体" w:eastAsia="宋体"/>
                <w:sz w:val="24"/>
                <w:szCs w:val="24"/>
              </w:rPr>
              <w:t>404000</w:t>
            </w:r>
          </w:p>
        </w:tc>
        <w:tc>
          <w:tcPr>
            <w:tcW w:w="4723" w:type="dxa"/>
            <w:noWrap w:val="0"/>
            <w:vAlign w:val="top"/>
          </w:tcPr>
          <w:p>
            <w:pPr>
              <w:spacing w:line="500" w:lineRule="exact"/>
              <w:rPr>
                <w:rFonts w:ascii="宋体" w:hAnsi="宋体" w:eastAsia="宋体"/>
                <w:sz w:val="24"/>
                <w:szCs w:val="24"/>
              </w:rPr>
            </w:pPr>
            <w:r>
              <w:rPr>
                <w:rFonts w:hint="eastAsia" w:ascii="宋体" w:hAnsi="宋体" w:eastAsia="宋体"/>
                <w:b/>
                <w:bCs/>
                <w:sz w:val="24"/>
                <w:szCs w:val="24"/>
              </w:rPr>
              <w:t>邮    编:</w:t>
            </w:r>
            <w:r>
              <w:rPr>
                <w:rFonts w:hint="eastAsia" w:ascii="宋体" w:hAnsi="宋体" w:eastAsia="宋体"/>
                <w:sz w:val="24"/>
                <w:szCs w:val="24"/>
              </w:rPr>
              <w:t xml:space="preserve"> 404000</w:t>
            </w:r>
          </w:p>
        </w:tc>
      </w:tr>
      <w:tr>
        <w:tblPrEx>
          <w:tblCellMar>
            <w:top w:w="0" w:type="dxa"/>
            <w:left w:w="108" w:type="dxa"/>
            <w:bottom w:w="0" w:type="dxa"/>
            <w:right w:w="108" w:type="dxa"/>
          </w:tblCellMar>
        </w:tblPrEx>
        <w:trPr>
          <w:trHeight w:val="680" w:hRule="atLeast"/>
        </w:trPr>
        <w:tc>
          <w:tcPr>
            <w:tcW w:w="4741" w:type="dxa"/>
            <w:noWrap w:val="0"/>
            <w:vAlign w:val="top"/>
          </w:tcPr>
          <w:p>
            <w:pPr>
              <w:spacing w:line="500" w:lineRule="exact"/>
              <w:ind w:left="1200" w:right="51" w:hanging="1205" w:hangingChars="500"/>
              <w:rPr>
                <w:rFonts w:hint="eastAsia" w:ascii="宋体" w:hAnsi="宋体" w:eastAsia="宋体"/>
                <w:sz w:val="24"/>
                <w:szCs w:val="24"/>
                <w:lang w:eastAsia="zh-CN"/>
              </w:rPr>
            </w:pPr>
            <w:r>
              <w:rPr>
                <w:rFonts w:hint="eastAsia" w:ascii="宋体" w:hAnsi="宋体" w:eastAsia="宋体"/>
                <w:b/>
                <w:bCs/>
                <w:sz w:val="24"/>
                <w:szCs w:val="24"/>
              </w:rPr>
              <w:t>地    址:</w:t>
            </w:r>
            <w:r>
              <w:rPr>
                <w:rFonts w:hint="eastAsia" w:ascii="宋体" w:hAnsi="宋体" w:eastAsia="宋体"/>
                <w:b/>
                <w:bCs/>
                <w:sz w:val="24"/>
                <w:szCs w:val="24"/>
                <w:lang w:val="en-US" w:eastAsia="zh-CN"/>
              </w:rPr>
              <w:t xml:space="preserve"> </w:t>
            </w:r>
            <w:r>
              <w:rPr>
                <w:rFonts w:hint="eastAsia" w:ascii="宋体" w:hAnsi="宋体" w:eastAsia="宋体" w:cs="Times New Roman"/>
                <w:sz w:val="24"/>
                <w:szCs w:val="24"/>
                <w:lang w:eastAsia="zh-CN"/>
              </w:rPr>
              <w:t>重庆市万州区万川大道555号</w:t>
            </w:r>
          </w:p>
        </w:tc>
        <w:tc>
          <w:tcPr>
            <w:tcW w:w="4723" w:type="dxa"/>
            <w:noWrap w:val="0"/>
            <w:vAlign w:val="top"/>
          </w:tcPr>
          <w:p>
            <w:pPr>
              <w:spacing w:line="500" w:lineRule="exact"/>
              <w:ind w:left="1101" w:hanging="1106" w:hangingChars="459"/>
              <w:rPr>
                <w:rFonts w:hint="default" w:ascii="宋体" w:hAnsi="宋体" w:eastAsia="宋体"/>
                <w:sz w:val="24"/>
                <w:szCs w:val="24"/>
                <w:lang w:val="en-US" w:eastAsia="zh-CN"/>
              </w:rPr>
            </w:pPr>
            <w:r>
              <w:rPr>
                <w:rFonts w:hint="eastAsia" w:ascii="宋体" w:hAnsi="宋体" w:eastAsia="宋体"/>
                <w:b/>
                <w:bCs/>
                <w:sz w:val="24"/>
                <w:szCs w:val="24"/>
              </w:rPr>
              <w:t xml:space="preserve">地 </w:t>
            </w:r>
            <w:r>
              <w:rPr>
                <w:rFonts w:hint="eastAsia" w:ascii="宋体" w:hAnsi="宋体" w:eastAsia="宋体"/>
                <w:sz w:val="24"/>
                <w:szCs w:val="24"/>
              </w:rPr>
              <w:t xml:space="preserve">  </w:t>
            </w:r>
            <w:r>
              <w:rPr>
                <w:rFonts w:hint="eastAsia" w:ascii="宋体" w:hAnsi="宋体" w:eastAsia="宋体"/>
                <w:b/>
                <w:bCs/>
                <w:sz w:val="24"/>
                <w:szCs w:val="24"/>
              </w:rPr>
              <w:t xml:space="preserve"> 址:</w:t>
            </w:r>
            <w:r>
              <w:rPr>
                <w:rFonts w:hint="eastAsia" w:ascii="宋体" w:hAnsi="宋体" w:eastAsia="宋体"/>
                <w:sz w:val="24"/>
                <w:szCs w:val="24"/>
                <w:lang w:eastAsia="zh-CN"/>
              </w:rPr>
              <w:t>重庆市万州区沙龙路三段观音岩富乐花园</w:t>
            </w:r>
            <w:r>
              <w:rPr>
                <w:rFonts w:hint="eastAsia" w:ascii="宋体" w:hAnsi="宋体" w:eastAsia="宋体"/>
                <w:sz w:val="24"/>
                <w:szCs w:val="24"/>
                <w:lang w:val="en-US" w:eastAsia="zh-CN"/>
              </w:rPr>
              <w:t>256号</w:t>
            </w:r>
          </w:p>
        </w:tc>
      </w:tr>
    </w:tbl>
    <w:p>
      <w:pPr>
        <w:spacing w:line="360" w:lineRule="auto"/>
        <w:rPr>
          <w:sz w:val="28"/>
        </w:rPr>
        <w:sectPr>
          <w:headerReference r:id="rId4" w:type="first"/>
          <w:headerReference r:id="rId3" w:type="default"/>
          <w:footerReference r:id="rId5" w:type="default"/>
          <w:pgSz w:w="11906" w:h="16838"/>
          <w:pgMar w:top="1701" w:right="1418" w:bottom="1701" w:left="1418" w:header="851" w:footer="992" w:gutter="0"/>
          <w:pgNumType w:fmt="decimal"/>
          <w:cols w:space="425" w:num="1"/>
          <w:docGrid w:type="lines" w:linePitch="312" w:charSpace="0"/>
        </w:sectPr>
      </w:pPr>
    </w:p>
    <w:p>
      <w:pPr>
        <w:spacing w:line="360" w:lineRule="auto"/>
        <w:jc w:val="both"/>
        <w:rPr>
          <w:sz w:val="36"/>
        </w:rPr>
      </w:pPr>
    </w:p>
    <w:bookmarkEnd w:id="0"/>
    <w:p>
      <w:pPr>
        <w:spacing w:line="360" w:lineRule="auto"/>
        <w:jc w:val="center"/>
        <w:rPr>
          <w:b/>
          <w:sz w:val="36"/>
        </w:rPr>
      </w:pPr>
      <w:r>
        <w:rPr>
          <w:b/>
          <w:sz w:val="36"/>
        </w:rPr>
        <w:t>目   录</w:t>
      </w:r>
    </w:p>
    <w:p>
      <w:pPr>
        <w:pStyle w:val="19"/>
        <w:tabs>
          <w:tab w:val="right" w:leader="dot" w:pos="9412"/>
          <w:tab w:val="clear" w:pos="9402"/>
        </w:tabs>
      </w:pPr>
      <w:r>
        <w:rPr>
          <w:sz w:val="36"/>
        </w:rPr>
        <w:fldChar w:fldCharType="begin"/>
      </w:r>
      <w:r>
        <w:rPr>
          <w:sz w:val="36"/>
        </w:rPr>
        <w:instrText xml:space="preserve"> TOC \o "1-3" \h \z \u </w:instrText>
      </w:r>
      <w:r>
        <w:rPr>
          <w:sz w:val="36"/>
        </w:rPr>
        <w:fldChar w:fldCharType="separate"/>
      </w:r>
      <w:r>
        <w:fldChar w:fldCharType="begin"/>
      </w:r>
      <w:r>
        <w:instrText xml:space="preserve"> HYPERLINK \l _Toc21736 </w:instrText>
      </w:r>
      <w:r>
        <w:fldChar w:fldCharType="separate"/>
      </w:r>
      <w:r>
        <w:rPr>
          <w:rFonts w:cs="Times New Roman"/>
        </w:rPr>
        <w:t xml:space="preserve">1 </w:t>
      </w:r>
      <w:r>
        <w:rPr>
          <w:rFonts w:hint="eastAsia" w:cs="Times New Roman"/>
        </w:rPr>
        <w:t>验收项目概况</w:t>
      </w:r>
      <w:r>
        <w:tab/>
      </w:r>
      <w:r>
        <w:fldChar w:fldCharType="begin"/>
      </w:r>
      <w:r>
        <w:instrText xml:space="preserve"> PAGEREF _Toc21736 \h </w:instrText>
      </w:r>
      <w:r>
        <w:fldChar w:fldCharType="separate"/>
      </w:r>
      <w:r>
        <w:t>1</w:t>
      </w:r>
      <w:r>
        <w:fldChar w:fldCharType="end"/>
      </w:r>
      <w:r>
        <w:fldChar w:fldCharType="end"/>
      </w:r>
    </w:p>
    <w:p>
      <w:pPr>
        <w:pStyle w:val="19"/>
        <w:tabs>
          <w:tab w:val="right" w:leader="dot" w:pos="9412"/>
          <w:tab w:val="clear" w:pos="9402"/>
        </w:tabs>
      </w:pPr>
      <w:r>
        <w:fldChar w:fldCharType="begin"/>
      </w:r>
      <w:r>
        <w:instrText xml:space="preserve"> HYPERLINK \l _Toc13955 </w:instrText>
      </w:r>
      <w:r>
        <w:fldChar w:fldCharType="separate"/>
      </w:r>
      <w:r>
        <w:rPr>
          <w:rFonts w:hint="eastAsia" w:cs="Times New Roman"/>
        </w:rPr>
        <w:t>2</w:t>
      </w:r>
      <w:r>
        <w:rPr>
          <w:rFonts w:cs="Times New Roman"/>
        </w:rPr>
        <w:t xml:space="preserve"> </w:t>
      </w:r>
      <w:r>
        <w:rPr>
          <w:rFonts w:hint="eastAsia" w:cs="Times New Roman"/>
        </w:rPr>
        <w:t>验收依据</w:t>
      </w:r>
      <w:r>
        <w:tab/>
      </w:r>
      <w:r>
        <w:fldChar w:fldCharType="begin"/>
      </w:r>
      <w:r>
        <w:instrText xml:space="preserve"> PAGEREF _Toc13955 \h </w:instrText>
      </w:r>
      <w:r>
        <w:fldChar w:fldCharType="separate"/>
      </w:r>
      <w:r>
        <w:t>2</w:t>
      </w:r>
      <w:r>
        <w:fldChar w:fldCharType="end"/>
      </w:r>
      <w:r>
        <w:fldChar w:fldCharType="end"/>
      </w:r>
    </w:p>
    <w:p>
      <w:pPr>
        <w:pStyle w:val="21"/>
        <w:tabs>
          <w:tab w:val="right" w:leader="dot" w:pos="9412"/>
          <w:tab w:val="clear" w:pos="9402"/>
        </w:tabs>
      </w:pPr>
      <w:r>
        <w:fldChar w:fldCharType="begin"/>
      </w:r>
      <w:r>
        <w:instrText xml:space="preserve"> HYPERLINK \l _Toc7233 </w:instrText>
      </w:r>
      <w:r>
        <w:fldChar w:fldCharType="separate"/>
      </w:r>
      <w:r>
        <w:rPr>
          <w:rFonts w:hint="eastAsia" w:cs="Times New Roman"/>
        </w:rPr>
        <w:t>2</w:t>
      </w:r>
      <w:r>
        <w:rPr>
          <w:rFonts w:cs="Times New Roman"/>
        </w:rPr>
        <w:t>.1 环境保护有关法规、政策</w:t>
      </w:r>
      <w:r>
        <w:tab/>
      </w:r>
      <w:r>
        <w:fldChar w:fldCharType="begin"/>
      </w:r>
      <w:r>
        <w:instrText xml:space="preserve"> PAGEREF _Toc7233 \h </w:instrText>
      </w:r>
      <w:r>
        <w:fldChar w:fldCharType="separate"/>
      </w:r>
      <w:r>
        <w:t>2</w:t>
      </w:r>
      <w:r>
        <w:fldChar w:fldCharType="end"/>
      </w:r>
      <w:r>
        <w:fldChar w:fldCharType="end"/>
      </w:r>
    </w:p>
    <w:p>
      <w:pPr>
        <w:pStyle w:val="21"/>
        <w:tabs>
          <w:tab w:val="right" w:leader="dot" w:pos="9412"/>
          <w:tab w:val="clear" w:pos="9402"/>
        </w:tabs>
      </w:pPr>
      <w:r>
        <w:fldChar w:fldCharType="begin"/>
      </w:r>
      <w:r>
        <w:instrText xml:space="preserve"> HYPERLINK \l _Toc29642 </w:instrText>
      </w:r>
      <w:r>
        <w:fldChar w:fldCharType="separate"/>
      </w:r>
      <w:r>
        <w:rPr>
          <w:rFonts w:hint="eastAsia" w:cs="Times New Roman"/>
        </w:rPr>
        <w:t>2</w:t>
      </w:r>
      <w:r>
        <w:rPr>
          <w:rFonts w:cs="Times New Roman"/>
        </w:rPr>
        <w:t xml:space="preserve">.2 </w:t>
      </w:r>
      <w:r>
        <w:rPr>
          <w:rFonts w:hint="eastAsia" w:cs="Times New Roman"/>
        </w:rPr>
        <w:t>建设项目竣工环境保护验收技术规范</w:t>
      </w:r>
      <w:r>
        <w:tab/>
      </w:r>
      <w:r>
        <w:fldChar w:fldCharType="begin"/>
      </w:r>
      <w:r>
        <w:instrText xml:space="preserve"> PAGEREF _Toc29642 \h </w:instrText>
      </w:r>
      <w:r>
        <w:fldChar w:fldCharType="separate"/>
      </w:r>
      <w:r>
        <w:t>2</w:t>
      </w:r>
      <w:r>
        <w:fldChar w:fldCharType="end"/>
      </w:r>
      <w:r>
        <w:fldChar w:fldCharType="end"/>
      </w:r>
    </w:p>
    <w:p>
      <w:pPr>
        <w:pStyle w:val="21"/>
        <w:tabs>
          <w:tab w:val="right" w:leader="dot" w:pos="9412"/>
          <w:tab w:val="clear" w:pos="9402"/>
        </w:tabs>
      </w:pPr>
      <w:r>
        <w:fldChar w:fldCharType="begin"/>
      </w:r>
      <w:r>
        <w:instrText xml:space="preserve"> HYPERLINK \l _Toc6552 </w:instrText>
      </w:r>
      <w:r>
        <w:fldChar w:fldCharType="separate"/>
      </w:r>
      <w:r>
        <w:rPr>
          <w:rFonts w:hint="eastAsia" w:cs="Times New Roman"/>
        </w:rPr>
        <w:t>2</w:t>
      </w:r>
      <w:r>
        <w:rPr>
          <w:rFonts w:cs="Times New Roman"/>
        </w:rPr>
        <w:t>.3建设项目</w:t>
      </w:r>
      <w:r>
        <w:rPr>
          <w:rFonts w:hint="eastAsia" w:cs="Times New Roman"/>
        </w:rPr>
        <w:t>环境影响</w:t>
      </w:r>
      <w:r>
        <w:rPr>
          <w:rFonts w:hint="eastAsia" w:cs="Times New Roman"/>
          <w:lang w:eastAsia="zh-CN"/>
        </w:rPr>
        <w:t>报告表</w:t>
      </w:r>
      <w:r>
        <w:rPr>
          <w:rFonts w:hint="eastAsia" w:cs="Times New Roman"/>
        </w:rPr>
        <w:t>（表）及审批部门审批决定</w:t>
      </w:r>
      <w:r>
        <w:tab/>
      </w:r>
      <w:r>
        <w:fldChar w:fldCharType="begin"/>
      </w:r>
      <w:r>
        <w:instrText xml:space="preserve"> PAGEREF _Toc6552 \h </w:instrText>
      </w:r>
      <w:r>
        <w:fldChar w:fldCharType="separate"/>
      </w:r>
      <w:r>
        <w:t>2</w:t>
      </w:r>
      <w:r>
        <w:fldChar w:fldCharType="end"/>
      </w:r>
      <w:r>
        <w:fldChar w:fldCharType="end"/>
      </w:r>
    </w:p>
    <w:p>
      <w:pPr>
        <w:pStyle w:val="19"/>
        <w:tabs>
          <w:tab w:val="right" w:leader="dot" w:pos="9412"/>
          <w:tab w:val="clear" w:pos="9402"/>
        </w:tabs>
      </w:pPr>
      <w:r>
        <w:fldChar w:fldCharType="begin"/>
      </w:r>
      <w:r>
        <w:instrText xml:space="preserve"> HYPERLINK \l _Toc3806 </w:instrText>
      </w:r>
      <w:r>
        <w:fldChar w:fldCharType="separate"/>
      </w:r>
      <w:r>
        <w:rPr>
          <w:rFonts w:hint="eastAsia" w:cs="Times New Roman"/>
        </w:rPr>
        <w:t>3</w:t>
      </w:r>
      <w:r>
        <w:rPr>
          <w:rFonts w:cs="Times New Roman"/>
        </w:rPr>
        <w:t xml:space="preserve"> </w:t>
      </w:r>
      <w:r>
        <w:rPr>
          <w:rFonts w:hint="eastAsia" w:cs="Times New Roman"/>
        </w:rPr>
        <w:t>工程建设情况</w:t>
      </w:r>
      <w:r>
        <w:tab/>
      </w:r>
      <w:r>
        <w:fldChar w:fldCharType="begin"/>
      </w:r>
      <w:r>
        <w:instrText xml:space="preserve"> PAGEREF _Toc3806 \h </w:instrText>
      </w:r>
      <w:r>
        <w:fldChar w:fldCharType="separate"/>
      </w:r>
      <w:r>
        <w:t>4</w:t>
      </w:r>
      <w:r>
        <w:fldChar w:fldCharType="end"/>
      </w:r>
      <w:r>
        <w:fldChar w:fldCharType="end"/>
      </w:r>
    </w:p>
    <w:p>
      <w:pPr>
        <w:pStyle w:val="21"/>
        <w:tabs>
          <w:tab w:val="right" w:leader="dot" w:pos="9412"/>
          <w:tab w:val="clear" w:pos="9402"/>
        </w:tabs>
      </w:pPr>
      <w:r>
        <w:fldChar w:fldCharType="begin"/>
      </w:r>
      <w:r>
        <w:instrText xml:space="preserve"> HYPERLINK \l _Toc30505 </w:instrText>
      </w:r>
      <w:r>
        <w:fldChar w:fldCharType="separate"/>
      </w:r>
      <w:r>
        <w:rPr>
          <w:rFonts w:hint="eastAsia" w:cs="Times New Roman"/>
        </w:rPr>
        <w:t>3</w:t>
      </w:r>
      <w:r>
        <w:rPr>
          <w:rFonts w:cs="Times New Roman"/>
        </w:rPr>
        <w:t>.1</w:t>
      </w:r>
      <w:r>
        <w:rPr>
          <w:rFonts w:hint="eastAsia" w:cs="Times New Roman"/>
        </w:rPr>
        <w:t>地理位置及平面布置</w:t>
      </w:r>
      <w:r>
        <w:tab/>
      </w:r>
      <w:r>
        <w:fldChar w:fldCharType="begin"/>
      </w:r>
      <w:r>
        <w:instrText xml:space="preserve"> PAGEREF _Toc30505 \h </w:instrText>
      </w:r>
      <w:r>
        <w:fldChar w:fldCharType="separate"/>
      </w:r>
      <w:r>
        <w:t>4</w:t>
      </w:r>
      <w:r>
        <w:fldChar w:fldCharType="end"/>
      </w:r>
      <w:r>
        <w:fldChar w:fldCharType="end"/>
      </w:r>
    </w:p>
    <w:p>
      <w:pPr>
        <w:pStyle w:val="21"/>
        <w:tabs>
          <w:tab w:val="right" w:leader="dot" w:pos="9412"/>
          <w:tab w:val="clear" w:pos="9402"/>
        </w:tabs>
      </w:pPr>
      <w:r>
        <w:fldChar w:fldCharType="begin"/>
      </w:r>
      <w:r>
        <w:instrText xml:space="preserve"> HYPERLINK \l _Toc12644 </w:instrText>
      </w:r>
      <w:r>
        <w:fldChar w:fldCharType="separate"/>
      </w:r>
      <w:r>
        <w:rPr>
          <w:rFonts w:hint="eastAsia" w:cs="Times New Roman"/>
        </w:rPr>
        <w:t>3</w:t>
      </w:r>
      <w:r>
        <w:rPr>
          <w:rFonts w:cs="Times New Roman"/>
        </w:rPr>
        <w:t>.</w:t>
      </w:r>
      <w:r>
        <w:rPr>
          <w:rFonts w:hint="eastAsia" w:cs="Times New Roman"/>
        </w:rPr>
        <w:t>2建设内容</w:t>
      </w:r>
      <w:r>
        <w:tab/>
      </w:r>
      <w:r>
        <w:fldChar w:fldCharType="begin"/>
      </w:r>
      <w:r>
        <w:instrText xml:space="preserve"> PAGEREF _Toc12644 \h </w:instrText>
      </w:r>
      <w:r>
        <w:fldChar w:fldCharType="separate"/>
      </w:r>
      <w:r>
        <w:t>4</w:t>
      </w:r>
      <w:r>
        <w:fldChar w:fldCharType="end"/>
      </w:r>
      <w:r>
        <w:fldChar w:fldCharType="end"/>
      </w:r>
    </w:p>
    <w:p>
      <w:pPr>
        <w:pStyle w:val="21"/>
        <w:tabs>
          <w:tab w:val="right" w:leader="dot" w:pos="9412"/>
          <w:tab w:val="clear" w:pos="9402"/>
        </w:tabs>
      </w:pPr>
      <w:r>
        <w:fldChar w:fldCharType="begin"/>
      </w:r>
      <w:r>
        <w:instrText xml:space="preserve"> HYPERLINK \l _Toc1808 </w:instrText>
      </w:r>
      <w:r>
        <w:fldChar w:fldCharType="separate"/>
      </w:r>
      <w:r>
        <w:rPr>
          <w:rFonts w:hint="eastAsia" w:cs="Times New Roman"/>
        </w:rPr>
        <w:t>3</w:t>
      </w:r>
      <w:r>
        <w:rPr>
          <w:rFonts w:cs="Times New Roman"/>
        </w:rPr>
        <w:t>.</w:t>
      </w:r>
      <w:r>
        <w:rPr>
          <w:rFonts w:hint="eastAsia" w:cs="Times New Roman"/>
        </w:rPr>
        <w:t>3主要原辅材料及燃料</w:t>
      </w:r>
      <w:r>
        <w:tab/>
      </w:r>
      <w:r>
        <w:fldChar w:fldCharType="begin"/>
      </w:r>
      <w:r>
        <w:instrText xml:space="preserve"> PAGEREF _Toc1808 \h </w:instrText>
      </w:r>
      <w:r>
        <w:fldChar w:fldCharType="separate"/>
      </w:r>
      <w:r>
        <w:t>6</w:t>
      </w:r>
      <w:r>
        <w:fldChar w:fldCharType="end"/>
      </w:r>
      <w:r>
        <w:fldChar w:fldCharType="end"/>
      </w:r>
    </w:p>
    <w:p>
      <w:pPr>
        <w:pStyle w:val="21"/>
        <w:tabs>
          <w:tab w:val="right" w:leader="dot" w:pos="9412"/>
          <w:tab w:val="clear" w:pos="9402"/>
        </w:tabs>
      </w:pPr>
      <w:r>
        <w:fldChar w:fldCharType="begin"/>
      </w:r>
      <w:r>
        <w:instrText xml:space="preserve"> HYPERLINK \l _Toc8166 </w:instrText>
      </w:r>
      <w:r>
        <w:fldChar w:fldCharType="separate"/>
      </w:r>
      <w:r>
        <w:rPr>
          <w:rFonts w:hint="eastAsia" w:cs="Times New Roman"/>
        </w:rPr>
        <w:t>3</w:t>
      </w:r>
      <w:r>
        <w:rPr>
          <w:rFonts w:cs="Times New Roman"/>
        </w:rPr>
        <w:t>.</w:t>
      </w:r>
      <w:r>
        <w:rPr>
          <w:rFonts w:hint="eastAsia" w:cs="Times New Roman"/>
        </w:rPr>
        <w:t>4水源</w:t>
      </w:r>
      <w:r>
        <w:tab/>
      </w:r>
      <w:r>
        <w:fldChar w:fldCharType="begin"/>
      </w:r>
      <w:r>
        <w:instrText xml:space="preserve"> PAGEREF _Toc8166 \h </w:instrText>
      </w:r>
      <w:r>
        <w:fldChar w:fldCharType="separate"/>
      </w:r>
      <w:r>
        <w:t>6</w:t>
      </w:r>
      <w:r>
        <w:fldChar w:fldCharType="end"/>
      </w:r>
      <w:r>
        <w:fldChar w:fldCharType="end"/>
      </w:r>
    </w:p>
    <w:p>
      <w:pPr>
        <w:pStyle w:val="21"/>
        <w:tabs>
          <w:tab w:val="right" w:leader="dot" w:pos="9412"/>
          <w:tab w:val="clear" w:pos="9402"/>
        </w:tabs>
      </w:pPr>
      <w:r>
        <w:fldChar w:fldCharType="begin"/>
      </w:r>
      <w:r>
        <w:instrText xml:space="preserve"> HYPERLINK \l _Toc21256 </w:instrText>
      </w:r>
      <w:r>
        <w:fldChar w:fldCharType="separate"/>
      </w:r>
      <w:r>
        <w:rPr>
          <w:rFonts w:hint="eastAsia" w:cs="Times New Roman"/>
        </w:rPr>
        <w:t>3.5生产工艺</w:t>
      </w:r>
      <w:r>
        <w:tab/>
      </w:r>
      <w:r>
        <w:fldChar w:fldCharType="begin"/>
      </w:r>
      <w:r>
        <w:instrText xml:space="preserve"> PAGEREF _Toc21256 \h </w:instrText>
      </w:r>
      <w:r>
        <w:fldChar w:fldCharType="separate"/>
      </w:r>
      <w:r>
        <w:t>6</w:t>
      </w:r>
      <w:r>
        <w:fldChar w:fldCharType="end"/>
      </w:r>
      <w:r>
        <w:fldChar w:fldCharType="end"/>
      </w:r>
    </w:p>
    <w:p>
      <w:pPr>
        <w:pStyle w:val="21"/>
        <w:tabs>
          <w:tab w:val="right" w:leader="dot" w:pos="9412"/>
          <w:tab w:val="clear" w:pos="9402"/>
        </w:tabs>
      </w:pPr>
      <w:r>
        <w:fldChar w:fldCharType="begin"/>
      </w:r>
      <w:r>
        <w:instrText xml:space="preserve"> HYPERLINK \l _Toc7970 </w:instrText>
      </w:r>
      <w:r>
        <w:fldChar w:fldCharType="separate"/>
      </w:r>
      <w:r>
        <w:rPr>
          <w:rFonts w:hint="eastAsia" w:cs="Times New Roman"/>
        </w:rPr>
        <w:t>3.6项目变动情况</w:t>
      </w:r>
      <w:r>
        <w:tab/>
      </w:r>
      <w:r>
        <w:fldChar w:fldCharType="begin"/>
      </w:r>
      <w:r>
        <w:instrText xml:space="preserve"> PAGEREF _Toc7970 \h </w:instrText>
      </w:r>
      <w:r>
        <w:fldChar w:fldCharType="separate"/>
      </w:r>
      <w:r>
        <w:t>7</w:t>
      </w:r>
      <w:r>
        <w:fldChar w:fldCharType="end"/>
      </w:r>
      <w:r>
        <w:fldChar w:fldCharType="end"/>
      </w:r>
    </w:p>
    <w:p>
      <w:pPr>
        <w:pStyle w:val="19"/>
        <w:tabs>
          <w:tab w:val="right" w:leader="dot" w:pos="9412"/>
          <w:tab w:val="clear" w:pos="9402"/>
        </w:tabs>
      </w:pPr>
      <w:r>
        <w:fldChar w:fldCharType="begin"/>
      </w:r>
      <w:r>
        <w:instrText xml:space="preserve"> HYPERLINK \l _Toc12034 </w:instrText>
      </w:r>
      <w:r>
        <w:fldChar w:fldCharType="separate"/>
      </w:r>
      <w:r>
        <w:rPr>
          <w:rFonts w:hint="eastAsia" w:cs="Times New Roman"/>
        </w:rPr>
        <w:t>4</w:t>
      </w:r>
      <w:r>
        <w:rPr>
          <w:rFonts w:cs="Times New Roman"/>
        </w:rPr>
        <w:t xml:space="preserve"> </w:t>
      </w:r>
      <w:r>
        <w:rPr>
          <w:rFonts w:hint="eastAsia" w:cs="Times New Roman"/>
        </w:rPr>
        <w:t>环境保护设施</w:t>
      </w:r>
      <w:r>
        <w:tab/>
      </w:r>
      <w:r>
        <w:fldChar w:fldCharType="begin"/>
      </w:r>
      <w:r>
        <w:instrText xml:space="preserve"> PAGEREF _Toc12034 \h </w:instrText>
      </w:r>
      <w:r>
        <w:fldChar w:fldCharType="separate"/>
      </w:r>
      <w:r>
        <w:t>8</w:t>
      </w:r>
      <w:r>
        <w:fldChar w:fldCharType="end"/>
      </w:r>
      <w:r>
        <w:fldChar w:fldCharType="end"/>
      </w:r>
    </w:p>
    <w:p>
      <w:pPr>
        <w:pStyle w:val="21"/>
        <w:tabs>
          <w:tab w:val="right" w:leader="dot" w:pos="9412"/>
          <w:tab w:val="clear" w:pos="9402"/>
        </w:tabs>
      </w:pPr>
      <w:r>
        <w:fldChar w:fldCharType="begin"/>
      </w:r>
      <w:r>
        <w:instrText xml:space="preserve"> HYPERLINK \l _Toc29902 </w:instrText>
      </w:r>
      <w:r>
        <w:fldChar w:fldCharType="separate"/>
      </w:r>
      <w:r>
        <w:rPr>
          <w:rFonts w:hint="eastAsia" w:cs="Times New Roman"/>
        </w:rPr>
        <w:t>4.1污染物治理及处置设施</w:t>
      </w:r>
      <w:r>
        <w:tab/>
      </w:r>
      <w:r>
        <w:fldChar w:fldCharType="begin"/>
      </w:r>
      <w:r>
        <w:instrText xml:space="preserve"> PAGEREF _Toc29902 \h </w:instrText>
      </w:r>
      <w:r>
        <w:fldChar w:fldCharType="separate"/>
      </w:r>
      <w:r>
        <w:t>8</w:t>
      </w:r>
      <w:r>
        <w:fldChar w:fldCharType="end"/>
      </w:r>
      <w:r>
        <w:fldChar w:fldCharType="end"/>
      </w:r>
    </w:p>
    <w:p>
      <w:pPr>
        <w:pStyle w:val="21"/>
        <w:tabs>
          <w:tab w:val="right" w:leader="dot" w:pos="9412"/>
          <w:tab w:val="clear" w:pos="9402"/>
        </w:tabs>
      </w:pPr>
      <w:r>
        <w:fldChar w:fldCharType="begin"/>
      </w:r>
      <w:r>
        <w:instrText xml:space="preserve"> HYPERLINK \l _Toc3410 </w:instrText>
      </w:r>
      <w:r>
        <w:fldChar w:fldCharType="separate"/>
      </w:r>
      <w:r>
        <w:rPr>
          <w:rFonts w:hint="eastAsia" w:cs="Times New Roman"/>
        </w:rPr>
        <w:t>4.2其他环保设施</w:t>
      </w:r>
      <w:r>
        <w:tab/>
      </w:r>
      <w:r>
        <w:fldChar w:fldCharType="begin"/>
      </w:r>
      <w:r>
        <w:instrText xml:space="preserve"> PAGEREF _Toc3410 \h </w:instrText>
      </w:r>
      <w:r>
        <w:fldChar w:fldCharType="separate"/>
      </w:r>
      <w:r>
        <w:t>10</w:t>
      </w:r>
      <w:r>
        <w:fldChar w:fldCharType="end"/>
      </w:r>
      <w:r>
        <w:fldChar w:fldCharType="end"/>
      </w:r>
    </w:p>
    <w:p>
      <w:pPr>
        <w:pStyle w:val="21"/>
        <w:tabs>
          <w:tab w:val="right" w:leader="dot" w:pos="9412"/>
          <w:tab w:val="clear" w:pos="9402"/>
        </w:tabs>
      </w:pPr>
      <w:r>
        <w:fldChar w:fldCharType="begin"/>
      </w:r>
      <w:r>
        <w:instrText xml:space="preserve"> HYPERLINK \l _Toc26491 </w:instrText>
      </w:r>
      <w:r>
        <w:fldChar w:fldCharType="separate"/>
      </w:r>
      <w:r>
        <w:rPr>
          <w:rFonts w:hint="eastAsia" w:cs="Times New Roman"/>
        </w:rPr>
        <w:t>4.3环保设施投资及“三同时”落实情况</w:t>
      </w:r>
      <w:r>
        <w:tab/>
      </w:r>
      <w:r>
        <w:fldChar w:fldCharType="begin"/>
      </w:r>
      <w:r>
        <w:instrText xml:space="preserve"> PAGEREF _Toc26491 \h </w:instrText>
      </w:r>
      <w:r>
        <w:fldChar w:fldCharType="separate"/>
      </w:r>
      <w:r>
        <w:t>11</w:t>
      </w:r>
      <w:r>
        <w:fldChar w:fldCharType="end"/>
      </w:r>
      <w:r>
        <w:fldChar w:fldCharType="end"/>
      </w:r>
    </w:p>
    <w:p>
      <w:pPr>
        <w:pStyle w:val="19"/>
        <w:tabs>
          <w:tab w:val="right" w:leader="dot" w:pos="9412"/>
          <w:tab w:val="clear" w:pos="9402"/>
        </w:tabs>
      </w:pPr>
      <w:r>
        <w:fldChar w:fldCharType="begin"/>
      </w:r>
      <w:r>
        <w:instrText xml:space="preserve"> HYPERLINK \l _Toc2452 </w:instrText>
      </w:r>
      <w:r>
        <w:fldChar w:fldCharType="separate"/>
      </w:r>
      <w:r>
        <w:rPr>
          <w:rFonts w:hint="eastAsia" w:cs="Times New Roman"/>
        </w:rPr>
        <w:t>5</w:t>
      </w:r>
      <w:r>
        <w:rPr>
          <w:rFonts w:cs="Times New Roman"/>
        </w:rPr>
        <w:t xml:space="preserve"> </w:t>
      </w:r>
      <w:r>
        <w:rPr>
          <w:rFonts w:hint="eastAsia" w:cs="Times New Roman"/>
        </w:rPr>
        <w:t>建设项目环评</w:t>
      </w:r>
      <w:r>
        <w:rPr>
          <w:rFonts w:hint="eastAsia" w:cs="Times New Roman"/>
          <w:lang w:eastAsia="zh-CN"/>
        </w:rPr>
        <w:t>报告表</w:t>
      </w:r>
      <w:r>
        <w:rPr>
          <w:rFonts w:hint="eastAsia" w:cs="Times New Roman"/>
        </w:rPr>
        <w:t>的主要结论及审批部门审批决定</w:t>
      </w:r>
      <w:r>
        <w:tab/>
      </w:r>
      <w:r>
        <w:fldChar w:fldCharType="begin"/>
      </w:r>
      <w:r>
        <w:instrText xml:space="preserve"> PAGEREF _Toc2452 \h </w:instrText>
      </w:r>
      <w:r>
        <w:fldChar w:fldCharType="separate"/>
      </w:r>
      <w:r>
        <w:t>12</w:t>
      </w:r>
      <w:r>
        <w:fldChar w:fldCharType="end"/>
      </w:r>
      <w:r>
        <w:fldChar w:fldCharType="end"/>
      </w:r>
    </w:p>
    <w:p>
      <w:pPr>
        <w:pStyle w:val="21"/>
        <w:tabs>
          <w:tab w:val="right" w:leader="dot" w:pos="9412"/>
          <w:tab w:val="clear" w:pos="9402"/>
        </w:tabs>
      </w:pPr>
      <w:r>
        <w:fldChar w:fldCharType="begin"/>
      </w:r>
      <w:r>
        <w:instrText xml:space="preserve"> HYPERLINK \l _Toc32374 </w:instrText>
      </w:r>
      <w:r>
        <w:fldChar w:fldCharType="separate"/>
      </w:r>
      <w:r>
        <w:rPr>
          <w:rFonts w:hint="eastAsia" w:cs="Times New Roman"/>
        </w:rPr>
        <w:t>5</w:t>
      </w:r>
      <w:r>
        <w:rPr>
          <w:rFonts w:cs="Times New Roman"/>
        </w:rPr>
        <w:t xml:space="preserve">.1 </w:t>
      </w:r>
      <w:r>
        <w:rPr>
          <w:rFonts w:hint="eastAsia" w:cs="Times New Roman"/>
        </w:rPr>
        <w:t>建设项目环评</w:t>
      </w:r>
      <w:r>
        <w:rPr>
          <w:rFonts w:hint="eastAsia" w:cs="Times New Roman"/>
          <w:lang w:eastAsia="zh-CN"/>
        </w:rPr>
        <w:t>报告表</w:t>
      </w:r>
      <w:r>
        <w:rPr>
          <w:rFonts w:hint="eastAsia" w:cs="Times New Roman"/>
        </w:rPr>
        <w:t>的主要结论与建议</w:t>
      </w:r>
      <w:r>
        <w:tab/>
      </w:r>
      <w:r>
        <w:fldChar w:fldCharType="begin"/>
      </w:r>
      <w:r>
        <w:instrText xml:space="preserve"> PAGEREF _Toc32374 \h </w:instrText>
      </w:r>
      <w:r>
        <w:fldChar w:fldCharType="separate"/>
      </w:r>
      <w:r>
        <w:t>12</w:t>
      </w:r>
      <w:r>
        <w:fldChar w:fldCharType="end"/>
      </w:r>
      <w:r>
        <w:fldChar w:fldCharType="end"/>
      </w:r>
    </w:p>
    <w:p>
      <w:pPr>
        <w:pStyle w:val="21"/>
        <w:tabs>
          <w:tab w:val="right" w:leader="dot" w:pos="9412"/>
          <w:tab w:val="clear" w:pos="9402"/>
        </w:tabs>
      </w:pPr>
      <w:r>
        <w:fldChar w:fldCharType="begin"/>
      </w:r>
      <w:r>
        <w:instrText xml:space="preserve"> HYPERLINK \l _Toc1915 </w:instrText>
      </w:r>
      <w:r>
        <w:fldChar w:fldCharType="separate"/>
      </w:r>
      <w:r>
        <w:rPr>
          <w:rFonts w:cs="Times New Roman"/>
        </w:rPr>
        <w:t>5.2 环评批复要求</w:t>
      </w:r>
      <w:r>
        <w:tab/>
      </w:r>
      <w:r>
        <w:fldChar w:fldCharType="begin"/>
      </w:r>
      <w:r>
        <w:instrText xml:space="preserve"> PAGEREF _Toc1915 \h </w:instrText>
      </w:r>
      <w:r>
        <w:fldChar w:fldCharType="separate"/>
      </w:r>
      <w:r>
        <w:t>15</w:t>
      </w:r>
      <w:r>
        <w:fldChar w:fldCharType="end"/>
      </w:r>
      <w:r>
        <w:fldChar w:fldCharType="end"/>
      </w:r>
    </w:p>
    <w:p>
      <w:pPr>
        <w:pStyle w:val="19"/>
        <w:tabs>
          <w:tab w:val="right" w:leader="dot" w:pos="9412"/>
          <w:tab w:val="clear" w:pos="9402"/>
        </w:tabs>
      </w:pPr>
      <w:r>
        <w:fldChar w:fldCharType="begin"/>
      </w:r>
      <w:r>
        <w:instrText xml:space="preserve"> HYPERLINK \l _Toc2525 </w:instrText>
      </w:r>
      <w:r>
        <w:fldChar w:fldCharType="separate"/>
      </w:r>
      <w:r>
        <w:rPr>
          <w:rFonts w:hint="eastAsia" w:cs="Times New Roman"/>
        </w:rPr>
        <w:t>6</w:t>
      </w:r>
      <w:r>
        <w:rPr>
          <w:rFonts w:cs="Times New Roman"/>
        </w:rPr>
        <w:t xml:space="preserve"> </w:t>
      </w:r>
      <w:r>
        <w:rPr>
          <w:rFonts w:hint="eastAsia" w:cs="Times New Roman"/>
        </w:rPr>
        <w:t>验收执行</w:t>
      </w:r>
      <w:r>
        <w:rPr>
          <w:rFonts w:cs="Times New Roman"/>
        </w:rPr>
        <w:t>标准</w:t>
      </w:r>
      <w:r>
        <w:tab/>
      </w:r>
      <w:r>
        <w:fldChar w:fldCharType="begin"/>
      </w:r>
      <w:r>
        <w:instrText xml:space="preserve"> PAGEREF _Toc2525 \h </w:instrText>
      </w:r>
      <w:r>
        <w:fldChar w:fldCharType="separate"/>
      </w:r>
      <w:r>
        <w:t>17</w:t>
      </w:r>
      <w:r>
        <w:fldChar w:fldCharType="end"/>
      </w:r>
      <w:r>
        <w:fldChar w:fldCharType="end"/>
      </w:r>
    </w:p>
    <w:p>
      <w:pPr>
        <w:pStyle w:val="21"/>
        <w:tabs>
          <w:tab w:val="right" w:leader="dot" w:pos="9412"/>
          <w:tab w:val="clear" w:pos="9402"/>
        </w:tabs>
      </w:pPr>
      <w:r>
        <w:fldChar w:fldCharType="begin"/>
      </w:r>
      <w:r>
        <w:instrText xml:space="preserve"> HYPERLINK \l _Toc27924 </w:instrText>
      </w:r>
      <w:r>
        <w:fldChar w:fldCharType="separate"/>
      </w:r>
      <w:r>
        <w:rPr>
          <w:rFonts w:hint="eastAsia" w:cs="Times New Roman"/>
        </w:rPr>
        <w:t>6</w:t>
      </w:r>
      <w:r>
        <w:rPr>
          <w:rFonts w:cs="Times New Roman"/>
        </w:rPr>
        <w:t>.1 废水</w:t>
      </w:r>
      <w:r>
        <w:tab/>
      </w:r>
      <w:r>
        <w:fldChar w:fldCharType="begin"/>
      </w:r>
      <w:r>
        <w:instrText xml:space="preserve"> PAGEREF _Toc27924 \h </w:instrText>
      </w:r>
      <w:r>
        <w:fldChar w:fldCharType="separate"/>
      </w:r>
      <w:r>
        <w:t>17</w:t>
      </w:r>
      <w:r>
        <w:fldChar w:fldCharType="end"/>
      </w:r>
      <w:r>
        <w:fldChar w:fldCharType="end"/>
      </w:r>
    </w:p>
    <w:p>
      <w:pPr>
        <w:pStyle w:val="21"/>
        <w:tabs>
          <w:tab w:val="right" w:leader="dot" w:pos="9412"/>
          <w:tab w:val="clear" w:pos="9402"/>
        </w:tabs>
      </w:pPr>
      <w:r>
        <w:fldChar w:fldCharType="begin"/>
      </w:r>
      <w:r>
        <w:instrText xml:space="preserve"> HYPERLINK \l _Toc31816 </w:instrText>
      </w:r>
      <w:r>
        <w:fldChar w:fldCharType="separate"/>
      </w:r>
      <w:r>
        <w:rPr>
          <w:rFonts w:hint="eastAsia" w:cs="Times New Roman"/>
        </w:rPr>
        <w:t>6</w:t>
      </w:r>
      <w:r>
        <w:rPr>
          <w:rFonts w:cs="Times New Roman"/>
        </w:rPr>
        <w:t>.</w:t>
      </w:r>
      <w:r>
        <w:rPr>
          <w:rFonts w:hint="eastAsia" w:cs="Times New Roman"/>
        </w:rPr>
        <w:t>2</w:t>
      </w:r>
      <w:r>
        <w:rPr>
          <w:rFonts w:cs="Times New Roman"/>
        </w:rPr>
        <w:t xml:space="preserve"> </w:t>
      </w:r>
      <w:r>
        <w:rPr>
          <w:rFonts w:hint="eastAsia" w:cs="Times New Roman"/>
        </w:rPr>
        <w:t>废气</w:t>
      </w:r>
      <w:r>
        <w:tab/>
      </w:r>
      <w:r>
        <w:fldChar w:fldCharType="begin"/>
      </w:r>
      <w:r>
        <w:instrText xml:space="preserve"> PAGEREF _Toc31816 \h </w:instrText>
      </w:r>
      <w:r>
        <w:fldChar w:fldCharType="separate"/>
      </w:r>
      <w:r>
        <w:t>17</w:t>
      </w:r>
      <w:r>
        <w:fldChar w:fldCharType="end"/>
      </w:r>
      <w:r>
        <w:fldChar w:fldCharType="end"/>
      </w:r>
    </w:p>
    <w:p>
      <w:pPr>
        <w:pStyle w:val="21"/>
        <w:tabs>
          <w:tab w:val="right" w:leader="dot" w:pos="9412"/>
          <w:tab w:val="clear" w:pos="9402"/>
        </w:tabs>
      </w:pPr>
      <w:r>
        <w:fldChar w:fldCharType="begin"/>
      </w:r>
      <w:r>
        <w:instrText xml:space="preserve"> HYPERLINK \l _Toc31828 </w:instrText>
      </w:r>
      <w:r>
        <w:fldChar w:fldCharType="separate"/>
      </w:r>
      <w:r>
        <w:rPr>
          <w:rFonts w:hint="eastAsia" w:cs="Times New Roman"/>
        </w:rPr>
        <w:t>6</w:t>
      </w:r>
      <w:r>
        <w:rPr>
          <w:rFonts w:cs="Times New Roman"/>
        </w:rPr>
        <w:t>.3 噪声</w:t>
      </w:r>
      <w:r>
        <w:tab/>
      </w:r>
      <w:r>
        <w:fldChar w:fldCharType="begin"/>
      </w:r>
      <w:r>
        <w:instrText xml:space="preserve"> PAGEREF _Toc31828 \h </w:instrText>
      </w:r>
      <w:r>
        <w:fldChar w:fldCharType="separate"/>
      </w:r>
      <w:r>
        <w:t>17</w:t>
      </w:r>
      <w:r>
        <w:fldChar w:fldCharType="end"/>
      </w:r>
      <w:r>
        <w:fldChar w:fldCharType="end"/>
      </w:r>
    </w:p>
    <w:p>
      <w:pPr>
        <w:pStyle w:val="21"/>
        <w:tabs>
          <w:tab w:val="right" w:leader="dot" w:pos="9412"/>
          <w:tab w:val="clear" w:pos="9402"/>
        </w:tabs>
      </w:pPr>
      <w:r>
        <w:fldChar w:fldCharType="begin"/>
      </w:r>
      <w:r>
        <w:instrText xml:space="preserve"> HYPERLINK \l _Toc10922 </w:instrText>
      </w:r>
      <w:r>
        <w:fldChar w:fldCharType="separate"/>
      </w:r>
      <w:r>
        <w:rPr>
          <w:rFonts w:hint="eastAsia" w:cs="Times New Roman"/>
        </w:rPr>
        <w:t>6</w:t>
      </w:r>
      <w:r>
        <w:rPr>
          <w:rFonts w:cs="Times New Roman"/>
        </w:rPr>
        <w:t>.</w:t>
      </w:r>
      <w:r>
        <w:rPr>
          <w:rFonts w:hint="eastAsia" w:cs="Times New Roman"/>
        </w:rPr>
        <w:t>4</w:t>
      </w:r>
      <w:r>
        <w:rPr>
          <w:rFonts w:cs="Times New Roman"/>
        </w:rPr>
        <w:t xml:space="preserve"> </w:t>
      </w:r>
      <w:r>
        <w:rPr>
          <w:rFonts w:hint="eastAsia" w:cs="Times New Roman"/>
        </w:rPr>
        <w:t>固体废物</w:t>
      </w:r>
      <w:r>
        <w:tab/>
      </w:r>
      <w:r>
        <w:fldChar w:fldCharType="begin"/>
      </w:r>
      <w:r>
        <w:instrText xml:space="preserve"> PAGEREF _Toc10922 \h </w:instrText>
      </w:r>
      <w:r>
        <w:fldChar w:fldCharType="separate"/>
      </w:r>
      <w:r>
        <w:t>18</w:t>
      </w:r>
      <w:r>
        <w:fldChar w:fldCharType="end"/>
      </w:r>
      <w:r>
        <w:fldChar w:fldCharType="end"/>
      </w:r>
    </w:p>
    <w:p>
      <w:pPr>
        <w:pStyle w:val="19"/>
        <w:tabs>
          <w:tab w:val="right" w:leader="dot" w:pos="9412"/>
          <w:tab w:val="clear" w:pos="9402"/>
        </w:tabs>
      </w:pPr>
      <w:r>
        <w:fldChar w:fldCharType="begin"/>
      </w:r>
      <w:r>
        <w:instrText xml:space="preserve"> HYPERLINK \l _Toc11751 </w:instrText>
      </w:r>
      <w:r>
        <w:fldChar w:fldCharType="separate"/>
      </w:r>
      <w:r>
        <w:rPr>
          <w:rFonts w:hint="eastAsia" w:cs="Times New Roman"/>
        </w:rPr>
        <w:t>7验收监测内容</w:t>
      </w:r>
      <w:r>
        <w:tab/>
      </w:r>
      <w:r>
        <w:fldChar w:fldCharType="begin"/>
      </w:r>
      <w:r>
        <w:instrText xml:space="preserve"> PAGEREF _Toc11751 \h </w:instrText>
      </w:r>
      <w:r>
        <w:fldChar w:fldCharType="separate"/>
      </w:r>
      <w:r>
        <w:t>19</w:t>
      </w:r>
      <w:r>
        <w:fldChar w:fldCharType="end"/>
      </w:r>
      <w:r>
        <w:fldChar w:fldCharType="end"/>
      </w:r>
    </w:p>
    <w:p>
      <w:pPr>
        <w:pStyle w:val="21"/>
        <w:tabs>
          <w:tab w:val="right" w:leader="dot" w:pos="9412"/>
          <w:tab w:val="clear" w:pos="9402"/>
        </w:tabs>
      </w:pPr>
      <w:r>
        <w:fldChar w:fldCharType="begin"/>
      </w:r>
      <w:r>
        <w:instrText xml:space="preserve"> HYPERLINK \l _Toc27744 </w:instrText>
      </w:r>
      <w:r>
        <w:fldChar w:fldCharType="separate"/>
      </w:r>
      <w:r>
        <w:rPr>
          <w:rFonts w:hint="eastAsia" w:cs="Times New Roman"/>
          <w:lang w:val="en-US" w:eastAsia="zh-CN"/>
        </w:rPr>
        <w:t>7.1  废水</w:t>
      </w:r>
      <w:r>
        <w:tab/>
      </w:r>
      <w:r>
        <w:fldChar w:fldCharType="begin"/>
      </w:r>
      <w:r>
        <w:instrText xml:space="preserve"> PAGEREF _Toc27744 \h </w:instrText>
      </w:r>
      <w:r>
        <w:fldChar w:fldCharType="separate"/>
      </w:r>
      <w:r>
        <w:t>19</w:t>
      </w:r>
      <w:r>
        <w:fldChar w:fldCharType="end"/>
      </w:r>
      <w:r>
        <w:fldChar w:fldCharType="end"/>
      </w:r>
    </w:p>
    <w:p>
      <w:pPr>
        <w:pStyle w:val="21"/>
        <w:tabs>
          <w:tab w:val="right" w:leader="dot" w:pos="9412"/>
          <w:tab w:val="clear" w:pos="9402"/>
        </w:tabs>
      </w:pPr>
      <w:r>
        <w:fldChar w:fldCharType="begin"/>
      </w:r>
      <w:r>
        <w:instrText xml:space="preserve"> HYPERLINK \l _Toc16279 </w:instrText>
      </w:r>
      <w:r>
        <w:fldChar w:fldCharType="separate"/>
      </w:r>
      <w:r>
        <w:rPr>
          <w:rFonts w:hint="eastAsia" w:cs="Times New Roman"/>
          <w:lang w:val="en-US" w:eastAsia="zh-CN"/>
        </w:rPr>
        <w:t>7.2  废气</w:t>
      </w:r>
      <w:r>
        <w:tab/>
      </w:r>
      <w:r>
        <w:fldChar w:fldCharType="begin"/>
      </w:r>
      <w:r>
        <w:instrText xml:space="preserve"> PAGEREF _Toc16279 \h </w:instrText>
      </w:r>
      <w:r>
        <w:fldChar w:fldCharType="separate"/>
      </w:r>
      <w:r>
        <w:t>19</w:t>
      </w:r>
      <w:r>
        <w:fldChar w:fldCharType="end"/>
      </w:r>
      <w:r>
        <w:fldChar w:fldCharType="end"/>
      </w:r>
    </w:p>
    <w:p>
      <w:pPr>
        <w:pStyle w:val="21"/>
        <w:tabs>
          <w:tab w:val="right" w:leader="dot" w:pos="9412"/>
          <w:tab w:val="clear" w:pos="9402"/>
        </w:tabs>
      </w:pPr>
      <w:r>
        <w:fldChar w:fldCharType="begin"/>
      </w:r>
      <w:r>
        <w:instrText xml:space="preserve"> HYPERLINK \l _Toc9345 </w:instrText>
      </w:r>
      <w:r>
        <w:fldChar w:fldCharType="separate"/>
      </w:r>
      <w:r>
        <w:rPr>
          <w:rFonts w:hint="eastAsia" w:cs="Times New Roman"/>
          <w:lang w:val="en-US" w:eastAsia="zh-CN"/>
        </w:rPr>
        <w:t>7.3  固体废物</w:t>
      </w:r>
      <w:r>
        <w:tab/>
      </w:r>
      <w:r>
        <w:fldChar w:fldCharType="begin"/>
      </w:r>
      <w:r>
        <w:instrText xml:space="preserve"> PAGEREF _Toc9345 \h </w:instrText>
      </w:r>
      <w:r>
        <w:fldChar w:fldCharType="separate"/>
      </w:r>
      <w:r>
        <w:t>19</w:t>
      </w:r>
      <w:r>
        <w:fldChar w:fldCharType="end"/>
      </w:r>
      <w:r>
        <w:fldChar w:fldCharType="end"/>
      </w:r>
    </w:p>
    <w:p>
      <w:pPr>
        <w:pStyle w:val="21"/>
        <w:tabs>
          <w:tab w:val="right" w:leader="dot" w:pos="9412"/>
          <w:tab w:val="clear" w:pos="9402"/>
        </w:tabs>
      </w:pPr>
      <w:r>
        <w:fldChar w:fldCharType="begin"/>
      </w:r>
      <w:r>
        <w:instrText xml:space="preserve"> HYPERLINK \l _Toc31427 </w:instrText>
      </w:r>
      <w:r>
        <w:fldChar w:fldCharType="separate"/>
      </w:r>
      <w:r>
        <w:rPr>
          <w:rFonts w:hint="eastAsia" w:cs="Times New Roman"/>
          <w:lang w:val="en-US" w:eastAsia="zh-CN"/>
        </w:rPr>
        <w:t>7.4  噪声</w:t>
      </w:r>
      <w:r>
        <w:tab/>
      </w:r>
      <w:r>
        <w:fldChar w:fldCharType="begin"/>
      </w:r>
      <w:r>
        <w:instrText xml:space="preserve"> PAGEREF _Toc31427 \h </w:instrText>
      </w:r>
      <w:r>
        <w:fldChar w:fldCharType="separate"/>
      </w:r>
      <w:r>
        <w:t>19</w:t>
      </w:r>
      <w:r>
        <w:fldChar w:fldCharType="end"/>
      </w:r>
      <w:r>
        <w:fldChar w:fldCharType="end"/>
      </w:r>
    </w:p>
    <w:p>
      <w:pPr>
        <w:pStyle w:val="19"/>
        <w:tabs>
          <w:tab w:val="right" w:leader="dot" w:pos="9412"/>
          <w:tab w:val="clear" w:pos="9402"/>
        </w:tabs>
      </w:pPr>
      <w:r>
        <w:fldChar w:fldCharType="begin"/>
      </w:r>
      <w:r>
        <w:instrText xml:space="preserve"> HYPERLINK \l _Toc18159 </w:instrText>
      </w:r>
      <w:r>
        <w:fldChar w:fldCharType="separate"/>
      </w:r>
      <w:r>
        <w:rPr>
          <w:rFonts w:hint="eastAsia" w:cs="Times New Roman"/>
          <w:lang w:val="en-US" w:eastAsia="zh-CN"/>
        </w:rPr>
        <w:t>8</w:t>
      </w:r>
      <w:r>
        <w:rPr>
          <w:rFonts w:hint="eastAsia" w:cs="Times New Roman"/>
        </w:rPr>
        <w:t>环境管理检查结果</w:t>
      </w:r>
      <w:r>
        <w:tab/>
      </w:r>
      <w:r>
        <w:fldChar w:fldCharType="begin"/>
      </w:r>
      <w:r>
        <w:instrText xml:space="preserve"> PAGEREF _Toc18159 \h </w:instrText>
      </w:r>
      <w:r>
        <w:fldChar w:fldCharType="separate"/>
      </w:r>
      <w:r>
        <w:t>20</w:t>
      </w:r>
      <w:r>
        <w:fldChar w:fldCharType="end"/>
      </w:r>
      <w:r>
        <w:fldChar w:fldCharType="end"/>
      </w:r>
    </w:p>
    <w:p>
      <w:pPr>
        <w:pStyle w:val="21"/>
        <w:tabs>
          <w:tab w:val="right" w:leader="dot" w:pos="9412"/>
          <w:tab w:val="clear" w:pos="9402"/>
        </w:tabs>
      </w:pPr>
      <w:r>
        <w:fldChar w:fldCharType="begin"/>
      </w:r>
      <w:r>
        <w:instrText xml:space="preserve"> HYPERLINK \l _Toc7104 </w:instrText>
      </w:r>
      <w:r>
        <w:fldChar w:fldCharType="separate"/>
      </w:r>
      <w:r>
        <w:rPr>
          <w:rFonts w:hint="eastAsia" w:cs="Times New Roman"/>
          <w:lang w:val="en-US" w:eastAsia="zh-CN"/>
        </w:rPr>
        <w:t>8</w:t>
      </w:r>
      <w:r>
        <w:rPr>
          <w:rFonts w:cs="Times New Roman"/>
        </w:rPr>
        <w:t>.1</w:t>
      </w:r>
      <w:r>
        <w:rPr>
          <w:rFonts w:hint="eastAsia" w:cs="Times New Roman"/>
        </w:rPr>
        <w:t>建设项目执行环境影响评价和环境保护“三同时”制度情况</w:t>
      </w:r>
      <w:r>
        <w:tab/>
      </w:r>
      <w:r>
        <w:fldChar w:fldCharType="begin"/>
      </w:r>
      <w:r>
        <w:instrText xml:space="preserve"> PAGEREF _Toc7104 \h </w:instrText>
      </w:r>
      <w:r>
        <w:fldChar w:fldCharType="separate"/>
      </w:r>
      <w:r>
        <w:t>20</w:t>
      </w:r>
      <w:r>
        <w:fldChar w:fldCharType="end"/>
      </w:r>
      <w:r>
        <w:fldChar w:fldCharType="end"/>
      </w:r>
    </w:p>
    <w:p>
      <w:pPr>
        <w:pStyle w:val="21"/>
        <w:tabs>
          <w:tab w:val="right" w:leader="dot" w:pos="9412"/>
          <w:tab w:val="clear" w:pos="9402"/>
        </w:tabs>
      </w:pPr>
      <w:r>
        <w:fldChar w:fldCharType="begin"/>
      </w:r>
      <w:r>
        <w:instrText xml:space="preserve"> HYPERLINK \l _Toc16062 </w:instrText>
      </w:r>
      <w:r>
        <w:fldChar w:fldCharType="separate"/>
      </w:r>
      <w:r>
        <w:rPr>
          <w:rFonts w:hint="eastAsia" w:cs="Times New Roman"/>
          <w:lang w:val="en-US" w:eastAsia="zh-CN"/>
        </w:rPr>
        <w:t>8</w:t>
      </w:r>
      <w:r>
        <w:rPr>
          <w:rFonts w:cs="Times New Roman"/>
        </w:rPr>
        <w:t xml:space="preserve">.2 </w:t>
      </w:r>
      <w:r>
        <w:rPr>
          <w:rFonts w:hint="eastAsia" w:cs="Times New Roman"/>
        </w:rPr>
        <w:t>环保设施运行情况</w:t>
      </w:r>
      <w:r>
        <w:tab/>
      </w:r>
      <w:r>
        <w:fldChar w:fldCharType="begin"/>
      </w:r>
      <w:r>
        <w:instrText xml:space="preserve"> PAGEREF _Toc16062 \h </w:instrText>
      </w:r>
      <w:r>
        <w:fldChar w:fldCharType="separate"/>
      </w:r>
      <w:r>
        <w:t>20</w:t>
      </w:r>
      <w:r>
        <w:fldChar w:fldCharType="end"/>
      </w:r>
      <w:r>
        <w:fldChar w:fldCharType="end"/>
      </w:r>
    </w:p>
    <w:p>
      <w:pPr>
        <w:pStyle w:val="21"/>
        <w:tabs>
          <w:tab w:val="right" w:leader="dot" w:pos="9412"/>
          <w:tab w:val="clear" w:pos="9402"/>
        </w:tabs>
      </w:pPr>
      <w:r>
        <w:fldChar w:fldCharType="begin"/>
      </w:r>
      <w:r>
        <w:instrText xml:space="preserve"> HYPERLINK \l _Toc18719 </w:instrText>
      </w:r>
      <w:r>
        <w:fldChar w:fldCharType="separate"/>
      </w:r>
      <w:r>
        <w:rPr>
          <w:rFonts w:hint="eastAsia" w:cs="Times New Roman"/>
          <w:lang w:val="en-US" w:eastAsia="zh-CN"/>
        </w:rPr>
        <w:t>8</w:t>
      </w:r>
      <w:r>
        <w:rPr>
          <w:rFonts w:cs="Times New Roman"/>
        </w:rPr>
        <w:t>.</w:t>
      </w:r>
      <w:r>
        <w:rPr>
          <w:rFonts w:hint="eastAsia" w:cs="Times New Roman"/>
        </w:rPr>
        <w:t>3环境管理</w:t>
      </w:r>
      <w:r>
        <w:tab/>
      </w:r>
      <w:r>
        <w:fldChar w:fldCharType="begin"/>
      </w:r>
      <w:r>
        <w:instrText xml:space="preserve"> PAGEREF _Toc18719 \h </w:instrText>
      </w:r>
      <w:r>
        <w:fldChar w:fldCharType="separate"/>
      </w:r>
      <w:r>
        <w:t>20</w:t>
      </w:r>
      <w:r>
        <w:fldChar w:fldCharType="end"/>
      </w:r>
      <w:r>
        <w:fldChar w:fldCharType="end"/>
      </w:r>
    </w:p>
    <w:p>
      <w:pPr>
        <w:pStyle w:val="21"/>
        <w:tabs>
          <w:tab w:val="right" w:leader="dot" w:pos="9412"/>
          <w:tab w:val="clear" w:pos="9402"/>
        </w:tabs>
      </w:pPr>
      <w:r>
        <w:fldChar w:fldCharType="begin"/>
      </w:r>
      <w:r>
        <w:instrText xml:space="preserve"> HYPERLINK \l _Toc2273 </w:instrText>
      </w:r>
      <w:r>
        <w:fldChar w:fldCharType="separate"/>
      </w:r>
      <w:r>
        <w:rPr>
          <w:rFonts w:hint="eastAsia" w:cs="Times New Roman"/>
          <w:lang w:val="en-US" w:eastAsia="zh-CN"/>
        </w:rPr>
        <w:t>8</w:t>
      </w:r>
      <w:r>
        <w:rPr>
          <w:rFonts w:hint="eastAsia" w:cs="Times New Roman"/>
        </w:rPr>
        <w:t>.4</w:t>
      </w:r>
      <w:r>
        <w:rPr>
          <w:rFonts w:cs="Times New Roman"/>
        </w:rPr>
        <w:t xml:space="preserve"> </w:t>
      </w:r>
      <w:r>
        <w:rPr>
          <w:rFonts w:hint="eastAsia" w:cs="Times New Roman"/>
        </w:rPr>
        <w:t>环保档案管理</w:t>
      </w:r>
      <w:r>
        <w:tab/>
      </w:r>
      <w:r>
        <w:fldChar w:fldCharType="begin"/>
      </w:r>
      <w:r>
        <w:instrText xml:space="preserve"> PAGEREF _Toc2273 \h </w:instrText>
      </w:r>
      <w:r>
        <w:fldChar w:fldCharType="separate"/>
      </w:r>
      <w:r>
        <w:t>21</w:t>
      </w:r>
      <w:r>
        <w:fldChar w:fldCharType="end"/>
      </w:r>
      <w:r>
        <w:fldChar w:fldCharType="end"/>
      </w:r>
    </w:p>
    <w:p>
      <w:pPr>
        <w:pStyle w:val="21"/>
        <w:tabs>
          <w:tab w:val="right" w:leader="dot" w:pos="9412"/>
          <w:tab w:val="clear" w:pos="9402"/>
        </w:tabs>
      </w:pPr>
      <w:r>
        <w:fldChar w:fldCharType="begin"/>
      </w:r>
      <w:r>
        <w:instrText xml:space="preserve"> HYPERLINK \l _Toc16927 </w:instrText>
      </w:r>
      <w:r>
        <w:fldChar w:fldCharType="separate"/>
      </w:r>
      <w:r>
        <w:rPr>
          <w:rFonts w:hint="eastAsia" w:cs="Times New Roman"/>
          <w:lang w:val="en-US" w:eastAsia="zh-CN"/>
        </w:rPr>
        <w:t>8</w:t>
      </w:r>
      <w:r>
        <w:rPr>
          <w:rFonts w:cs="Times New Roman"/>
        </w:rPr>
        <w:t>.</w:t>
      </w:r>
      <w:r>
        <w:rPr>
          <w:rFonts w:hint="eastAsia" w:cs="Times New Roman"/>
        </w:rPr>
        <w:t>5</w:t>
      </w:r>
      <w:r>
        <w:rPr>
          <w:rFonts w:cs="Times New Roman"/>
        </w:rPr>
        <w:t xml:space="preserve"> </w:t>
      </w:r>
      <w:r>
        <w:rPr>
          <w:rFonts w:hint="eastAsia" w:cs="Times New Roman"/>
        </w:rPr>
        <w:t>公示情况</w:t>
      </w:r>
      <w:r>
        <w:tab/>
      </w:r>
      <w:r>
        <w:fldChar w:fldCharType="begin"/>
      </w:r>
      <w:r>
        <w:instrText xml:space="preserve"> PAGEREF _Toc16927 \h </w:instrText>
      </w:r>
      <w:r>
        <w:fldChar w:fldCharType="separate"/>
      </w:r>
      <w:r>
        <w:t>21</w:t>
      </w:r>
      <w:r>
        <w:fldChar w:fldCharType="end"/>
      </w:r>
      <w:r>
        <w:fldChar w:fldCharType="end"/>
      </w:r>
    </w:p>
    <w:p>
      <w:pPr>
        <w:pStyle w:val="19"/>
        <w:tabs>
          <w:tab w:val="right" w:leader="dot" w:pos="9412"/>
          <w:tab w:val="clear" w:pos="9402"/>
        </w:tabs>
      </w:pPr>
      <w:r>
        <w:fldChar w:fldCharType="begin"/>
      </w:r>
      <w:r>
        <w:instrText xml:space="preserve"> HYPERLINK \l _Toc11588 </w:instrText>
      </w:r>
      <w:r>
        <w:fldChar w:fldCharType="separate"/>
      </w:r>
      <w:r>
        <w:rPr>
          <w:rFonts w:hint="eastAsia" w:cs="Times New Roman"/>
          <w:lang w:val="en-US" w:eastAsia="zh-CN"/>
        </w:rPr>
        <w:t>9</w:t>
      </w:r>
      <w:r>
        <w:rPr>
          <w:rFonts w:cs="Times New Roman"/>
        </w:rPr>
        <w:t xml:space="preserve"> </w:t>
      </w:r>
      <w:r>
        <w:rPr>
          <w:rFonts w:hint="eastAsia" w:cs="Times New Roman"/>
        </w:rPr>
        <w:t>结论与建议</w:t>
      </w:r>
      <w:r>
        <w:tab/>
      </w:r>
      <w:r>
        <w:fldChar w:fldCharType="begin"/>
      </w:r>
      <w:r>
        <w:instrText xml:space="preserve"> PAGEREF _Toc11588 \h </w:instrText>
      </w:r>
      <w:r>
        <w:fldChar w:fldCharType="separate"/>
      </w:r>
      <w:r>
        <w:t>22</w:t>
      </w:r>
      <w:r>
        <w:fldChar w:fldCharType="end"/>
      </w:r>
      <w:r>
        <w:fldChar w:fldCharType="end"/>
      </w:r>
    </w:p>
    <w:p>
      <w:pPr>
        <w:pStyle w:val="21"/>
        <w:tabs>
          <w:tab w:val="right" w:leader="dot" w:pos="9412"/>
          <w:tab w:val="clear" w:pos="9402"/>
        </w:tabs>
      </w:pPr>
      <w:r>
        <w:fldChar w:fldCharType="begin"/>
      </w:r>
      <w:r>
        <w:instrText xml:space="preserve"> HYPERLINK \l _Toc26087 </w:instrText>
      </w:r>
      <w:r>
        <w:fldChar w:fldCharType="separate"/>
      </w:r>
      <w:r>
        <w:rPr>
          <w:rFonts w:hint="eastAsia" w:cs="Times New Roman"/>
          <w:lang w:val="en-US" w:eastAsia="zh-CN"/>
        </w:rPr>
        <w:t>9</w:t>
      </w:r>
      <w:r>
        <w:rPr>
          <w:rFonts w:cs="Times New Roman"/>
        </w:rPr>
        <w:t>.1</w:t>
      </w:r>
      <w:r>
        <w:rPr>
          <w:rFonts w:hint="eastAsia" w:cs="Times New Roman"/>
        </w:rPr>
        <w:t>竣工验收调查</w:t>
      </w:r>
      <w:r>
        <w:rPr>
          <w:rFonts w:cs="Times New Roman"/>
        </w:rPr>
        <w:t>结论</w:t>
      </w:r>
      <w:r>
        <w:tab/>
      </w:r>
      <w:r>
        <w:fldChar w:fldCharType="begin"/>
      </w:r>
      <w:r>
        <w:instrText xml:space="preserve"> PAGEREF _Toc26087 \h </w:instrText>
      </w:r>
      <w:r>
        <w:fldChar w:fldCharType="separate"/>
      </w:r>
      <w:r>
        <w:t>22</w:t>
      </w:r>
      <w:r>
        <w:fldChar w:fldCharType="end"/>
      </w:r>
      <w:r>
        <w:fldChar w:fldCharType="end"/>
      </w:r>
    </w:p>
    <w:p>
      <w:pPr>
        <w:pStyle w:val="21"/>
        <w:tabs>
          <w:tab w:val="right" w:leader="dot" w:pos="9412"/>
          <w:tab w:val="clear" w:pos="9402"/>
        </w:tabs>
      </w:pPr>
      <w:r>
        <w:fldChar w:fldCharType="begin"/>
      </w:r>
      <w:r>
        <w:instrText xml:space="preserve"> HYPERLINK \l _Toc20925 </w:instrText>
      </w:r>
      <w:r>
        <w:fldChar w:fldCharType="separate"/>
      </w:r>
      <w:r>
        <w:rPr>
          <w:rFonts w:hint="eastAsia" w:cs="Times New Roman"/>
          <w:lang w:val="en-US" w:eastAsia="zh-CN"/>
        </w:rPr>
        <w:t>9</w:t>
      </w:r>
      <w:r>
        <w:rPr>
          <w:rFonts w:cs="Times New Roman"/>
        </w:rPr>
        <w:t>.</w:t>
      </w:r>
      <w:r>
        <w:rPr>
          <w:rFonts w:hint="eastAsia" w:cs="Times New Roman"/>
        </w:rPr>
        <w:t>2建议</w:t>
      </w:r>
      <w:r>
        <w:tab/>
      </w:r>
      <w:r>
        <w:fldChar w:fldCharType="begin"/>
      </w:r>
      <w:r>
        <w:instrText xml:space="preserve"> PAGEREF _Toc20925 \h </w:instrText>
      </w:r>
      <w:r>
        <w:fldChar w:fldCharType="separate"/>
      </w:r>
      <w:r>
        <w:t>23</w:t>
      </w:r>
      <w:r>
        <w:fldChar w:fldCharType="end"/>
      </w:r>
      <w:r>
        <w:fldChar w:fldCharType="end"/>
      </w:r>
    </w:p>
    <w:p>
      <w:pPr>
        <w:pStyle w:val="19"/>
        <w:tabs>
          <w:tab w:val="right" w:leader="dot" w:pos="9412"/>
          <w:tab w:val="clear" w:pos="9402"/>
        </w:tabs>
      </w:pPr>
      <w:r>
        <w:fldChar w:fldCharType="begin"/>
      </w:r>
      <w:r>
        <w:instrText xml:space="preserve"> HYPERLINK \l _Toc300 </w:instrText>
      </w:r>
      <w:r>
        <w:fldChar w:fldCharType="separate"/>
      </w:r>
      <w:r>
        <w:rPr>
          <w:rFonts w:hint="eastAsia"/>
          <w:szCs w:val="28"/>
          <w:lang w:eastAsia="zh-CN"/>
        </w:rPr>
        <w:t>附图</w:t>
      </w:r>
      <w:r>
        <w:tab/>
      </w:r>
      <w:r>
        <w:fldChar w:fldCharType="begin"/>
      </w:r>
      <w:r>
        <w:instrText xml:space="preserve"> PAGEREF _Toc300 \h </w:instrText>
      </w:r>
      <w:r>
        <w:fldChar w:fldCharType="separate"/>
      </w:r>
      <w:r>
        <w:t>25</w:t>
      </w:r>
      <w:r>
        <w:fldChar w:fldCharType="end"/>
      </w:r>
      <w:r>
        <w:fldChar w:fldCharType="end"/>
      </w:r>
    </w:p>
    <w:p>
      <w:pPr>
        <w:pStyle w:val="19"/>
        <w:tabs>
          <w:tab w:val="right" w:leader="dot" w:pos="9412"/>
          <w:tab w:val="clear" w:pos="9402"/>
        </w:tabs>
      </w:pPr>
      <w:r>
        <w:fldChar w:fldCharType="begin"/>
      </w:r>
      <w:r>
        <w:instrText xml:space="preserve"> HYPERLINK \l _Toc15738 </w:instrText>
      </w:r>
      <w:r>
        <w:fldChar w:fldCharType="separate"/>
      </w:r>
      <w:r>
        <w:rPr>
          <w:rFonts w:hint="eastAsia" w:ascii="Times New Roman" w:hAnsi="Times New Roman" w:eastAsia="宋体" w:cs="宋体"/>
          <w:szCs w:val="28"/>
          <w:lang w:eastAsia="zh-CN"/>
        </w:rPr>
        <w:t>附件</w:t>
      </w:r>
      <w:r>
        <w:tab/>
      </w:r>
      <w:r>
        <w:fldChar w:fldCharType="begin"/>
      </w:r>
      <w:r>
        <w:instrText xml:space="preserve"> PAGEREF _Toc15738 \h </w:instrText>
      </w:r>
      <w:r>
        <w:fldChar w:fldCharType="separate"/>
      </w:r>
      <w:r>
        <w:t>25</w:t>
      </w:r>
      <w:r>
        <w:fldChar w:fldCharType="end"/>
      </w:r>
      <w:r>
        <w:fldChar w:fldCharType="end"/>
      </w:r>
    </w:p>
    <w:p>
      <w:pPr>
        <w:pStyle w:val="19"/>
        <w:spacing w:line="276" w:lineRule="auto"/>
        <w:rPr>
          <w:rFonts w:ascii="Calibri" w:hAnsi="Calibri" w:cs="宋体"/>
          <w:b w:val="0"/>
          <w:caps w:val="0"/>
          <w:sz w:val="22"/>
          <w:szCs w:val="22"/>
        </w:rPr>
      </w:pPr>
      <w:r>
        <w:fldChar w:fldCharType="end"/>
      </w:r>
    </w:p>
    <w:p>
      <w:pPr>
        <w:pStyle w:val="19"/>
        <w:spacing w:line="276" w:lineRule="auto"/>
        <w:rPr>
          <w:rFonts w:ascii="Calibri" w:hAnsi="Calibri" w:cs="宋体"/>
          <w:b w:val="0"/>
          <w:caps w:val="0"/>
          <w:sz w:val="22"/>
          <w:szCs w:val="22"/>
        </w:rPr>
      </w:pPr>
    </w:p>
    <w:p/>
    <w:p>
      <w:pPr>
        <w:pStyle w:val="55"/>
        <w:spacing w:before="240"/>
        <w:rPr>
          <w:rFonts w:cs="Times New Roman"/>
          <w:sz w:val="40"/>
          <w:szCs w:val="28"/>
        </w:rPr>
        <w:sectPr>
          <w:headerReference r:id="rId6" w:type="default"/>
          <w:footerReference r:id="rId7" w:type="default"/>
          <w:pgSz w:w="11906" w:h="16838"/>
          <w:pgMar w:top="1247" w:right="1247" w:bottom="1247" w:left="1247" w:header="851" w:footer="851" w:gutter="0"/>
          <w:pgNumType w:fmt="decimal" w:start="1"/>
          <w:cols w:space="425" w:num="1"/>
          <w:titlePg/>
          <w:docGrid w:linePitch="381" w:charSpace="0"/>
        </w:sectPr>
      </w:pPr>
      <w:bookmarkStart w:id="1" w:name="_Toc312829599"/>
      <w:bookmarkStart w:id="2" w:name="_Toc333501100"/>
    </w:p>
    <w:bookmarkEnd w:id="1"/>
    <w:bookmarkEnd w:id="2"/>
    <w:p>
      <w:pPr>
        <w:pStyle w:val="55"/>
        <w:spacing w:beforeLines="50"/>
        <w:rPr>
          <w:rFonts w:cs="Times New Roman"/>
          <w:sz w:val="36"/>
        </w:rPr>
      </w:pPr>
      <w:bookmarkStart w:id="3" w:name="_Toc332553908"/>
      <w:bookmarkStart w:id="4" w:name="_Toc341357465"/>
      <w:bookmarkStart w:id="5" w:name="_Toc341293099"/>
      <w:bookmarkStart w:id="6" w:name="_Toc305059553"/>
      <w:bookmarkStart w:id="7" w:name="_Toc341431718"/>
      <w:bookmarkStart w:id="8" w:name="_Toc256171691"/>
      <w:bookmarkStart w:id="9" w:name="_Toc321042406"/>
      <w:bookmarkStart w:id="10" w:name="_Toc341278414"/>
      <w:bookmarkStart w:id="11" w:name="_Toc21736"/>
      <w:r>
        <w:rPr>
          <w:rFonts w:cs="Times New Roman"/>
          <w:sz w:val="36"/>
        </w:rPr>
        <w:t xml:space="preserve">1 </w:t>
      </w:r>
      <w:bookmarkEnd w:id="3"/>
      <w:bookmarkEnd w:id="4"/>
      <w:bookmarkEnd w:id="5"/>
      <w:bookmarkEnd w:id="6"/>
      <w:bookmarkEnd w:id="7"/>
      <w:bookmarkEnd w:id="8"/>
      <w:bookmarkEnd w:id="9"/>
      <w:bookmarkEnd w:id="10"/>
      <w:r>
        <w:rPr>
          <w:rFonts w:hint="eastAsia" w:cs="Times New Roman"/>
          <w:sz w:val="36"/>
        </w:rPr>
        <w:t>验收项目概况</w:t>
      </w:r>
      <w:bookmarkEnd w:id="11"/>
    </w:p>
    <w:p>
      <w:pPr>
        <w:spacing w:line="540" w:lineRule="exact"/>
        <w:ind w:firstLine="480" w:firstLineChars="200"/>
        <w:rPr>
          <w:rFonts w:hint="eastAsia"/>
          <w:color w:val="000000"/>
          <w:sz w:val="24"/>
          <w:szCs w:val="24"/>
          <w:lang w:eastAsia="zh-CN"/>
        </w:rPr>
      </w:pPr>
      <w:r>
        <w:rPr>
          <w:rFonts w:hint="eastAsia"/>
          <w:color w:val="000000"/>
          <w:sz w:val="24"/>
          <w:szCs w:val="24"/>
          <w:lang w:eastAsia="zh-CN"/>
        </w:rPr>
        <w:t>重庆市万州区鸿鸥地产发展有限公司山屿城</w:t>
      </w:r>
      <w:r>
        <w:rPr>
          <w:rFonts w:hint="eastAsia"/>
          <w:color w:val="000000"/>
          <w:sz w:val="24"/>
          <w:szCs w:val="24"/>
        </w:rPr>
        <w:t>项目位于重庆市万州区牌楼街道石峰村，项目总用地面积约101898.00m</w:t>
      </w:r>
      <w:r>
        <w:rPr>
          <w:rFonts w:hint="eastAsia"/>
          <w:color w:val="000000"/>
          <w:sz w:val="24"/>
          <w:szCs w:val="24"/>
          <w:vertAlign w:val="superscript"/>
        </w:rPr>
        <w:t>2</w:t>
      </w:r>
      <w:r>
        <w:rPr>
          <w:rFonts w:hint="eastAsia"/>
          <w:color w:val="000000"/>
          <w:sz w:val="24"/>
          <w:szCs w:val="24"/>
        </w:rPr>
        <w:t>，总建筑面积为338000m</w:t>
      </w:r>
      <w:r>
        <w:rPr>
          <w:rFonts w:hint="eastAsia"/>
          <w:color w:val="000000"/>
          <w:sz w:val="24"/>
          <w:szCs w:val="24"/>
          <w:vertAlign w:val="superscript"/>
        </w:rPr>
        <w:t>2</w:t>
      </w:r>
      <w:r>
        <w:rPr>
          <w:rFonts w:hint="eastAsia"/>
          <w:color w:val="000000"/>
          <w:sz w:val="24"/>
          <w:szCs w:val="24"/>
        </w:rPr>
        <w:t>，建设内容包括10栋高层住宅、12栋多层住宅、1栋独栋商业楼、1处商业裙楼和其他配套设施组成。项目总居住户数为2046户，总居住人口约7699人。本次验收范围为</w:t>
      </w:r>
      <w:r>
        <w:rPr>
          <w:rFonts w:hint="eastAsia"/>
          <w:color w:val="000000"/>
          <w:sz w:val="24"/>
          <w:szCs w:val="24"/>
          <w:lang w:eastAsia="zh-CN"/>
        </w:rPr>
        <w:t>山屿城1、22、23、25、26、27号楼及2、3号车库。</w:t>
      </w:r>
    </w:p>
    <w:p>
      <w:pPr>
        <w:spacing w:line="540" w:lineRule="exact"/>
        <w:ind w:firstLine="480" w:firstLineChars="200"/>
        <w:rPr>
          <w:rFonts w:hint="default"/>
          <w:b w:val="0"/>
          <w:bCs w:val="0"/>
          <w:color w:val="000000" w:themeColor="text1"/>
          <w:sz w:val="24"/>
          <w:szCs w:val="24"/>
          <w:lang w:val="en-US"/>
        </w:rPr>
      </w:pPr>
      <w:r>
        <w:rPr>
          <w:color w:val="000000"/>
          <w:sz w:val="24"/>
          <w:szCs w:val="24"/>
        </w:rPr>
        <w:t>201</w:t>
      </w:r>
      <w:r>
        <w:rPr>
          <w:rFonts w:hint="eastAsia"/>
          <w:color w:val="000000"/>
          <w:sz w:val="24"/>
          <w:szCs w:val="24"/>
          <w:lang w:val="en-US" w:eastAsia="zh-CN"/>
        </w:rPr>
        <w:t>8</w:t>
      </w:r>
      <w:r>
        <w:rPr>
          <w:color w:val="000000"/>
          <w:sz w:val="24"/>
          <w:szCs w:val="24"/>
        </w:rPr>
        <w:t>年</w:t>
      </w:r>
      <w:r>
        <w:rPr>
          <w:rFonts w:hint="eastAsia"/>
          <w:color w:val="000000"/>
          <w:sz w:val="24"/>
          <w:szCs w:val="24"/>
          <w:lang w:val="en-US" w:eastAsia="zh-CN"/>
        </w:rPr>
        <w:t>3</w:t>
      </w:r>
      <w:r>
        <w:rPr>
          <w:color w:val="000000"/>
          <w:sz w:val="24"/>
          <w:szCs w:val="24"/>
        </w:rPr>
        <w:t>月，</w:t>
      </w:r>
      <w:r>
        <w:rPr>
          <w:rFonts w:hint="eastAsia"/>
          <w:color w:val="000000"/>
          <w:sz w:val="24"/>
          <w:szCs w:val="24"/>
          <w:lang w:eastAsia="zh-CN"/>
        </w:rPr>
        <w:t>重庆宏伟环保工程有限公司</w:t>
      </w:r>
      <w:r>
        <w:rPr>
          <w:color w:val="000000"/>
          <w:sz w:val="24"/>
          <w:szCs w:val="24"/>
        </w:rPr>
        <w:t>对该项目进行了环境影响评价</w:t>
      </w:r>
      <w:r>
        <w:rPr>
          <w:rFonts w:hint="eastAsia"/>
          <w:color w:val="000000"/>
          <w:sz w:val="24"/>
          <w:szCs w:val="24"/>
        </w:rPr>
        <w:t>；20</w:t>
      </w:r>
      <w:r>
        <w:rPr>
          <w:rFonts w:hint="eastAsia"/>
          <w:color w:val="000000"/>
          <w:sz w:val="24"/>
          <w:szCs w:val="24"/>
          <w:lang w:val="en-US" w:eastAsia="zh-CN"/>
        </w:rPr>
        <w:t>18</w:t>
      </w:r>
      <w:r>
        <w:rPr>
          <w:color w:val="000000"/>
          <w:sz w:val="24"/>
          <w:szCs w:val="24"/>
        </w:rPr>
        <w:t>年</w:t>
      </w:r>
      <w:r>
        <w:rPr>
          <w:rFonts w:hint="eastAsia"/>
          <w:color w:val="000000"/>
          <w:sz w:val="24"/>
          <w:szCs w:val="24"/>
          <w:lang w:val="en-US" w:eastAsia="zh-CN"/>
        </w:rPr>
        <w:t>3</w:t>
      </w:r>
      <w:r>
        <w:rPr>
          <w:color w:val="000000"/>
          <w:sz w:val="24"/>
          <w:szCs w:val="24"/>
        </w:rPr>
        <w:t>月，重庆市万州区环境保护局以（渝（万）环准[201</w:t>
      </w:r>
      <w:r>
        <w:rPr>
          <w:rFonts w:hint="eastAsia"/>
          <w:color w:val="000000"/>
          <w:sz w:val="24"/>
          <w:szCs w:val="24"/>
          <w:lang w:val="en-US" w:eastAsia="zh-CN"/>
        </w:rPr>
        <w:t>8</w:t>
      </w:r>
      <w:r>
        <w:rPr>
          <w:color w:val="000000"/>
          <w:sz w:val="24"/>
          <w:szCs w:val="24"/>
        </w:rPr>
        <w:t>]</w:t>
      </w:r>
      <w:r>
        <w:rPr>
          <w:rFonts w:hint="eastAsia"/>
          <w:color w:val="000000"/>
          <w:sz w:val="24"/>
          <w:szCs w:val="24"/>
          <w:lang w:val="en-US" w:eastAsia="zh-CN"/>
        </w:rPr>
        <w:t>32</w:t>
      </w:r>
      <w:r>
        <w:rPr>
          <w:color w:val="000000"/>
          <w:sz w:val="24"/>
          <w:szCs w:val="24"/>
        </w:rPr>
        <w:t>号）文批复了</w:t>
      </w:r>
      <w:r>
        <w:rPr>
          <w:rFonts w:hint="eastAsia"/>
          <w:color w:val="000000"/>
          <w:sz w:val="24"/>
          <w:szCs w:val="24"/>
          <w:lang w:eastAsia="zh-CN"/>
        </w:rPr>
        <w:t>鸿鸥·山屿城环境影响报告表</w:t>
      </w:r>
      <w:r>
        <w:rPr>
          <w:rFonts w:hint="eastAsia"/>
          <w:color w:val="000000"/>
          <w:sz w:val="24"/>
          <w:szCs w:val="24"/>
        </w:rPr>
        <w:t>；</w:t>
      </w:r>
      <w:r>
        <w:rPr>
          <w:b w:val="0"/>
          <w:bCs w:val="0"/>
          <w:color w:val="000000" w:themeColor="text1"/>
          <w:sz w:val="24"/>
          <w:szCs w:val="24"/>
        </w:rPr>
        <w:t>201</w:t>
      </w:r>
      <w:r>
        <w:rPr>
          <w:rFonts w:hint="eastAsia"/>
          <w:b w:val="0"/>
          <w:bCs w:val="0"/>
          <w:color w:val="000000" w:themeColor="text1"/>
          <w:sz w:val="24"/>
          <w:szCs w:val="24"/>
        </w:rPr>
        <w:t>8</w:t>
      </w:r>
      <w:r>
        <w:rPr>
          <w:b w:val="0"/>
          <w:bCs w:val="0"/>
          <w:color w:val="000000" w:themeColor="text1"/>
          <w:sz w:val="24"/>
          <w:szCs w:val="24"/>
        </w:rPr>
        <w:t>年</w:t>
      </w:r>
      <w:r>
        <w:rPr>
          <w:rFonts w:hint="eastAsia"/>
          <w:b w:val="0"/>
          <w:bCs w:val="0"/>
          <w:color w:val="000000" w:themeColor="text1"/>
          <w:sz w:val="24"/>
          <w:szCs w:val="24"/>
        </w:rPr>
        <w:t>4</w:t>
      </w:r>
      <w:r>
        <w:rPr>
          <w:b w:val="0"/>
          <w:bCs w:val="0"/>
          <w:color w:val="000000" w:themeColor="text1"/>
          <w:sz w:val="24"/>
          <w:szCs w:val="24"/>
        </w:rPr>
        <w:t>月</w:t>
      </w:r>
      <w:r>
        <w:rPr>
          <w:rFonts w:hint="eastAsia"/>
          <w:b w:val="0"/>
          <w:bCs w:val="0"/>
          <w:color w:val="000000" w:themeColor="text1"/>
          <w:sz w:val="24"/>
          <w:szCs w:val="24"/>
          <w:lang w:eastAsia="zh-CN"/>
        </w:rPr>
        <w:t>建设，</w:t>
      </w:r>
      <w:r>
        <w:rPr>
          <w:rFonts w:hint="eastAsia"/>
          <w:b w:val="0"/>
          <w:bCs w:val="0"/>
          <w:color w:val="000000" w:themeColor="text1"/>
          <w:sz w:val="24"/>
          <w:szCs w:val="24"/>
          <w:lang w:val="en-US" w:eastAsia="zh-CN"/>
        </w:rPr>
        <w:t>2021年6月竣工。</w:t>
      </w:r>
    </w:p>
    <w:p>
      <w:pPr>
        <w:spacing w:line="540" w:lineRule="exact"/>
        <w:ind w:firstLine="480" w:firstLineChars="200"/>
        <w:rPr>
          <w:rFonts w:ascii="Times New Roman" w:hAnsi="Times New Roman" w:cs="Times New Roman"/>
          <w:color w:val="000000"/>
          <w:sz w:val="24"/>
          <w:szCs w:val="24"/>
        </w:rPr>
      </w:pPr>
      <w:r>
        <w:rPr>
          <w:rFonts w:ascii="Times New Roman" w:hAnsi="Times New Roman" w:cs="Times New Roman"/>
          <w:color w:val="000000"/>
          <w:sz w:val="24"/>
          <w:szCs w:val="24"/>
        </w:rPr>
        <w:t>现根据《中华人民共和国环境保护法》、《建设项目环境保护管理条例》（2017年）等有关建设项目环境保护法律、法规的规定，对</w:t>
      </w:r>
      <w:r>
        <w:rPr>
          <w:rFonts w:hint="eastAsia" w:ascii="Times New Roman" w:hAnsi="Times New Roman" w:cs="Times New Roman"/>
          <w:color w:val="000000"/>
          <w:sz w:val="24"/>
          <w:szCs w:val="24"/>
        </w:rPr>
        <w:t>“</w:t>
      </w:r>
      <w:r>
        <w:rPr>
          <w:rFonts w:hint="eastAsia" w:ascii="Times New Roman" w:hAnsi="Times New Roman" w:cs="Times New Roman"/>
          <w:color w:val="000000"/>
          <w:sz w:val="24"/>
          <w:szCs w:val="24"/>
          <w:lang w:eastAsia="zh-CN"/>
        </w:rPr>
        <w:t>山屿城1、22、23、25、26、27号楼及2、3号车库建设项目</w:t>
      </w:r>
      <w:r>
        <w:rPr>
          <w:rFonts w:hint="eastAsia" w:ascii="Times New Roman" w:hAnsi="Times New Roman" w:cs="Times New Roman"/>
          <w:color w:val="000000"/>
          <w:sz w:val="24"/>
          <w:szCs w:val="24"/>
        </w:rPr>
        <w:t>”</w:t>
      </w:r>
      <w:r>
        <w:rPr>
          <w:rFonts w:ascii="Times New Roman" w:hAnsi="Times New Roman" w:cs="Times New Roman"/>
          <w:color w:val="000000"/>
          <w:sz w:val="24"/>
          <w:szCs w:val="24"/>
        </w:rPr>
        <w:t>开展建设项目竣工环境保护验收。</w:t>
      </w:r>
    </w:p>
    <w:p>
      <w:pPr>
        <w:spacing w:line="540" w:lineRule="exact"/>
        <w:ind w:firstLine="480" w:firstLineChars="200"/>
        <w:rPr>
          <w:rFonts w:ascii="Times New Roman" w:hAnsi="Times New Roman" w:cs="Times New Roman"/>
          <w:color w:val="000000"/>
          <w:sz w:val="28"/>
          <w:szCs w:val="28"/>
        </w:rPr>
      </w:pPr>
      <w:r>
        <w:rPr>
          <w:rFonts w:hint="eastAsia" w:ascii="Times New Roman" w:hAnsi="Times New Roman" w:cs="Times New Roman"/>
          <w:color w:val="000000"/>
          <w:sz w:val="24"/>
          <w:szCs w:val="24"/>
        </w:rPr>
        <w:t>重庆市万州区鸿鸥地产发展有限公司委托</w:t>
      </w:r>
      <w:r>
        <w:rPr>
          <w:rFonts w:hint="eastAsia" w:cs="Times New Roman"/>
          <w:color w:val="000000"/>
          <w:sz w:val="24"/>
          <w:szCs w:val="24"/>
          <w:lang w:eastAsia="zh-CN"/>
        </w:rPr>
        <w:t>重庆伟达环保科技有限责任公司</w:t>
      </w:r>
      <w:r>
        <w:rPr>
          <w:rFonts w:hint="eastAsia" w:ascii="Times New Roman" w:hAnsi="Times New Roman" w:cs="Times New Roman"/>
          <w:color w:val="000000"/>
          <w:sz w:val="24"/>
          <w:szCs w:val="24"/>
        </w:rPr>
        <w:t>对“</w:t>
      </w:r>
      <w:r>
        <w:rPr>
          <w:rFonts w:hint="eastAsia" w:ascii="Times New Roman" w:hAnsi="Times New Roman" w:cs="Times New Roman"/>
          <w:color w:val="000000"/>
          <w:sz w:val="24"/>
          <w:szCs w:val="24"/>
          <w:lang w:eastAsia="zh-CN"/>
        </w:rPr>
        <w:t>山屿城1、22、23、25、26、27号楼及2、3号车库建设项目</w:t>
      </w:r>
      <w:r>
        <w:rPr>
          <w:rFonts w:hint="eastAsia" w:ascii="Times New Roman" w:hAnsi="Times New Roman" w:cs="Times New Roman"/>
          <w:color w:val="000000"/>
          <w:sz w:val="24"/>
          <w:szCs w:val="24"/>
        </w:rPr>
        <w:t>”开展建设项目竣工环境保护验收。接受委托后，我司组织专业技术人员对该项目进行现场勘查、资料收集，并对企业环保措施不规范情况提出整改措施等工作。</w:t>
      </w:r>
      <w:r>
        <w:rPr>
          <w:rFonts w:ascii="Times New Roman" w:hAnsi="Times New Roman" w:cs="Times New Roman"/>
          <w:color w:val="000000"/>
          <w:sz w:val="24"/>
          <w:szCs w:val="24"/>
        </w:rPr>
        <w:t>根据</w:t>
      </w:r>
      <w:r>
        <w:rPr>
          <w:rFonts w:hint="eastAsia" w:ascii="Times New Roman" w:hAnsi="Times New Roman" w:cs="Times New Roman"/>
          <w:color w:val="000000"/>
          <w:sz w:val="24"/>
          <w:szCs w:val="24"/>
        </w:rPr>
        <w:t>《建设项</w:t>
      </w:r>
      <w:r>
        <w:rPr>
          <w:rFonts w:ascii="Times New Roman" w:hAnsi="Times New Roman" w:cs="Times New Roman"/>
          <w:color w:val="000000"/>
          <w:sz w:val="24"/>
          <w:szCs w:val="24"/>
        </w:rPr>
        <w:t>目竣工环境保护验收技术指南 污染影响类（征求意见稿）意见的通知》（环办环评函【2017】1529号）文件、《</w:t>
      </w:r>
      <w:r>
        <w:rPr>
          <w:rFonts w:hint="eastAsia" w:ascii="Times New Roman" w:hAnsi="Times New Roman" w:cs="Times New Roman"/>
          <w:color w:val="000000"/>
          <w:sz w:val="24"/>
          <w:szCs w:val="24"/>
          <w:lang w:eastAsia="zh-CN"/>
        </w:rPr>
        <w:t>鸿鸥·山屿城环境影响报告表</w:t>
      </w:r>
      <w:r>
        <w:rPr>
          <w:rFonts w:ascii="Times New Roman" w:hAnsi="Times New Roman" w:cs="Times New Roman"/>
          <w:color w:val="000000"/>
          <w:sz w:val="24"/>
          <w:szCs w:val="24"/>
        </w:rPr>
        <w:t>》的相关结论、项目环评批复以及相关的技术规范等要求，编制完成了《</w:t>
      </w:r>
      <w:r>
        <w:rPr>
          <w:rFonts w:hint="eastAsia" w:ascii="Times New Roman" w:hAnsi="Times New Roman" w:cs="Times New Roman"/>
          <w:color w:val="000000"/>
          <w:sz w:val="24"/>
          <w:szCs w:val="24"/>
          <w:lang w:eastAsia="zh-CN"/>
        </w:rPr>
        <w:t>山屿城1、22、23、25、26、27号楼及2、3号车库建设项目竣工环境保护验收监测报告</w:t>
      </w:r>
      <w:r>
        <w:rPr>
          <w:rFonts w:ascii="Times New Roman" w:hAnsi="Times New Roman" w:cs="Times New Roman"/>
          <w:color w:val="000000"/>
          <w:sz w:val="24"/>
          <w:szCs w:val="24"/>
        </w:rPr>
        <w:t>》。</w:t>
      </w:r>
      <w:r>
        <w:rPr>
          <w:rFonts w:hint="eastAsia" w:ascii="Times New Roman" w:hAnsi="Times New Roman" w:cs="Times New Roman"/>
          <w:color w:val="000000"/>
          <w:sz w:val="24"/>
          <w:szCs w:val="24"/>
        </w:rPr>
        <w:t>本次验收调查仅针对</w:t>
      </w:r>
      <w:r>
        <w:rPr>
          <w:rFonts w:hint="eastAsia" w:ascii="Times New Roman" w:hAnsi="Times New Roman" w:cs="Times New Roman"/>
          <w:color w:val="000000"/>
          <w:sz w:val="24"/>
          <w:szCs w:val="24"/>
          <w:lang w:eastAsia="zh-CN"/>
        </w:rPr>
        <w:t>山屿城1、22、23、25、26、27号楼及2、3号车库</w:t>
      </w:r>
      <w:r>
        <w:rPr>
          <w:rFonts w:hint="eastAsia" w:ascii="Times New Roman" w:hAnsi="Times New Roman" w:cs="Times New Roman"/>
          <w:color w:val="000000"/>
          <w:sz w:val="24"/>
          <w:szCs w:val="24"/>
        </w:rPr>
        <w:t>，后期入驻商业应根据《建设项目环境保护条例》有关规定办理环境保护相关手续。</w:t>
      </w:r>
    </w:p>
    <w:p>
      <w:pPr>
        <w:spacing w:line="540" w:lineRule="exact"/>
        <w:ind w:firstLine="560" w:firstLineChars="200"/>
        <w:rPr>
          <w:rFonts w:hint="eastAsia"/>
          <w:color w:val="000000"/>
          <w:sz w:val="28"/>
          <w:szCs w:val="28"/>
        </w:rPr>
      </w:pPr>
      <w:r>
        <w:rPr>
          <w:rFonts w:hint="eastAsia"/>
          <w:color w:val="000000"/>
          <w:sz w:val="28"/>
          <w:szCs w:val="28"/>
        </w:rPr>
        <w:br w:type="page"/>
      </w:r>
    </w:p>
    <w:p>
      <w:pPr>
        <w:pStyle w:val="55"/>
        <w:spacing w:beforeLines="50"/>
        <w:rPr>
          <w:rFonts w:cs="Times New Roman"/>
          <w:sz w:val="36"/>
        </w:rPr>
      </w:pPr>
      <w:bookmarkStart w:id="12" w:name="_Toc13955"/>
      <w:r>
        <w:rPr>
          <w:rFonts w:hint="eastAsia" w:cs="Times New Roman"/>
          <w:sz w:val="36"/>
        </w:rPr>
        <w:t>2</w:t>
      </w:r>
      <w:r>
        <w:rPr>
          <w:rFonts w:cs="Times New Roman"/>
          <w:sz w:val="36"/>
        </w:rPr>
        <w:t xml:space="preserve"> </w:t>
      </w:r>
      <w:r>
        <w:rPr>
          <w:rFonts w:hint="eastAsia" w:cs="Times New Roman"/>
          <w:sz w:val="36"/>
        </w:rPr>
        <w:t>验收依据</w:t>
      </w:r>
      <w:bookmarkEnd w:id="12"/>
    </w:p>
    <w:p>
      <w:pPr>
        <w:pStyle w:val="56"/>
        <w:rPr>
          <w:rFonts w:cs="Times New Roman"/>
          <w:sz w:val="32"/>
        </w:rPr>
      </w:pPr>
      <w:bookmarkStart w:id="13" w:name="_Toc7233"/>
      <w:r>
        <w:rPr>
          <w:rFonts w:hint="eastAsia" w:cs="Times New Roman"/>
          <w:sz w:val="32"/>
        </w:rPr>
        <w:t>2</w:t>
      </w:r>
      <w:r>
        <w:rPr>
          <w:rFonts w:cs="Times New Roman"/>
          <w:sz w:val="32"/>
        </w:rPr>
        <w:t>.1 环境保护有关法规、政策</w:t>
      </w:r>
      <w:bookmarkEnd w:id="13"/>
    </w:p>
    <w:p>
      <w:pPr>
        <w:spacing w:after="0" w:line="500" w:lineRule="exact"/>
        <w:ind w:firstLine="360" w:firstLineChars="150"/>
        <w:jc w:val="both"/>
        <w:rPr>
          <w:rFonts w:ascii="Times New Roman" w:hAnsi="Times New Roman" w:eastAsia="宋体" w:cs="Times New Roman"/>
          <w:color w:val="000000" w:themeColor="text1"/>
          <w:sz w:val="24"/>
          <w:szCs w:val="24"/>
        </w:rPr>
      </w:pPr>
      <w:bookmarkStart w:id="14" w:name="_Toc249167418"/>
      <w:bookmarkStart w:id="15" w:name="_Toc249179230"/>
      <w:bookmarkStart w:id="16" w:name="_Toc184529243"/>
      <w:bookmarkStart w:id="17" w:name="_Toc249351090"/>
      <w:bookmarkStart w:id="18" w:name="_Toc305059555"/>
      <w:bookmarkStart w:id="19" w:name="_Toc341431720"/>
      <w:bookmarkStart w:id="20" w:name="_Toc332553910"/>
      <w:bookmarkStart w:id="21" w:name="_Toc321042408"/>
      <w:bookmarkStart w:id="22" w:name="_Toc280605145"/>
      <w:bookmarkStart w:id="23" w:name="_Toc341357467"/>
      <w:bookmarkStart w:id="24" w:name="_Toc341293101"/>
      <w:bookmarkStart w:id="25" w:name="_Toc249168133"/>
      <w:bookmarkStart w:id="26" w:name="_Toc249179016"/>
      <w:bookmarkStart w:id="27" w:name="_Toc341278416"/>
      <w:r>
        <w:rPr>
          <w:rFonts w:ascii="Times New Roman" w:hAnsi="Times New Roman" w:eastAsia="宋体" w:cs="Times New Roman"/>
          <w:color w:val="000000" w:themeColor="text1"/>
          <w:sz w:val="24"/>
          <w:szCs w:val="24"/>
        </w:rPr>
        <w:t>（1）《中华人民共和国环境保护法》（2015年修订）；</w:t>
      </w:r>
    </w:p>
    <w:p>
      <w:pPr>
        <w:spacing w:after="0" w:line="500" w:lineRule="exact"/>
        <w:ind w:firstLine="360" w:firstLineChars="150"/>
        <w:jc w:val="both"/>
        <w:rPr>
          <w:rFonts w:hint="eastAsia" w:ascii="Times New Roman" w:hAnsi="Times New Roman" w:eastAsia="宋体" w:cs="Times New Roman"/>
          <w:color w:val="000000" w:themeColor="text1"/>
          <w:sz w:val="24"/>
          <w:szCs w:val="24"/>
        </w:rPr>
      </w:pPr>
      <w:r>
        <w:rPr>
          <w:rFonts w:ascii="Times New Roman" w:hAnsi="Times New Roman" w:eastAsia="宋体" w:cs="Times New Roman"/>
          <w:color w:val="000000" w:themeColor="text1"/>
          <w:sz w:val="24"/>
          <w:szCs w:val="24"/>
        </w:rPr>
        <w:t>（2）《中华人民共和国环境影响评价法》（201</w:t>
      </w:r>
      <w:r>
        <w:rPr>
          <w:rFonts w:hint="eastAsia" w:ascii="Times New Roman" w:hAnsi="Times New Roman" w:eastAsia="宋体" w:cs="Times New Roman"/>
          <w:color w:val="000000" w:themeColor="text1"/>
          <w:sz w:val="24"/>
          <w:szCs w:val="24"/>
        </w:rPr>
        <w:t>8</w:t>
      </w:r>
      <w:r>
        <w:rPr>
          <w:rFonts w:ascii="Times New Roman" w:hAnsi="Times New Roman" w:eastAsia="宋体" w:cs="Times New Roman"/>
          <w:color w:val="000000" w:themeColor="text1"/>
          <w:sz w:val="24"/>
          <w:szCs w:val="24"/>
        </w:rPr>
        <w:t>年修订）；</w:t>
      </w:r>
    </w:p>
    <w:p>
      <w:pPr>
        <w:spacing w:after="0" w:line="500" w:lineRule="exact"/>
        <w:ind w:firstLine="360" w:firstLineChars="150"/>
        <w:jc w:val="both"/>
        <w:rPr>
          <w:rFonts w:ascii="Times New Roman" w:hAnsi="Times New Roman" w:eastAsia="宋体" w:cs="Times New Roman"/>
          <w:color w:val="000000" w:themeColor="text1"/>
          <w:sz w:val="24"/>
          <w:szCs w:val="24"/>
        </w:rPr>
      </w:pPr>
      <w:r>
        <w:rPr>
          <w:rFonts w:ascii="Times New Roman" w:hAnsi="Times New Roman" w:eastAsia="宋体" w:cs="Times New Roman"/>
          <w:color w:val="000000" w:themeColor="text1"/>
          <w:sz w:val="24"/>
          <w:szCs w:val="24"/>
        </w:rPr>
        <w:t>（3）《中华人民共和国大气污染防治法》（2016年1月1日实施）；</w:t>
      </w:r>
    </w:p>
    <w:p>
      <w:pPr>
        <w:spacing w:after="0" w:line="500" w:lineRule="exact"/>
        <w:ind w:firstLine="360" w:firstLineChars="150"/>
        <w:jc w:val="both"/>
        <w:rPr>
          <w:rFonts w:hint="eastAsia" w:ascii="Times New Roman" w:hAnsi="Times New Roman" w:eastAsia="宋体" w:cs="Times New Roman"/>
          <w:color w:val="000000" w:themeColor="text1"/>
          <w:sz w:val="24"/>
          <w:szCs w:val="24"/>
        </w:rPr>
      </w:pPr>
      <w:r>
        <w:rPr>
          <w:rFonts w:ascii="Times New Roman" w:hAnsi="Times New Roman" w:eastAsia="宋体" w:cs="Times New Roman"/>
          <w:color w:val="000000" w:themeColor="text1"/>
          <w:sz w:val="24"/>
          <w:szCs w:val="24"/>
        </w:rPr>
        <w:t>（4）《中华人民共和国水污染防治法》（20</w:t>
      </w:r>
      <w:r>
        <w:rPr>
          <w:rFonts w:hint="eastAsia" w:ascii="Times New Roman" w:hAnsi="Times New Roman" w:eastAsia="宋体" w:cs="Times New Roman"/>
          <w:color w:val="000000" w:themeColor="text1"/>
          <w:sz w:val="24"/>
          <w:szCs w:val="24"/>
        </w:rPr>
        <w:t>1</w:t>
      </w:r>
      <w:r>
        <w:rPr>
          <w:rFonts w:ascii="Times New Roman" w:hAnsi="Times New Roman" w:eastAsia="宋体" w:cs="Times New Roman"/>
          <w:color w:val="000000" w:themeColor="text1"/>
          <w:sz w:val="24"/>
          <w:szCs w:val="24"/>
        </w:rPr>
        <w:t>8年</w:t>
      </w:r>
      <w:r>
        <w:rPr>
          <w:rFonts w:hint="eastAsia" w:ascii="Times New Roman" w:hAnsi="Times New Roman" w:eastAsia="宋体" w:cs="Times New Roman"/>
          <w:color w:val="000000" w:themeColor="text1"/>
          <w:sz w:val="24"/>
          <w:szCs w:val="24"/>
        </w:rPr>
        <w:t>1</w:t>
      </w:r>
      <w:r>
        <w:rPr>
          <w:rFonts w:ascii="Times New Roman" w:hAnsi="Times New Roman" w:eastAsia="宋体" w:cs="Times New Roman"/>
          <w:color w:val="000000" w:themeColor="text1"/>
          <w:sz w:val="24"/>
          <w:szCs w:val="24"/>
        </w:rPr>
        <w:t>月修订）；</w:t>
      </w:r>
    </w:p>
    <w:p>
      <w:pPr>
        <w:spacing w:after="0" w:line="500" w:lineRule="exact"/>
        <w:ind w:firstLine="360" w:firstLineChars="150"/>
        <w:jc w:val="both"/>
        <w:rPr>
          <w:rFonts w:hint="eastAsia" w:ascii="Times New Roman" w:hAnsi="Times New Roman" w:eastAsia="宋体" w:cs="Times New Roman"/>
          <w:color w:val="000000" w:themeColor="text1"/>
          <w:sz w:val="24"/>
          <w:szCs w:val="24"/>
        </w:rPr>
      </w:pPr>
      <w:r>
        <w:rPr>
          <w:rFonts w:ascii="Times New Roman" w:hAnsi="Times New Roman" w:eastAsia="宋体" w:cs="Times New Roman"/>
          <w:color w:val="000000" w:themeColor="text1"/>
          <w:sz w:val="24"/>
          <w:szCs w:val="24"/>
        </w:rPr>
        <w:t>（5）《中华人民共和国固体废物污染环境防治法》（20</w:t>
      </w:r>
      <w:r>
        <w:rPr>
          <w:rFonts w:hint="eastAsia" w:ascii="Times New Roman" w:hAnsi="Times New Roman" w:eastAsia="宋体" w:cs="Times New Roman"/>
          <w:color w:val="000000" w:themeColor="text1"/>
          <w:sz w:val="24"/>
          <w:szCs w:val="24"/>
          <w:lang w:val="en-US" w:eastAsia="zh-CN"/>
        </w:rPr>
        <w:t>20</w:t>
      </w:r>
      <w:r>
        <w:rPr>
          <w:rFonts w:ascii="Times New Roman" w:hAnsi="Times New Roman" w:eastAsia="宋体" w:cs="Times New Roman"/>
          <w:color w:val="000000" w:themeColor="text1"/>
          <w:sz w:val="24"/>
          <w:szCs w:val="24"/>
        </w:rPr>
        <w:t>年</w:t>
      </w:r>
      <w:r>
        <w:rPr>
          <w:rFonts w:hint="eastAsia" w:ascii="Times New Roman" w:hAnsi="Times New Roman" w:eastAsia="宋体" w:cs="Times New Roman"/>
          <w:color w:val="000000" w:themeColor="text1"/>
          <w:sz w:val="24"/>
          <w:szCs w:val="24"/>
          <w:lang w:val="en-US" w:eastAsia="zh-CN"/>
        </w:rPr>
        <w:t>9</w:t>
      </w:r>
      <w:r>
        <w:rPr>
          <w:rFonts w:ascii="Times New Roman" w:hAnsi="Times New Roman" w:eastAsia="宋体" w:cs="Times New Roman"/>
          <w:color w:val="000000" w:themeColor="text1"/>
          <w:sz w:val="24"/>
          <w:szCs w:val="24"/>
        </w:rPr>
        <w:t>月</w:t>
      </w:r>
      <w:r>
        <w:rPr>
          <w:rFonts w:hint="eastAsia" w:ascii="Times New Roman" w:hAnsi="Times New Roman" w:eastAsia="宋体" w:cs="Times New Roman"/>
          <w:color w:val="000000" w:themeColor="text1"/>
          <w:sz w:val="24"/>
          <w:szCs w:val="24"/>
          <w:lang w:val="en-US" w:eastAsia="zh-CN"/>
        </w:rPr>
        <w:t>1</w:t>
      </w:r>
      <w:r>
        <w:rPr>
          <w:rFonts w:ascii="Times New Roman" w:hAnsi="Times New Roman" w:eastAsia="宋体" w:cs="Times New Roman"/>
          <w:color w:val="000000" w:themeColor="text1"/>
          <w:sz w:val="24"/>
          <w:szCs w:val="24"/>
        </w:rPr>
        <w:t>日</w:t>
      </w:r>
      <w:r>
        <w:rPr>
          <w:rFonts w:hint="eastAsia" w:ascii="Times New Roman" w:hAnsi="Times New Roman" w:eastAsia="宋体" w:cs="Times New Roman"/>
          <w:color w:val="000000" w:themeColor="text1"/>
          <w:sz w:val="24"/>
          <w:szCs w:val="24"/>
          <w:lang w:eastAsia="zh-CN"/>
        </w:rPr>
        <w:t>实施</w:t>
      </w:r>
      <w:r>
        <w:rPr>
          <w:rFonts w:ascii="Times New Roman" w:hAnsi="Times New Roman" w:eastAsia="宋体" w:cs="Times New Roman"/>
          <w:color w:val="000000" w:themeColor="text1"/>
          <w:sz w:val="24"/>
          <w:szCs w:val="24"/>
        </w:rPr>
        <w:t>）；</w:t>
      </w:r>
    </w:p>
    <w:p>
      <w:pPr>
        <w:spacing w:after="0" w:line="500" w:lineRule="exact"/>
        <w:ind w:firstLine="360" w:firstLineChars="150"/>
        <w:jc w:val="both"/>
        <w:rPr>
          <w:rFonts w:hint="eastAsia" w:ascii="Times New Roman" w:hAnsi="Times New Roman" w:eastAsia="宋体" w:cs="Times New Roman"/>
          <w:color w:val="000000" w:themeColor="text1"/>
          <w:sz w:val="24"/>
          <w:szCs w:val="24"/>
          <w:lang w:eastAsia="zh-CN"/>
        </w:rPr>
      </w:pPr>
      <w:r>
        <w:rPr>
          <w:rFonts w:ascii="Times New Roman" w:hAnsi="Times New Roman" w:eastAsia="宋体" w:cs="Times New Roman"/>
          <w:color w:val="000000" w:themeColor="text1"/>
          <w:sz w:val="24"/>
          <w:szCs w:val="24"/>
        </w:rPr>
        <w:t>（6）《中华人民共和国环境噪声污染防治法》（</w:t>
      </w:r>
      <w:r>
        <w:rPr>
          <w:rFonts w:hint="eastAsia" w:ascii="Times New Roman" w:hAnsi="Times New Roman" w:eastAsia="宋体" w:cs="Times New Roman"/>
          <w:color w:val="000000" w:themeColor="text1"/>
          <w:sz w:val="24"/>
          <w:szCs w:val="24"/>
        </w:rPr>
        <w:t>2018</w:t>
      </w:r>
      <w:r>
        <w:rPr>
          <w:rFonts w:ascii="Times New Roman" w:hAnsi="Times New Roman" w:eastAsia="宋体" w:cs="Times New Roman"/>
          <w:color w:val="000000" w:themeColor="text1"/>
          <w:sz w:val="24"/>
          <w:szCs w:val="24"/>
        </w:rPr>
        <w:t>年）</w:t>
      </w:r>
      <w:r>
        <w:rPr>
          <w:rFonts w:hint="eastAsia" w:ascii="Times New Roman" w:hAnsi="Times New Roman" w:eastAsia="宋体" w:cs="Times New Roman"/>
          <w:color w:val="000000" w:themeColor="text1"/>
          <w:sz w:val="24"/>
          <w:szCs w:val="24"/>
          <w:lang w:eastAsia="zh-CN"/>
        </w:rPr>
        <w:t>；</w:t>
      </w:r>
    </w:p>
    <w:p>
      <w:pPr>
        <w:pStyle w:val="56"/>
        <w:rPr>
          <w:szCs w:val="28"/>
        </w:rPr>
      </w:pPr>
      <w:bookmarkStart w:id="28" w:name="_Toc29642"/>
      <w:r>
        <w:rPr>
          <w:rFonts w:hint="eastAsia" w:cs="Times New Roman"/>
          <w:sz w:val="32"/>
        </w:rPr>
        <w:t>2</w:t>
      </w:r>
      <w:r>
        <w:rPr>
          <w:rFonts w:cs="Times New Roman"/>
          <w:sz w:val="32"/>
        </w:rPr>
        <w:t xml:space="preserve">.2 </w:t>
      </w:r>
      <w:bookmarkEnd w:id="14"/>
      <w:bookmarkEnd w:id="15"/>
      <w:bookmarkEnd w:id="16"/>
      <w:bookmarkEnd w:id="17"/>
      <w:bookmarkEnd w:id="18"/>
      <w:bookmarkEnd w:id="19"/>
      <w:bookmarkEnd w:id="20"/>
      <w:bookmarkEnd w:id="21"/>
      <w:bookmarkEnd w:id="22"/>
      <w:bookmarkEnd w:id="23"/>
      <w:bookmarkEnd w:id="24"/>
      <w:bookmarkEnd w:id="25"/>
      <w:bookmarkEnd w:id="26"/>
      <w:bookmarkEnd w:id="27"/>
      <w:r>
        <w:rPr>
          <w:rFonts w:hint="eastAsia" w:cs="Times New Roman"/>
          <w:sz w:val="32"/>
        </w:rPr>
        <w:t>建设项目竣工环境保护验收技术规范</w:t>
      </w:r>
      <w:bookmarkEnd w:id="28"/>
    </w:p>
    <w:p>
      <w:pPr>
        <w:spacing w:after="0" w:line="500" w:lineRule="exact"/>
        <w:ind w:firstLine="360" w:firstLineChars="150"/>
        <w:jc w:val="both"/>
        <w:rPr>
          <w:rFonts w:ascii="Times New Roman" w:hAnsi="Times New Roman" w:eastAsia="宋体" w:cs="Times New Roman"/>
          <w:color w:val="000000" w:themeColor="text1"/>
          <w:sz w:val="24"/>
          <w:szCs w:val="24"/>
        </w:rPr>
      </w:pPr>
      <w:bookmarkStart w:id="29" w:name="_Toc305059556"/>
      <w:bookmarkStart w:id="30" w:name="_Toc341357468"/>
      <w:bookmarkStart w:id="31" w:name="_Toc341293102"/>
      <w:bookmarkStart w:id="32" w:name="_Toc341431721"/>
      <w:bookmarkStart w:id="33" w:name="_Toc332553911"/>
      <w:bookmarkStart w:id="34" w:name="_Toc341278417"/>
      <w:bookmarkStart w:id="35" w:name="_Toc321042409"/>
      <w:r>
        <w:rPr>
          <w:rFonts w:ascii="Times New Roman" w:hAnsi="Times New Roman" w:eastAsia="宋体" w:cs="Times New Roman"/>
          <w:color w:val="000000" w:themeColor="text1"/>
          <w:sz w:val="24"/>
          <w:szCs w:val="24"/>
        </w:rPr>
        <w:t>（1）《建设项目环境保护管理条例》（国务院令第253号）；</w:t>
      </w:r>
    </w:p>
    <w:p>
      <w:pPr>
        <w:spacing w:after="0" w:line="500" w:lineRule="exact"/>
        <w:ind w:firstLine="360" w:firstLineChars="150"/>
        <w:jc w:val="both"/>
        <w:rPr>
          <w:rFonts w:ascii="Times New Roman" w:hAnsi="Times New Roman" w:eastAsia="宋体" w:cs="Times New Roman"/>
          <w:color w:val="000000" w:themeColor="text1"/>
          <w:sz w:val="24"/>
          <w:szCs w:val="24"/>
        </w:rPr>
      </w:pPr>
      <w:r>
        <w:rPr>
          <w:rFonts w:ascii="Times New Roman" w:hAnsi="Times New Roman" w:eastAsia="宋体" w:cs="Times New Roman"/>
          <w:color w:val="000000" w:themeColor="text1"/>
          <w:sz w:val="24"/>
          <w:szCs w:val="24"/>
        </w:rPr>
        <w:t>（2）</w:t>
      </w:r>
      <w:r>
        <w:rPr>
          <w:rFonts w:hint="eastAsia" w:ascii="Times New Roman" w:hAnsi="Times New Roman" w:eastAsia="宋体" w:cs="Times New Roman"/>
          <w:color w:val="000000" w:themeColor="text1"/>
          <w:sz w:val="24"/>
          <w:szCs w:val="24"/>
        </w:rPr>
        <w:t>《建设项目竣工环境保护验收暂行办法》(国环规环评〔2017〕4号)</w:t>
      </w:r>
      <w:r>
        <w:rPr>
          <w:rFonts w:ascii="Times New Roman" w:hAnsi="Times New Roman" w:eastAsia="宋体" w:cs="Times New Roman"/>
          <w:color w:val="000000" w:themeColor="text1"/>
          <w:sz w:val="24"/>
          <w:szCs w:val="24"/>
        </w:rPr>
        <w:t>；</w:t>
      </w:r>
    </w:p>
    <w:p>
      <w:pPr>
        <w:spacing w:after="0" w:line="500" w:lineRule="exact"/>
        <w:ind w:firstLine="360" w:firstLineChars="150"/>
        <w:jc w:val="both"/>
        <w:rPr>
          <w:rFonts w:ascii="Times New Roman" w:hAnsi="Times New Roman" w:eastAsia="宋体" w:cs="Times New Roman"/>
          <w:color w:val="000000" w:themeColor="text1"/>
          <w:sz w:val="24"/>
          <w:szCs w:val="24"/>
        </w:rPr>
      </w:pPr>
      <w:r>
        <w:rPr>
          <w:rFonts w:ascii="Times New Roman" w:hAnsi="Times New Roman" w:eastAsia="宋体" w:cs="Times New Roman"/>
          <w:color w:val="000000" w:themeColor="text1"/>
          <w:sz w:val="24"/>
          <w:szCs w:val="24"/>
        </w:rPr>
        <w:t>（3）《建设项目环境影响评价分类管理名录》，</w:t>
      </w:r>
      <w:r>
        <w:rPr>
          <w:rFonts w:hint="eastAsia" w:ascii="Times New Roman" w:hAnsi="Times New Roman" w:eastAsia="宋体" w:cs="Times New Roman"/>
          <w:color w:val="000000" w:themeColor="text1"/>
          <w:sz w:val="24"/>
          <w:szCs w:val="24"/>
          <w:lang w:eastAsia="zh-CN"/>
        </w:rPr>
        <w:t>（</w:t>
      </w:r>
      <w:r>
        <w:rPr>
          <w:rFonts w:hint="eastAsia" w:ascii="Times New Roman" w:hAnsi="Times New Roman" w:eastAsia="宋体" w:cs="Times New Roman"/>
          <w:color w:val="000000" w:themeColor="text1"/>
          <w:sz w:val="24"/>
          <w:szCs w:val="24"/>
        </w:rPr>
        <w:t>2021年版</w:t>
      </w:r>
      <w:r>
        <w:rPr>
          <w:rFonts w:hint="eastAsia" w:ascii="Times New Roman" w:hAnsi="Times New Roman" w:eastAsia="宋体" w:cs="Times New Roman"/>
          <w:color w:val="000000" w:themeColor="text1"/>
          <w:sz w:val="24"/>
          <w:szCs w:val="24"/>
          <w:lang w:eastAsia="zh-CN"/>
        </w:rPr>
        <w:t>）</w:t>
      </w:r>
      <w:r>
        <w:rPr>
          <w:rFonts w:ascii="Times New Roman" w:hAnsi="Times New Roman" w:eastAsia="宋体" w:cs="Times New Roman"/>
          <w:color w:val="000000" w:themeColor="text1"/>
          <w:sz w:val="24"/>
          <w:szCs w:val="24"/>
        </w:rPr>
        <w:t>；</w:t>
      </w:r>
    </w:p>
    <w:p>
      <w:pPr>
        <w:spacing w:after="0" w:line="500" w:lineRule="exact"/>
        <w:ind w:firstLine="360" w:firstLineChars="150"/>
        <w:jc w:val="both"/>
        <w:rPr>
          <w:rFonts w:ascii="Times New Roman" w:hAnsi="Times New Roman" w:eastAsia="宋体" w:cs="Times New Roman"/>
          <w:color w:val="000000" w:themeColor="text1"/>
          <w:sz w:val="24"/>
          <w:szCs w:val="24"/>
        </w:rPr>
      </w:pPr>
      <w:r>
        <w:rPr>
          <w:rFonts w:ascii="Times New Roman" w:hAnsi="Times New Roman" w:eastAsia="宋体" w:cs="Times New Roman"/>
          <w:color w:val="000000" w:themeColor="text1"/>
          <w:sz w:val="24"/>
          <w:szCs w:val="24"/>
        </w:rPr>
        <w:t>（4）《突发环境事件应急预案管理暂行办法》环发[2010]113号；</w:t>
      </w:r>
    </w:p>
    <w:p>
      <w:pPr>
        <w:spacing w:after="0" w:line="500" w:lineRule="exact"/>
        <w:ind w:firstLine="360" w:firstLineChars="150"/>
        <w:jc w:val="both"/>
        <w:rPr>
          <w:rFonts w:ascii="Times New Roman" w:hAnsi="Times New Roman" w:eastAsia="宋体" w:cs="Times New Roman"/>
          <w:color w:val="000000" w:themeColor="text1"/>
          <w:sz w:val="24"/>
          <w:szCs w:val="24"/>
        </w:rPr>
      </w:pPr>
      <w:r>
        <w:rPr>
          <w:rFonts w:ascii="Times New Roman" w:hAnsi="Times New Roman" w:eastAsia="宋体" w:cs="Times New Roman"/>
          <w:color w:val="000000" w:themeColor="text1"/>
          <w:sz w:val="24"/>
          <w:szCs w:val="24"/>
        </w:rPr>
        <w:t>（5）《国务院关于印发水污染防治行动计划的通知》（国发[2015]17号）</w:t>
      </w:r>
      <w:r>
        <w:rPr>
          <w:rFonts w:hint="eastAsia" w:ascii="Times New Roman" w:hAnsi="Times New Roman" w:eastAsia="宋体" w:cs="Times New Roman"/>
          <w:color w:val="000000" w:themeColor="text1"/>
          <w:sz w:val="24"/>
          <w:szCs w:val="24"/>
        </w:rPr>
        <w:t>；</w:t>
      </w:r>
    </w:p>
    <w:p>
      <w:pPr>
        <w:spacing w:after="0" w:line="500" w:lineRule="exact"/>
        <w:ind w:firstLine="360" w:firstLineChars="150"/>
        <w:jc w:val="both"/>
        <w:rPr>
          <w:rFonts w:ascii="Times New Roman" w:hAnsi="Times New Roman" w:eastAsia="宋体" w:cs="Times New Roman"/>
          <w:color w:val="000000" w:themeColor="text1"/>
          <w:sz w:val="24"/>
          <w:szCs w:val="24"/>
        </w:rPr>
      </w:pPr>
      <w:r>
        <w:rPr>
          <w:rFonts w:hint="eastAsia" w:ascii="Times New Roman" w:hAnsi="Times New Roman" w:eastAsia="宋体" w:cs="Times New Roman"/>
          <w:color w:val="000000" w:themeColor="text1"/>
          <w:sz w:val="24"/>
          <w:szCs w:val="24"/>
        </w:rPr>
        <w:t>（6） 《建设项目竣工环境保护验收技术指南 污染影响类》(生态环境部公告2018年 第9号)</w:t>
      </w:r>
      <w:r>
        <w:rPr>
          <w:rFonts w:ascii="Times New Roman" w:hAnsi="Times New Roman" w:eastAsia="宋体" w:cs="Times New Roman"/>
          <w:color w:val="000000" w:themeColor="text1"/>
          <w:sz w:val="24"/>
          <w:szCs w:val="24"/>
        </w:rPr>
        <w:t>。</w:t>
      </w:r>
    </w:p>
    <w:p>
      <w:pPr>
        <w:spacing w:after="0" w:line="500" w:lineRule="exact"/>
        <w:ind w:firstLine="360" w:firstLineChars="150"/>
        <w:jc w:val="both"/>
        <w:rPr>
          <w:rFonts w:hint="eastAsia" w:ascii="Times New Roman" w:hAnsi="Times New Roman" w:eastAsia="宋体" w:cs="Times New Roman"/>
          <w:color w:val="000000" w:themeColor="text1"/>
          <w:sz w:val="24"/>
          <w:szCs w:val="24"/>
        </w:rPr>
      </w:pPr>
      <w:r>
        <w:rPr>
          <w:rFonts w:hint="eastAsia" w:ascii="Times New Roman" w:hAnsi="Times New Roman" w:eastAsia="宋体" w:cs="Times New Roman"/>
          <w:color w:val="000000" w:themeColor="text1"/>
          <w:sz w:val="24"/>
          <w:szCs w:val="24"/>
          <w:lang w:eastAsia="zh-CN"/>
        </w:rPr>
        <w:t>（</w:t>
      </w:r>
      <w:r>
        <w:rPr>
          <w:rFonts w:hint="eastAsia" w:ascii="Times New Roman" w:hAnsi="Times New Roman" w:eastAsia="宋体" w:cs="Times New Roman"/>
          <w:color w:val="000000" w:themeColor="text1"/>
          <w:sz w:val="24"/>
          <w:szCs w:val="24"/>
          <w:lang w:val="en-US" w:eastAsia="zh-CN"/>
        </w:rPr>
        <w:t>7</w:t>
      </w:r>
      <w:r>
        <w:rPr>
          <w:rFonts w:hint="eastAsia" w:ascii="Times New Roman" w:hAnsi="Times New Roman" w:eastAsia="宋体" w:cs="Times New Roman"/>
          <w:color w:val="000000" w:themeColor="text1"/>
          <w:sz w:val="24"/>
          <w:szCs w:val="24"/>
          <w:lang w:eastAsia="zh-CN"/>
        </w:rPr>
        <w:t>）</w:t>
      </w:r>
      <w:r>
        <w:rPr>
          <w:rFonts w:hint="eastAsia" w:ascii="Times New Roman" w:hAnsi="Times New Roman" w:eastAsia="宋体" w:cs="Times New Roman"/>
          <w:color w:val="000000" w:themeColor="text1"/>
          <w:sz w:val="24"/>
          <w:szCs w:val="24"/>
        </w:rPr>
        <w:t>重庆市人民代表大会常务委员会公告[2010]第22号《重庆市环境保护条例》(修正)；</w:t>
      </w:r>
    </w:p>
    <w:p>
      <w:pPr>
        <w:spacing w:after="0" w:line="500" w:lineRule="exact"/>
        <w:ind w:firstLine="360" w:firstLineChars="150"/>
        <w:jc w:val="both"/>
        <w:rPr>
          <w:color w:val="000000"/>
        </w:rPr>
      </w:pPr>
      <w:r>
        <w:rPr>
          <w:rFonts w:hint="eastAsia" w:ascii="Times New Roman" w:hAnsi="Times New Roman" w:eastAsia="宋体" w:cs="Times New Roman"/>
          <w:color w:val="000000" w:themeColor="text1"/>
          <w:sz w:val="24"/>
          <w:szCs w:val="24"/>
          <w:lang w:eastAsia="zh-CN"/>
        </w:rPr>
        <w:t>（</w:t>
      </w:r>
      <w:r>
        <w:rPr>
          <w:rFonts w:hint="eastAsia" w:ascii="Times New Roman" w:hAnsi="Times New Roman" w:eastAsia="宋体" w:cs="Times New Roman"/>
          <w:color w:val="000000" w:themeColor="text1"/>
          <w:sz w:val="24"/>
          <w:szCs w:val="24"/>
          <w:lang w:val="en-US" w:eastAsia="zh-CN"/>
        </w:rPr>
        <w:t>8</w:t>
      </w:r>
      <w:r>
        <w:rPr>
          <w:rFonts w:hint="eastAsia" w:ascii="Times New Roman" w:hAnsi="Times New Roman" w:eastAsia="宋体" w:cs="Times New Roman"/>
          <w:color w:val="000000" w:themeColor="text1"/>
          <w:sz w:val="24"/>
          <w:szCs w:val="24"/>
          <w:lang w:eastAsia="zh-CN"/>
        </w:rPr>
        <w:t>）</w:t>
      </w:r>
      <w:r>
        <w:rPr>
          <w:rFonts w:hint="eastAsia" w:ascii="Times New Roman" w:hAnsi="Times New Roman" w:eastAsia="宋体" w:cs="Times New Roman"/>
          <w:color w:val="000000" w:themeColor="text1"/>
          <w:sz w:val="24"/>
          <w:szCs w:val="24"/>
        </w:rPr>
        <w:t>重庆市人民政府第270号《重庆市环境噪声污染防治办法》。</w:t>
      </w:r>
    </w:p>
    <w:p>
      <w:pPr>
        <w:pStyle w:val="56"/>
        <w:rPr>
          <w:rFonts w:cs="Times New Roman"/>
          <w:sz w:val="32"/>
        </w:rPr>
      </w:pPr>
      <w:bookmarkStart w:id="36" w:name="_Toc6552"/>
      <w:r>
        <w:rPr>
          <w:rFonts w:hint="eastAsia" w:cs="Times New Roman"/>
          <w:sz w:val="32"/>
        </w:rPr>
        <w:t>2</w:t>
      </w:r>
      <w:r>
        <w:rPr>
          <w:rFonts w:cs="Times New Roman"/>
          <w:sz w:val="32"/>
        </w:rPr>
        <w:t>.3建设项目</w:t>
      </w:r>
      <w:r>
        <w:rPr>
          <w:rFonts w:hint="eastAsia" w:cs="Times New Roman"/>
          <w:sz w:val="32"/>
        </w:rPr>
        <w:t>环境影响</w:t>
      </w:r>
      <w:r>
        <w:rPr>
          <w:rFonts w:hint="eastAsia" w:cs="Times New Roman"/>
          <w:sz w:val="32"/>
          <w:lang w:eastAsia="zh-CN"/>
        </w:rPr>
        <w:t>报告表</w:t>
      </w:r>
      <w:r>
        <w:rPr>
          <w:rFonts w:hint="eastAsia" w:cs="Times New Roman"/>
          <w:sz w:val="32"/>
        </w:rPr>
        <w:t>（表）及审批部门审批决定</w:t>
      </w:r>
      <w:bookmarkEnd w:id="36"/>
    </w:p>
    <w:p>
      <w:pPr>
        <w:spacing w:after="0" w:line="500" w:lineRule="exact"/>
        <w:ind w:firstLine="360" w:firstLineChars="150"/>
        <w:jc w:val="both"/>
        <w:rPr>
          <w:rFonts w:hint="eastAsia" w:ascii="Times New Roman" w:hAnsi="Times New Roman" w:eastAsia="宋体" w:cs="Times New Roman"/>
          <w:color w:val="000000" w:themeColor="text1"/>
          <w:sz w:val="24"/>
          <w:szCs w:val="24"/>
          <w:lang w:eastAsia="zh-CN"/>
        </w:rPr>
      </w:pPr>
      <w:r>
        <w:rPr>
          <w:rFonts w:hint="eastAsia" w:ascii="Times New Roman" w:hAnsi="Times New Roman" w:eastAsia="宋体" w:cs="Times New Roman"/>
          <w:color w:val="000000" w:themeColor="text1"/>
          <w:sz w:val="24"/>
          <w:szCs w:val="24"/>
          <w:lang w:eastAsia="zh-CN"/>
        </w:rPr>
        <w:t>（1）重庆宏伟环保工程有限公司《鸿鸥·山屿城环境影响报告表》（201</w:t>
      </w:r>
      <w:r>
        <w:rPr>
          <w:rFonts w:hint="eastAsia" w:ascii="Times New Roman" w:hAnsi="Times New Roman" w:eastAsia="宋体" w:cs="Times New Roman"/>
          <w:color w:val="000000" w:themeColor="text1"/>
          <w:sz w:val="24"/>
          <w:szCs w:val="24"/>
          <w:lang w:val="en-US" w:eastAsia="zh-CN"/>
        </w:rPr>
        <w:t>8</w:t>
      </w:r>
      <w:r>
        <w:rPr>
          <w:rFonts w:hint="eastAsia" w:ascii="Times New Roman" w:hAnsi="Times New Roman" w:eastAsia="宋体" w:cs="Times New Roman"/>
          <w:color w:val="000000" w:themeColor="text1"/>
          <w:sz w:val="24"/>
          <w:szCs w:val="24"/>
          <w:lang w:eastAsia="zh-CN"/>
        </w:rPr>
        <w:t>.</w:t>
      </w:r>
      <w:r>
        <w:rPr>
          <w:rFonts w:hint="eastAsia" w:ascii="Times New Roman" w:hAnsi="Times New Roman" w:eastAsia="宋体" w:cs="Times New Roman"/>
          <w:color w:val="000000" w:themeColor="text1"/>
          <w:sz w:val="24"/>
          <w:szCs w:val="24"/>
          <w:lang w:val="en-US" w:eastAsia="zh-CN"/>
        </w:rPr>
        <w:t>3</w:t>
      </w:r>
      <w:r>
        <w:rPr>
          <w:rFonts w:hint="eastAsia" w:ascii="Times New Roman" w:hAnsi="Times New Roman" w:eastAsia="宋体" w:cs="Times New Roman"/>
          <w:color w:val="000000" w:themeColor="text1"/>
          <w:sz w:val="24"/>
          <w:szCs w:val="24"/>
          <w:lang w:eastAsia="zh-CN"/>
        </w:rPr>
        <w:t>）；</w:t>
      </w:r>
    </w:p>
    <w:p>
      <w:pPr>
        <w:spacing w:after="0" w:line="500" w:lineRule="exact"/>
        <w:ind w:firstLine="360" w:firstLineChars="150"/>
        <w:jc w:val="both"/>
        <w:rPr>
          <w:rFonts w:hint="eastAsia" w:ascii="Times New Roman" w:hAnsi="Times New Roman" w:eastAsia="宋体" w:cs="Times New Roman"/>
          <w:color w:val="000000" w:themeColor="text1"/>
          <w:sz w:val="24"/>
          <w:szCs w:val="24"/>
          <w:lang w:eastAsia="zh-CN"/>
        </w:rPr>
      </w:pPr>
      <w:r>
        <w:rPr>
          <w:rFonts w:hint="eastAsia" w:ascii="Times New Roman" w:hAnsi="Times New Roman" w:eastAsia="宋体" w:cs="Times New Roman"/>
          <w:color w:val="000000" w:themeColor="text1"/>
          <w:sz w:val="24"/>
          <w:szCs w:val="24"/>
          <w:lang w:eastAsia="zh-CN"/>
        </w:rPr>
        <w:t>（2）重庆市万州区环保局（渝（万）环准[201</w:t>
      </w:r>
      <w:r>
        <w:rPr>
          <w:rFonts w:hint="eastAsia" w:ascii="Times New Roman" w:hAnsi="Times New Roman" w:eastAsia="宋体" w:cs="Times New Roman"/>
          <w:color w:val="000000" w:themeColor="text1"/>
          <w:sz w:val="24"/>
          <w:szCs w:val="24"/>
          <w:lang w:val="en-US" w:eastAsia="zh-CN"/>
        </w:rPr>
        <w:t>8</w:t>
      </w:r>
      <w:r>
        <w:rPr>
          <w:rFonts w:hint="eastAsia" w:ascii="Times New Roman" w:hAnsi="Times New Roman" w:eastAsia="宋体" w:cs="Times New Roman"/>
          <w:color w:val="000000" w:themeColor="text1"/>
          <w:sz w:val="24"/>
          <w:szCs w:val="24"/>
          <w:lang w:eastAsia="zh-CN"/>
        </w:rPr>
        <w:t>]</w:t>
      </w:r>
      <w:r>
        <w:rPr>
          <w:rFonts w:hint="eastAsia" w:ascii="Times New Roman" w:hAnsi="Times New Roman" w:eastAsia="宋体" w:cs="Times New Roman"/>
          <w:color w:val="000000" w:themeColor="text1"/>
          <w:sz w:val="24"/>
          <w:szCs w:val="24"/>
          <w:lang w:val="en-US" w:eastAsia="zh-CN"/>
        </w:rPr>
        <w:t>32</w:t>
      </w:r>
      <w:r>
        <w:rPr>
          <w:rFonts w:hint="eastAsia" w:ascii="Times New Roman" w:hAnsi="Times New Roman" w:eastAsia="宋体" w:cs="Times New Roman"/>
          <w:color w:val="000000" w:themeColor="text1"/>
          <w:sz w:val="24"/>
          <w:szCs w:val="24"/>
          <w:lang w:eastAsia="zh-CN"/>
        </w:rPr>
        <w:t>号）《重庆市建设项目环境影响评价文件批准书》（201</w:t>
      </w:r>
      <w:r>
        <w:rPr>
          <w:rFonts w:hint="eastAsia" w:ascii="Times New Roman" w:hAnsi="Times New Roman" w:eastAsia="宋体" w:cs="Times New Roman"/>
          <w:color w:val="000000" w:themeColor="text1"/>
          <w:sz w:val="24"/>
          <w:szCs w:val="24"/>
          <w:lang w:val="en-US" w:eastAsia="zh-CN"/>
        </w:rPr>
        <w:t>8</w:t>
      </w:r>
      <w:r>
        <w:rPr>
          <w:rFonts w:hint="eastAsia" w:ascii="Times New Roman" w:hAnsi="Times New Roman" w:eastAsia="宋体" w:cs="Times New Roman"/>
          <w:color w:val="000000" w:themeColor="text1"/>
          <w:sz w:val="24"/>
          <w:szCs w:val="24"/>
          <w:lang w:eastAsia="zh-CN"/>
        </w:rPr>
        <w:t>.</w:t>
      </w:r>
      <w:r>
        <w:rPr>
          <w:rFonts w:hint="eastAsia" w:ascii="Times New Roman" w:hAnsi="Times New Roman" w:eastAsia="宋体" w:cs="Times New Roman"/>
          <w:color w:val="000000" w:themeColor="text1"/>
          <w:sz w:val="24"/>
          <w:szCs w:val="24"/>
          <w:lang w:val="en-US" w:eastAsia="zh-CN"/>
        </w:rPr>
        <w:t>3.22</w:t>
      </w:r>
      <w:r>
        <w:rPr>
          <w:rFonts w:hint="eastAsia" w:ascii="Times New Roman" w:hAnsi="Times New Roman" w:eastAsia="宋体" w:cs="Times New Roman"/>
          <w:color w:val="000000" w:themeColor="text1"/>
          <w:sz w:val="24"/>
          <w:szCs w:val="24"/>
          <w:lang w:eastAsia="zh-CN"/>
        </w:rPr>
        <w:t>）；</w:t>
      </w:r>
    </w:p>
    <w:p>
      <w:pPr>
        <w:spacing w:after="0" w:line="500" w:lineRule="exact"/>
        <w:ind w:firstLine="360" w:firstLineChars="150"/>
        <w:jc w:val="both"/>
        <w:rPr>
          <w:rFonts w:hint="eastAsia" w:ascii="Times New Roman" w:hAnsi="Times New Roman" w:eastAsia="宋体" w:cs="Times New Roman"/>
          <w:color w:val="000000" w:themeColor="text1"/>
          <w:sz w:val="24"/>
          <w:szCs w:val="24"/>
          <w:lang w:eastAsia="zh-CN"/>
        </w:rPr>
      </w:pPr>
      <w:r>
        <w:rPr>
          <w:rFonts w:hint="eastAsia" w:ascii="Times New Roman" w:hAnsi="Times New Roman" w:eastAsia="宋体" w:cs="Times New Roman"/>
          <w:color w:val="000000" w:themeColor="text1"/>
          <w:sz w:val="24"/>
          <w:szCs w:val="24"/>
          <w:lang w:eastAsia="zh-CN"/>
        </w:rPr>
        <w:t>（</w:t>
      </w:r>
      <w:r>
        <w:rPr>
          <w:rFonts w:hint="eastAsia" w:ascii="Times New Roman" w:hAnsi="Times New Roman" w:eastAsia="宋体" w:cs="Times New Roman"/>
          <w:color w:val="000000" w:themeColor="text1"/>
          <w:sz w:val="24"/>
          <w:szCs w:val="24"/>
          <w:lang w:val="en-US" w:eastAsia="zh-CN"/>
        </w:rPr>
        <w:t>3</w:t>
      </w:r>
      <w:r>
        <w:rPr>
          <w:rFonts w:hint="eastAsia" w:ascii="Times New Roman" w:hAnsi="Times New Roman" w:eastAsia="宋体" w:cs="Times New Roman"/>
          <w:color w:val="000000" w:themeColor="text1"/>
          <w:sz w:val="24"/>
          <w:szCs w:val="24"/>
          <w:lang w:eastAsia="zh-CN"/>
        </w:rPr>
        <w:t>）重庆市万州区鸿鸥地产发展有限公司提供的环保设计资料、工程竣工资料等其它相关资料。</w:t>
      </w:r>
    </w:p>
    <w:p>
      <w:pPr>
        <w:pStyle w:val="2"/>
        <w:rPr>
          <w:rFonts w:hint="eastAsia"/>
          <w:lang w:eastAsia="zh-CN"/>
        </w:rPr>
      </w:pPr>
    </w:p>
    <w:p>
      <w:pPr>
        <w:widowControl/>
        <w:jc w:val="left"/>
        <w:rPr>
          <w:color w:val="000000"/>
          <w:sz w:val="28"/>
          <w:szCs w:val="28"/>
        </w:rPr>
      </w:pPr>
      <w:r>
        <w:rPr>
          <w:color w:val="000000"/>
          <w:sz w:val="28"/>
          <w:szCs w:val="28"/>
        </w:rPr>
        <w:br w:type="page"/>
      </w:r>
    </w:p>
    <w:bookmarkEnd w:id="29"/>
    <w:bookmarkEnd w:id="30"/>
    <w:bookmarkEnd w:id="31"/>
    <w:bookmarkEnd w:id="32"/>
    <w:bookmarkEnd w:id="33"/>
    <w:bookmarkEnd w:id="34"/>
    <w:bookmarkEnd w:id="35"/>
    <w:p>
      <w:pPr>
        <w:pStyle w:val="55"/>
        <w:spacing w:beforeLines="50"/>
        <w:rPr>
          <w:rFonts w:cs="Times New Roman"/>
          <w:sz w:val="36"/>
        </w:rPr>
      </w:pPr>
      <w:bookmarkStart w:id="37" w:name="_Toc321042411"/>
      <w:bookmarkStart w:id="38" w:name="_Toc341293104"/>
      <w:bookmarkStart w:id="39" w:name="_Toc341357470"/>
      <w:bookmarkStart w:id="40" w:name="_Toc341431723"/>
      <w:bookmarkStart w:id="41" w:name="_Toc305059558"/>
      <w:bookmarkStart w:id="42" w:name="_Toc341278419"/>
      <w:bookmarkStart w:id="43" w:name="_Toc332553913"/>
      <w:bookmarkStart w:id="44" w:name="_Toc3806"/>
      <w:r>
        <w:rPr>
          <w:rFonts w:hint="eastAsia" w:cs="Times New Roman"/>
          <w:sz w:val="36"/>
        </w:rPr>
        <w:t>3</w:t>
      </w:r>
      <w:r>
        <w:rPr>
          <w:rFonts w:cs="Times New Roman"/>
          <w:sz w:val="36"/>
        </w:rPr>
        <w:t xml:space="preserve"> </w:t>
      </w:r>
      <w:bookmarkEnd w:id="37"/>
      <w:bookmarkEnd w:id="38"/>
      <w:bookmarkEnd w:id="39"/>
      <w:bookmarkEnd w:id="40"/>
      <w:bookmarkEnd w:id="41"/>
      <w:bookmarkEnd w:id="42"/>
      <w:bookmarkEnd w:id="43"/>
      <w:r>
        <w:rPr>
          <w:rFonts w:hint="eastAsia" w:cs="Times New Roman"/>
          <w:sz w:val="36"/>
        </w:rPr>
        <w:t>工程建设情况</w:t>
      </w:r>
      <w:bookmarkEnd w:id="44"/>
    </w:p>
    <w:p>
      <w:pPr>
        <w:pStyle w:val="56"/>
        <w:rPr>
          <w:rFonts w:cs="Times New Roman"/>
          <w:sz w:val="32"/>
        </w:rPr>
      </w:pPr>
      <w:bookmarkStart w:id="45" w:name="_Toc341293105"/>
      <w:bookmarkStart w:id="46" w:name="_Toc341357471"/>
      <w:bookmarkStart w:id="47" w:name="_Toc307902787"/>
      <w:bookmarkStart w:id="48" w:name="_Toc341278420"/>
      <w:bookmarkStart w:id="49" w:name="_Toc324514075"/>
      <w:bookmarkStart w:id="50" w:name="_Toc341431724"/>
      <w:bookmarkStart w:id="51" w:name="_Toc325099457"/>
      <w:bookmarkStart w:id="52" w:name="_Toc30505"/>
      <w:bookmarkStart w:id="53" w:name="_Toc332553914"/>
      <w:bookmarkStart w:id="54" w:name="_Toc321042412"/>
      <w:bookmarkStart w:id="55" w:name="_Toc305059559"/>
      <w:r>
        <w:rPr>
          <w:rFonts w:hint="eastAsia" w:cs="Times New Roman"/>
          <w:sz w:val="32"/>
        </w:rPr>
        <w:t>3</w:t>
      </w:r>
      <w:r>
        <w:rPr>
          <w:rFonts w:cs="Times New Roman"/>
          <w:sz w:val="32"/>
        </w:rPr>
        <w:t>.1</w:t>
      </w:r>
      <w:bookmarkEnd w:id="45"/>
      <w:bookmarkEnd w:id="46"/>
      <w:bookmarkEnd w:id="47"/>
      <w:bookmarkEnd w:id="48"/>
      <w:bookmarkEnd w:id="49"/>
      <w:bookmarkEnd w:id="50"/>
      <w:bookmarkEnd w:id="51"/>
      <w:r>
        <w:rPr>
          <w:rFonts w:hint="eastAsia" w:cs="Times New Roman"/>
          <w:sz w:val="32"/>
        </w:rPr>
        <w:t>地理位置及平面布置</w:t>
      </w:r>
      <w:bookmarkEnd w:id="52"/>
    </w:p>
    <w:p>
      <w:pPr>
        <w:spacing w:line="540" w:lineRule="exact"/>
        <w:ind w:firstLine="480" w:firstLineChars="200"/>
        <w:rPr>
          <w:rFonts w:hint="eastAsia" w:ascii="Times New Roman" w:hAnsi="Times New Roman" w:eastAsia="宋体" w:cs="Times New Roman"/>
          <w:color w:val="000000"/>
          <w:sz w:val="24"/>
          <w:szCs w:val="24"/>
        </w:rPr>
      </w:pPr>
      <w:r>
        <w:rPr>
          <w:rFonts w:hint="eastAsia" w:ascii="Times New Roman" w:hAnsi="Times New Roman" w:eastAsia="宋体" w:cs="Times New Roman"/>
          <w:color w:val="000000"/>
          <w:sz w:val="24"/>
          <w:szCs w:val="24"/>
          <w:lang w:eastAsia="zh-CN"/>
        </w:rPr>
        <w:t>山屿城项目</w:t>
      </w:r>
      <w:r>
        <w:rPr>
          <w:rFonts w:hint="eastAsia" w:ascii="Times New Roman" w:hAnsi="Times New Roman" w:eastAsia="宋体" w:cs="Times New Roman"/>
          <w:color w:val="000000"/>
          <w:sz w:val="24"/>
          <w:szCs w:val="24"/>
        </w:rPr>
        <w:t>位于重庆市万州区</w:t>
      </w:r>
      <w:r>
        <w:rPr>
          <w:rFonts w:hint="eastAsia" w:ascii="Times New Roman" w:hAnsi="Times New Roman" w:eastAsia="宋体" w:cs="Times New Roman"/>
          <w:color w:val="000000"/>
          <w:sz w:val="24"/>
          <w:szCs w:val="24"/>
          <w:lang w:eastAsia="zh-CN"/>
        </w:rPr>
        <w:t>观音岩，周东、西、北三面临市政道路，其中石峰路为已建道路，其他为规划道路，地块南面为在建的市政梯道--金石梯道</w:t>
      </w:r>
      <w:r>
        <w:rPr>
          <w:rFonts w:hint="eastAsia" w:ascii="Times New Roman" w:hAnsi="Times New Roman" w:eastAsia="宋体" w:cs="Times New Roman"/>
          <w:color w:val="000000"/>
          <w:sz w:val="24"/>
          <w:szCs w:val="24"/>
        </w:rPr>
        <w:t>项目地理位置见附图1。</w:t>
      </w:r>
    </w:p>
    <w:p>
      <w:pPr>
        <w:spacing w:line="540" w:lineRule="exact"/>
        <w:ind w:firstLine="480" w:firstLineChars="200"/>
        <w:rPr>
          <w:rFonts w:hint="eastAsia" w:ascii="Times New Roman" w:hAnsi="Times New Roman" w:eastAsia="宋体" w:cs="Times New Roman"/>
          <w:color w:val="000000"/>
          <w:sz w:val="24"/>
          <w:szCs w:val="24"/>
          <w:lang w:eastAsia="zh-CN"/>
        </w:rPr>
      </w:pPr>
      <w:r>
        <w:rPr>
          <w:rFonts w:hint="eastAsia" w:ascii="Times New Roman" w:hAnsi="Times New Roman" w:eastAsia="宋体" w:cs="Times New Roman"/>
          <w:color w:val="000000"/>
          <w:sz w:val="24"/>
          <w:szCs w:val="24"/>
          <w:lang w:eastAsia="zh-CN"/>
        </w:rPr>
        <w:t>项目总用地面积约101898.00m</w:t>
      </w:r>
      <w:r>
        <w:rPr>
          <w:rFonts w:hint="eastAsia" w:ascii="Times New Roman" w:hAnsi="Times New Roman" w:eastAsia="宋体" w:cs="Times New Roman"/>
          <w:color w:val="000000"/>
          <w:sz w:val="24"/>
          <w:szCs w:val="24"/>
          <w:vertAlign w:val="superscript"/>
          <w:lang w:eastAsia="zh-CN"/>
        </w:rPr>
        <w:t>2</w:t>
      </w:r>
      <w:r>
        <w:rPr>
          <w:rFonts w:hint="eastAsia" w:ascii="Times New Roman" w:hAnsi="Times New Roman" w:eastAsia="宋体" w:cs="Times New Roman"/>
          <w:color w:val="000000"/>
          <w:sz w:val="24"/>
          <w:szCs w:val="24"/>
          <w:lang w:eastAsia="zh-CN"/>
        </w:rPr>
        <w:t>，总建筑面积为338000m</w:t>
      </w:r>
      <w:r>
        <w:rPr>
          <w:rFonts w:hint="eastAsia" w:ascii="Times New Roman" w:hAnsi="Times New Roman" w:eastAsia="宋体" w:cs="Times New Roman"/>
          <w:color w:val="000000"/>
          <w:sz w:val="24"/>
          <w:szCs w:val="24"/>
          <w:vertAlign w:val="superscript"/>
          <w:lang w:eastAsia="zh-CN"/>
        </w:rPr>
        <w:t>2</w:t>
      </w:r>
      <w:r>
        <w:rPr>
          <w:rFonts w:hint="eastAsia" w:ascii="Times New Roman" w:hAnsi="Times New Roman" w:eastAsia="宋体" w:cs="Times New Roman"/>
          <w:color w:val="000000"/>
          <w:sz w:val="24"/>
          <w:szCs w:val="24"/>
          <w:lang w:eastAsia="zh-CN"/>
        </w:rPr>
        <w:t>，建设内容包括10栋高层住宅、12栋多层住宅、1栋独栋商业楼、1处商业裙楼和其他配套设施组成。本项目地块形状大致呈三角形，东西方向宽约380m，南北长约521m，地形西高东低，最高点高程约360.48m，最低点高程约309.44m。</w:t>
      </w:r>
    </w:p>
    <w:p>
      <w:pPr>
        <w:spacing w:line="540" w:lineRule="exact"/>
        <w:ind w:firstLine="480" w:firstLineChars="200"/>
        <w:rPr>
          <w:rFonts w:hint="eastAsia" w:ascii="Times New Roman" w:hAnsi="Times New Roman" w:eastAsia="宋体" w:cs="Times New Roman"/>
          <w:color w:val="000000"/>
          <w:sz w:val="24"/>
          <w:szCs w:val="24"/>
          <w:lang w:eastAsia="zh-CN"/>
        </w:rPr>
      </w:pPr>
      <w:r>
        <w:rPr>
          <w:rFonts w:hint="eastAsia" w:ascii="Times New Roman" w:hAnsi="Times New Roman" w:eastAsia="宋体" w:cs="Times New Roman"/>
          <w:color w:val="000000"/>
          <w:sz w:val="24"/>
          <w:szCs w:val="24"/>
          <w:lang w:eastAsia="zh-CN"/>
        </w:rPr>
        <w:t>多层建筑集中分布于地块中部，四栋18层的二类高层集中于地块北部，在同一区域另有两栋30层与29层的一类高层建筑；此外龙宝山脉下平行排列四栋33层与27层的一类高层。</w:t>
      </w:r>
    </w:p>
    <w:p>
      <w:pPr>
        <w:spacing w:line="540" w:lineRule="exact"/>
        <w:ind w:firstLine="480" w:firstLineChars="200"/>
        <w:rPr>
          <w:rFonts w:hint="eastAsia" w:ascii="Times New Roman" w:hAnsi="Times New Roman" w:eastAsia="宋体" w:cs="Times New Roman"/>
          <w:color w:val="000000"/>
          <w:sz w:val="24"/>
          <w:szCs w:val="24"/>
          <w:lang w:eastAsia="zh-CN"/>
        </w:rPr>
      </w:pPr>
      <w:r>
        <w:rPr>
          <w:rFonts w:hint="eastAsia" w:ascii="Times New Roman" w:hAnsi="Times New Roman" w:eastAsia="宋体" w:cs="Times New Roman"/>
          <w:color w:val="000000"/>
          <w:sz w:val="24"/>
          <w:szCs w:val="24"/>
          <w:lang w:eastAsia="zh-CN"/>
        </w:rPr>
        <w:t>小区内交通采用车行道和步行道相结合的方式，并实现人车分流。人行入口位于地块东面中部，沿石峰道路设置景观梯道接入小区；两个车行入口均位于地块西面，沿市政道路直接接入小区。小区内部地下车库分为商业车库与住宅车库，互不连通，商业车库出入口位于石峰大道，与商业建筑相邻布置；住宅车库分别在石峰路人行主入口处与西面车行出入口旁设置两个车库出入口。</w:t>
      </w:r>
    </w:p>
    <w:p>
      <w:pPr>
        <w:spacing w:line="540" w:lineRule="exact"/>
        <w:ind w:firstLine="480" w:firstLineChars="200"/>
        <w:rPr>
          <w:rFonts w:hint="eastAsia" w:ascii="Times New Roman" w:hAnsi="Times New Roman" w:eastAsia="宋体" w:cs="Times New Roman"/>
          <w:color w:val="000000"/>
          <w:sz w:val="24"/>
          <w:szCs w:val="24"/>
          <w:lang w:eastAsia="zh-CN"/>
        </w:rPr>
      </w:pPr>
      <w:r>
        <w:rPr>
          <w:rFonts w:hint="eastAsia" w:ascii="Times New Roman" w:hAnsi="Times New Roman" w:eastAsia="宋体" w:cs="Times New Roman"/>
          <w:color w:val="000000"/>
          <w:sz w:val="24"/>
          <w:szCs w:val="24"/>
          <w:lang w:eastAsia="zh-CN"/>
        </w:rPr>
        <w:t>总平面图见附图</w:t>
      </w:r>
      <w:r>
        <w:rPr>
          <w:rFonts w:hint="eastAsia" w:ascii="Times New Roman" w:hAnsi="Times New Roman" w:eastAsia="宋体" w:cs="Times New Roman"/>
          <w:color w:val="000000"/>
          <w:sz w:val="24"/>
          <w:szCs w:val="24"/>
          <w:lang w:val="en-US" w:eastAsia="zh-CN"/>
        </w:rPr>
        <w:t>2</w:t>
      </w:r>
      <w:r>
        <w:rPr>
          <w:rFonts w:hint="eastAsia" w:ascii="Times New Roman" w:hAnsi="Times New Roman" w:eastAsia="宋体" w:cs="Times New Roman"/>
          <w:color w:val="000000"/>
          <w:sz w:val="24"/>
          <w:szCs w:val="24"/>
          <w:lang w:eastAsia="zh-CN"/>
        </w:rPr>
        <w:t>。</w:t>
      </w:r>
    </w:p>
    <w:p>
      <w:pPr>
        <w:pStyle w:val="56"/>
        <w:rPr>
          <w:rFonts w:hAnsi="宋体"/>
          <w:color w:val="000000" w:themeColor="text1"/>
          <w:sz w:val="28"/>
          <w:szCs w:val="28"/>
        </w:rPr>
      </w:pPr>
      <w:bookmarkStart w:id="56" w:name="_Toc12644"/>
      <w:r>
        <w:rPr>
          <w:rFonts w:hint="eastAsia" w:cs="Times New Roman"/>
          <w:color w:val="000000" w:themeColor="text1"/>
          <w:sz w:val="32"/>
        </w:rPr>
        <w:t>3</w:t>
      </w:r>
      <w:r>
        <w:rPr>
          <w:rFonts w:cs="Times New Roman"/>
          <w:color w:val="000000" w:themeColor="text1"/>
          <w:sz w:val="32"/>
        </w:rPr>
        <w:t>.</w:t>
      </w:r>
      <w:r>
        <w:rPr>
          <w:rFonts w:hint="eastAsia" w:cs="Times New Roman"/>
          <w:color w:val="000000" w:themeColor="text1"/>
          <w:sz w:val="32"/>
        </w:rPr>
        <w:t>2建设内容</w:t>
      </w:r>
      <w:bookmarkEnd w:id="56"/>
    </w:p>
    <w:p>
      <w:pPr>
        <w:spacing w:line="540" w:lineRule="exact"/>
        <w:ind w:firstLine="480" w:firstLineChars="200"/>
        <w:rPr>
          <w:rFonts w:hint="eastAsia" w:ascii="Times New Roman" w:hAnsi="Times New Roman" w:eastAsia="宋体" w:cs="Times New Roman"/>
          <w:bCs/>
          <w:color w:val="auto"/>
          <w:sz w:val="24"/>
          <w:szCs w:val="24"/>
        </w:rPr>
      </w:pPr>
      <w:r>
        <w:rPr>
          <w:rFonts w:hint="eastAsia" w:ascii="Times New Roman" w:hAnsi="Times New Roman" w:eastAsia="宋体" w:cs="Times New Roman"/>
          <w:bCs/>
          <w:color w:val="auto"/>
          <w:sz w:val="24"/>
          <w:szCs w:val="24"/>
        </w:rPr>
        <w:t>本项目主要建设集居住、商业、配套用房和地下车库为一体的居住区，总用地面积约101898.00m</w:t>
      </w:r>
      <w:r>
        <w:rPr>
          <w:rFonts w:hint="eastAsia" w:ascii="Times New Roman" w:hAnsi="Times New Roman" w:eastAsia="宋体" w:cs="Times New Roman"/>
          <w:bCs/>
          <w:color w:val="auto"/>
          <w:sz w:val="24"/>
          <w:szCs w:val="24"/>
          <w:vertAlign w:val="superscript"/>
        </w:rPr>
        <w:t>2</w:t>
      </w:r>
      <w:r>
        <w:rPr>
          <w:rFonts w:hint="eastAsia" w:ascii="Times New Roman" w:hAnsi="Times New Roman" w:eastAsia="宋体" w:cs="Times New Roman"/>
          <w:bCs/>
          <w:color w:val="auto"/>
          <w:sz w:val="24"/>
          <w:szCs w:val="24"/>
        </w:rPr>
        <w:t>，总建筑面积为338000m</w:t>
      </w:r>
      <w:r>
        <w:rPr>
          <w:rFonts w:hint="eastAsia" w:ascii="Times New Roman" w:hAnsi="Times New Roman" w:eastAsia="宋体" w:cs="Times New Roman"/>
          <w:bCs/>
          <w:color w:val="auto"/>
          <w:sz w:val="24"/>
          <w:szCs w:val="24"/>
          <w:vertAlign w:val="superscript"/>
        </w:rPr>
        <w:t>2</w:t>
      </w:r>
      <w:r>
        <w:rPr>
          <w:rFonts w:hint="eastAsia" w:ascii="Times New Roman" w:hAnsi="Times New Roman" w:eastAsia="宋体" w:cs="Times New Roman"/>
          <w:bCs/>
          <w:color w:val="auto"/>
          <w:sz w:val="24"/>
          <w:szCs w:val="24"/>
        </w:rPr>
        <w:t>，包括10栋高层住宅楼、12栋多层住宅楼、1栋独栋商业楼、1处商业裙楼以及配套工程、公用工程和环保工程等。本次验收</w:t>
      </w:r>
      <w:r>
        <w:rPr>
          <w:rFonts w:hint="eastAsia" w:ascii="Times New Roman" w:hAnsi="Times New Roman" w:eastAsia="宋体" w:cs="Times New Roman"/>
          <w:bCs/>
          <w:color w:val="auto"/>
          <w:sz w:val="24"/>
          <w:szCs w:val="24"/>
          <w:lang w:eastAsia="zh-CN"/>
        </w:rPr>
        <w:t>1、22、23、25、26、27号楼及2、3号车库</w:t>
      </w:r>
      <w:r>
        <w:rPr>
          <w:rFonts w:hint="eastAsia" w:ascii="Times New Roman" w:hAnsi="Times New Roman" w:eastAsia="宋体" w:cs="Times New Roman"/>
          <w:bCs/>
          <w:color w:val="auto"/>
          <w:sz w:val="24"/>
          <w:szCs w:val="24"/>
        </w:rPr>
        <w:t>，项目组成见表3-1。</w:t>
      </w:r>
    </w:p>
    <w:p>
      <w:pPr>
        <w:pStyle w:val="22"/>
        <w:spacing w:after="0" w:line="480" w:lineRule="auto"/>
        <w:ind w:firstLine="0" w:firstLineChars="0"/>
        <w:jc w:val="center"/>
        <w:rPr>
          <w:rFonts w:hAnsi="宋体"/>
          <w:b/>
          <w:color w:val="000000" w:themeColor="text1"/>
          <w:sz w:val="24"/>
          <w:szCs w:val="24"/>
        </w:rPr>
      </w:pPr>
      <w:r>
        <w:rPr>
          <w:rFonts w:hint="eastAsia" w:hAnsi="宋体"/>
          <w:b/>
          <w:color w:val="000000" w:themeColor="text1"/>
          <w:sz w:val="24"/>
          <w:szCs w:val="24"/>
        </w:rPr>
        <w:t>表3-1    项目组成情况表</w:t>
      </w:r>
    </w:p>
    <w:tbl>
      <w:tblPr>
        <w:tblStyle w:val="24"/>
        <w:tblW w:w="92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7"/>
        <w:gridCol w:w="1117"/>
        <w:gridCol w:w="4127"/>
        <w:gridCol w:w="35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44" w:type="dxa"/>
            <w:gridSpan w:val="2"/>
            <w:vAlign w:val="center"/>
          </w:tcPr>
          <w:p>
            <w:pPr>
              <w:widowControl/>
              <w:jc w:val="center"/>
              <w:rPr>
                <w:color w:val="000000" w:themeColor="text1"/>
                <w:kern w:val="0"/>
                <w:szCs w:val="21"/>
              </w:rPr>
            </w:pPr>
            <w:r>
              <w:rPr>
                <w:rFonts w:hAnsi="宋体"/>
                <w:color w:val="000000" w:themeColor="text1"/>
                <w:kern w:val="0"/>
                <w:szCs w:val="21"/>
              </w:rPr>
              <w:t>项目组成</w:t>
            </w:r>
          </w:p>
        </w:tc>
        <w:tc>
          <w:tcPr>
            <w:tcW w:w="4127" w:type="dxa"/>
            <w:vAlign w:val="center"/>
          </w:tcPr>
          <w:p>
            <w:pPr>
              <w:widowControl/>
              <w:jc w:val="center"/>
              <w:rPr>
                <w:rFonts w:hAnsi="宋体"/>
                <w:color w:val="000000" w:themeColor="text1"/>
                <w:kern w:val="0"/>
                <w:szCs w:val="21"/>
              </w:rPr>
            </w:pPr>
            <w:r>
              <w:t>环评建设内容</w:t>
            </w:r>
          </w:p>
        </w:tc>
        <w:tc>
          <w:tcPr>
            <w:tcW w:w="3569" w:type="dxa"/>
            <w:vAlign w:val="center"/>
          </w:tcPr>
          <w:p>
            <w:pPr>
              <w:widowControl/>
              <w:jc w:val="center"/>
              <w:rPr>
                <w:color w:val="000000" w:themeColor="text1"/>
                <w:kern w:val="0"/>
                <w:szCs w:val="21"/>
              </w:rPr>
            </w:pPr>
            <w:r>
              <w:t>实际建设内容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27" w:type="dxa"/>
            <w:vMerge w:val="restart"/>
            <w:vAlign w:val="center"/>
          </w:tcPr>
          <w:p>
            <w:pPr>
              <w:spacing w:line="240" w:lineRule="atLeast"/>
              <w:jc w:val="center"/>
              <w:rPr>
                <w:color w:val="000000" w:themeColor="text1"/>
                <w:kern w:val="0"/>
                <w:szCs w:val="21"/>
              </w:rPr>
            </w:pPr>
            <w:r>
              <w:rPr>
                <w:color w:val="auto"/>
              </w:rPr>
              <w:t>主体工程</w:t>
            </w:r>
          </w:p>
        </w:tc>
        <w:tc>
          <w:tcPr>
            <w:tcW w:w="1117" w:type="dxa"/>
            <w:vAlign w:val="center"/>
          </w:tcPr>
          <w:p>
            <w:pPr>
              <w:spacing w:line="240" w:lineRule="atLeast"/>
              <w:jc w:val="center"/>
              <w:rPr>
                <w:color w:val="000000" w:themeColor="text1"/>
                <w:kern w:val="0"/>
                <w:szCs w:val="21"/>
              </w:rPr>
            </w:pPr>
            <w:r>
              <w:rPr>
                <w:rFonts w:hint="eastAsia"/>
                <w:color w:val="auto"/>
              </w:rPr>
              <w:t>住宅楼</w:t>
            </w:r>
          </w:p>
        </w:tc>
        <w:tc>
          <w:tcPr>
            <w:tcW w:w="4127" w:type="dxa"/>
            <w:vAlign w:val="center"/>
          </w:tcPr>
          <w:p>
            <w:pPr>
              <w:spacing w:line="240" w:lineRule="atLeast"/>
              <w:rPr>
                <w:rFonts w:hint="default" w:hAnsi="宋体" w:eastAsia="宋体"/>
                <w:color w:val="000000" w:themeColor="text1"/>
                <w:kern w:val="0"/>
                <w:szCs w:val="21"/>
                <w:vertAlign w:val="baseline"/>
                <w:lang w:val="en-US" w:eastAsia="zh-CN"/>
              </w:rPr>
            </w:pPr>
            <w:r>
              <w:rPr>
                <w:rFonts w:hint="eastAsia"/>
                <w:color w:val="auto"/>
              </w:rPr>
              <w:t>共22栋住宅楼，10栋高层建筑，12栋多层建筑，住宅总建筑面积240386.98m</w:t>
            </w:r>
            <w:r>
              <w:rPr>
                <w:rFonts w:hint="eastAsia"/>
                <w:color w:val="auto"/>
                <w:vertAlign w:val="superscript"/>
              </w:rPr>
              <w:t>2</w:t>
            </w:r>
            <w:r>
              <w:rPr>
                <w:rFonts w:hint="eastAsia"/>
                <w:color w:val="auto"/>
              </w:rPr>
              <w:t>，设计</w:t>
            </w:r>
            <w:r>
              <w:rPr>
                <w:color w:val="auto"/>
              </w:rPr>
              <w:t>住户</w:t>
            </w:r>
            <w:r>
              <w:rPr>
                <w:rFonts w:hint="eastAsia"/>
                <w:color w:val="auto"/>
              </w:rPr>
              <w:t>2046户，设计</w:t>
            </w:r>
            <w:r>
              <w:rPr>
                <w:color w:val="auto"/>
              </w:rPr>
              <w:t>居住人数</w:t>
            </w:r>
            <w:r>
              <w:rPr>
                <w:rFonts w:hint="eastAsia"/>
                <w:color w:val="auto"/>
              </w:rPr>
              <w:t>7699人。其中</w:t>
            </w:r>
            <w:r>
              <w:rPr>
                <w:rFonts w:hint="eastAsia"/>
                <w:bCs/>
                <w:color w:val="auto"/>
                <w:kern w:val="0"/>
                <w:szCs w:val="21"/>
              </w:rPr>
              <w:t>1</w:t>
            </w:r>
            <w:r>
              <w:rPr>
                <w:rFonts w:hint="eastAsia"/>
                <w:color w:val="auto"/>
              </w:rPr>
              <w:t>#~13#</w:t>
            </w:r>
            <w:r>
              <w:rPr>
                <w:rFonts w:hint="eastAsia"/>
                <w:bCs/>
                <w:color w:val="auto"/>
                <w:kern w:val="0"/>
                <w:szCs w:val="21"/>
              </w:rPr>
              <w:t>楼8</w:t>
            </w:r>
            <w:r>
              <w:rPr>
                <w:bCs/>
                <w:color w:val="auto"/>
                <w:kern w:val="0"/>
                <w:szCs w:val="21"/>
              </w:rPr>
              <w:t>F</w:t>
            </w:r>
            <w:r>
              <w:rPr>
                <w:rFonts w:hint="eastAsia"/>
                <w:bCs/>
                <w:color w:val="auto"/>
                <w:kern w:val="0"/>
                <w:szCs w:val="21"/>
              </w:rPr>
              <w:t>，15#~16#楼27</w:t>
            </w:r>
            <w:r>
              <w:rPr>
                <w:bCs/>
                <w:color w:val="auto"/>
                <w:kern w:val="0"/>
                <w:szCs w:val="21"/>
              </w:rPr>
              <w:t>F</w:t>
            </w:r>
            <w:r>
              <w:rPr>
                <w:rFonts w:hint="eastAsia"/>
                <w:bCs/>
                <w:color w:val="auto"/>
                <w:kern w:val="0"/>
                <w:szCs w:val="21"/>
              </w:rPr>
              <w:t>，17</w:t>
            </w:r>
            <w:r>
              <w:rPr>
                <w:bCs/>
                <w:color w:val="auto"/>
                <w:kern w:val="0"/>
                <w:szCs w:val="21"/>
              </w:rPr>
              <w:t>#</w:t>
            </w:r>
            <w:r>
              <w:rPr>
                <w:rFonts w:hint="eastAsia"/>
                <w:bCs/>
                <w:color w:val="auto"/>
                <w:kern w:val="0"/>
                <w:szCs w:val="21"/>
              </w:rPr>
              <w:t>~18</w:t>
            </w:r>
            <w:r>
              <w:rPr>
                <w:bCs/>
                <w:color w:val="auto"/>
                <w:kern w:val="0"/>
                <w:szCs w:val="21"/>
              </w:rPr>
              <w:t>楼</w:t>
            </w:r>
            <w:r>
              <w:rPr>
                <w:rFonts w:hint="eastAsia"/>
                <w:bCs/>
                <w:color w:val="auto"/>
                <w:kern w:val="0"/>
                <w:szCs w:val="21"/>
              </w:rPr>
              <w:t>33</w:t>
            </w:r>
            <w:r>
              <w:rPr>
                <w:bCs/>
                <w:color w:val="auto"/>
                <w:kern w:val="0"/>
                <w:szCs w:val="21"/>
              </w:rPr>
              <w:t>F</w:t>
            </w:r>
            <w:r>
              <w:rPr>
                <w:rFonts w:hint="eastAsia"/>
                <w:bCs/>
                <w:color w:val="auto"/>
                <w:kern w:val="0"/>
                <w:szCs w:val="21"/>
              </w:rPr>
              <w:t>，19#楼30</w:t>
            </w:r>
            <w:r>
              <w:rPr>
                <w:bCs/>
                <w:color w:val="auto"/>
                <w:kern w:val="0"/>
                <w:szCs w:val="21"/>
              </w:rPr>
              <w:t>F</w:t>
            </w:r>
            <w:r>
              <w:rPr>
                <w:rFonts w:hint="eastAsia"/>
                <w:bCs/>
                <w:color w:val="auto"/>
                <w:kern w:val="0"/>
                <w:szCs w:val="21"/>
              </w:rPr>
              <w:t>，20#楼29F，21#~25#楼18F</w:t>
            </w:r>
            <w:r>
              <w:rPr>
                <w:rFonts w:hint="eastAsia"/>
                <w:color w:val="auto"/>
              </w:rPr>
              <w:t>。</w:t>
            </w:r>
          </w:p>
        </w:tc>
        <w:tc>
          <w:tcPr>
            <w:tcW w:w="3569" w:type="dxa"/>
            <w:vAlign w:val="center"/>
          </w:tcPr>
          <w:p>
            <w:pPr>
              <w:widowControl/>
              <w:jc w:val="center"/>
              <w:rPr>
                <w:rFonts w:hint="eastAsia" w:ascii="Times New Roman" w:hAnsi="Times New Roman" w:eastAsia="宋体" w:cs="Times New Roman"/>
                <w:color w:val="000000" w:themeColor="text1"/>
                <w:kern w:val="0"/>
                <w:szCs w:val="21"/>
                <w:lang w:eastAsia="zh-CN"/>
              </w:rPr>
            </w:pPr>
            <w:r>
              <w:rPr>
                <w:rFonts w:hint="eastAsia" w:ascii="Times New Roman" w:hAnsi="Times New Roman" w:eastAsia="宋体" w:cs="Times New Roman"/>
                <w:color w:val="000000" w:themeColor="text1"/>
                <w:kern w:val="0"/>
                <w:szCs w:val="21"/>
                <w:lang w:eastAsia="zh-CN"/>
              </w:rPr>
              <w:t>1、22、23、25、26、27号楼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trPr>
        <w:tc>
          <w:tcPr>
            <w:tcW w:w="427" w:type="dxa"/>
            <w:vMerge w:val="continue"/>
            <w:vAlign w:val="center"/>
          </w:tcPr>
          <w:p>
            <w:pPr>
              <w:spacing w:line="240" w:lineRule="atLeast"/>
              <w:jc w:val="center"/>
              <w:rPr>
                <w:color w:val="000000" w:themeColor="text1"/>
                <w:kern w:val="0"/>
                <w:szCs w:val="21"/>
              </w:rPr>
            </w:pPr>
          </w:p>
        </w:tc>
        <w:tc>
          <w:tcPr>
            <w:tcW w:w="1117" w:type="dxa"/>
            <w:vAlign w:val="center"/>
          </w:tcPr>
          <w:p>
            <w:pPr>
              <w:spacing w:line="240" w:lineRule="atLeast"/>
              <w:jc w:val="center"/>
              <w:rPr>
                <w:color w:val="000000" w:themeColor="text1"/>
                <w:kern w:val="0"/>
                <w:szCs w:val="21"/>
              </w:rPr>
            </w:pPr>
            <w:r>
              <w:rPr>
                <w:rFonts w:hint="eastAsia"/>
                <w:color w:val="auto"/>
              </w:rPr>
              <w:t>商业</w:t>
            </w:r>
          </w:p>
        </w:tc>
        <w:tc>
          <w:tcPr>
            <w:tcW w:w="4127" w:type="dxa"/>
            <w:vAlign w:val="center"/>
          </w:tcPr>
          <w:p>
            <w:pPr>
              <w:spacing w:line="240" w:lineRule="atLeast"/>
              <w:jc w:val="left"/>
              <w:rPr>
                <w:rFonts w:hAnsi="宋体"/>
                <w:color w:val="000000" w:themeColor="text1"/>
                <w:kern w:val="0"/>
                <w:szCs w:val="21"/>
              </w:rPr>
            </w:pPr>
            <w:r>
              <w:rPr>
                <w:rFonts w:hint="eastAsia"/>
                <w:color w:val="auto"/>
              </w:rPr>
              <w:t>1栋独栋商业楼(26#楼)，1处商业裙楼(27#楼)，商业总建筑面积为11921.78m</w:t>
            </w:r>
            <w:r>
              <w:rPr>
                <w:rFonts w:hint="eastAsia"/>
                <w:color w:val="auto"/>
                <w:vertAlign w:val="superscript"/>
              </w:rPr>
              <w:t>2</w:t>
            </w:r>
            <w:r>
              <w:rPr>
                <w:rFonts w:hint="eastAsia"/>
                <w:color w:val="auto"/>
              </w:rPr>
              <w:t>。</w:t>
            </w:r>
          </w:p>
        </w:tc>
        <w:tc>
          <w:tcPr>
            <w:tcW w:w="3569" w:type="dxa"/>
            <w:vAlign w:val="center"/>
          </w:tcPr>
          <w:p>
            <w:pPr>
              <w:widowControl/>
              <w:jc w:val="center"/>
              <w:rPr>
                <w:rFonts w:hint="eastAsia" w:ascii="Times New Roman" w:hAnsi="Times New Roman" w:eastAsia="宋体" w:cs="Times New Roman"/>
                <w:color w:val="000000" w:themeColor="text1"/>
                <w:kern w:val="0"/>
                <w:szCs w:val="21"/>
                <w:lang w:eastAsia="zh-CN"/>
              </w:rPr>
            </w:pPr>
            <w:r>
              <w:rPr>
                <w:rFonts w:hint="eastAsia" w:ascii="Times New Roman" w:hAnsi="Times New Roman" w:eastAsia="宋体" w:cs="Times New Roman"/>
                <w:color w:val="000000" w:themeColor="text1"/>
                <w:kern w:val="0"/>
                <w:szCs w:val="21"/>
                <w:lang w:eastAsia="zh-CN"/>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27" w:type="dxa"/>
            <w:vMerge w:val="restart"/>
            <w:vAlign w:val="center"/>
          </w:tcPr>
          <w:p>
            <w:pPr>
              <w:spacing w:line="240" w:lineRule="atLeast"/>
              <w:jc w:val="center"/>
              <w:rPr>
                <w:color w:val="auto"/>
                <w:kern w:val="0"/>
                <w:szCs w:val="21"/>
              </w:rPr>
            </w:pPr>
            <w:r>
              <w:rPr>
                <w:rFonts w:hint="eastAsia"/>
                <w:color w:val="auto"/>
              </w:rPr>
              <w:t>辅助</w:t>
            </w:r>
            <w:r>
              <w:rPr>
                <w:color w:val="auto"/>
              </w:rPr>
              <w:t>工程</w:t>
            </w:r>
          </w:p>
        </w:tc>
        <w:tc>
          <w:tcPr>
            <w:tcW w:w="1117" w:type="dxa"/>
            <w:vAlign w:val="center"/>
          </w:tcPr>
          <w:p>
            <w:pPr>
              <w:spacing w:line="240" w:lineRule="atLeast"/>
              <w:jc w:val="center"/>
              <w:rPr>
                <w:color w:val="auto"/>
                <w:kern w:val="0"/>
                <w:szCs w:val="21"/>
              </w:rPr>
            </w:pPr>
            <w:r>
              <w:rPr>
                <w:rFonts w:hint="eastAsia"/>
                <w:color w:val="auto"/>
              </w:rPr>
              <w:t>车库</w:t>
            </w:r>
          </w:p>
        </w:tc>
        <w:tc>
          <w:tcPr>
            <w:tcW w:w="4127" w:type="dxa"/>
            <w:vAlign w:val="center"/>
          </w:tcPr>
          <w:p>
            <w:pPr>
              <w:spacing w:line="240" w:lineRule="atLeast"/>
              <w:jc w:val="left"/>
              <w:rPr>
                <w:rFonts w:hAnsi="宋体"/>
                <w:color w:val="auto"/>
                <w:kern w:val="0"/>
                <w:szCs w:val="21"/>
              </w:rPr>
            </w:pPr>
            <w:r>
              <w:rPr>
                <w:rFonts w:hint="eastAsia"/>
                <w:color w:val="auto"/>
              </w:rPr>
              <w:t>分为地上车库及地下车库，地上车库35个停车位，地下车库设有2171个停车位。地下车库分为商业车库与住宅车库，住宅车库均为地下2层；商业车库根据地形分布于南区26#商业背部，局部地下3层，</w:t>
            </w:r>
            <w:r>
              <w:rPr>
                <w:color w:val="auto"/>
              </w:rPr>
              <w:t>建筑面积为</w:t>
            </w:r>
            <w:r>
              <w:rPr>
                <w:rFonts w:hint="eastAsia"/>
                <w:color w:val="auto"/>
              </w:rPr>
              <w:t>82815.24m</w:t>
            </w:r>
            <w:r>
              <w:rPr>
                <w:rFonts w:hint="eastAsia"/>
                <w:color w:val="auto"/>
                <w:vertAlign w:val="superscript"/>
              </w:rPr>
              <w:t>2</w:t>
            </w:r>
            <w:r>
              <w:rPr>
                <w:color w:val="auto"/>
              </w:rPr>
              <w:t>。</w:t>
            </w:r>
          </w:p>
        </w:tc>
        <w:tc>
          <w:tcPr>
            <w:tcW w:w="3569" w:type="dxa"/>
            <w:vAlign w:val="center"/>
          </w:tcPr>
          <w:p>
            <w:pPr>
              <w:widowControl/>
              <w:jc w:val="center"/>
              <w:rPr>
                <w:rFonts w:hint="eastAsia" w:ascii="Times New Roman" w:hAnsi="Times New Roman" w:eastAsia="宋体" w:cs="Times New Roman"/>
                <w:color w:val="000000" w:themeColor="text1"/>
                <w:kern w:val="0"/>
                <w:szCs w:val="21"/>
                <w:lang w:eastAsia="zh-CN"/>
              </w:rPr>
            </w:pPr>
            <w:r>
              <w:rPr>
                <w:rFonts w:hint="eastAsia" w:ascii="Times New Roman" w:hAnsi="Times New Roman" w:eastAsia="宋体" w:cs="Times New Roman"/>
                <w:color w:val="000000" w:themeColor="text1"/>
                <w:kern w:val="0"/>
                <w:szCs w:val="21"/>
                <w:lang w:eastAsia="zh-CN"/>
              </w:rPr>
              <w:t>2、3号车库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27" w:type="dxa"/>
            <w:vMerge w:val="continue"/>
            <w:vAlign w:val="center"/>
          </w:tcPr>
          <w:p>
            <w:pPr>
              <w:spacing w:line="240" w:lineRule="atLeast"/>
              <w:jc w:val="center"/>
              <w:rPr>
                <w:color w:val="auto"/>
                <w:kern w:val="0"/>
                <w:szCs w:val="21"/>
              </w:rPr>
            </w:pPr>
          </w:p>
        </w:tc>
        <w:tc>
          <w:tcPr>
            <w:tcW w:w="1117" w:type="dxa"/>
            <w:vAlign w:val="center"/>
          </w:tcPr>
          <w:p>
            <w:pPr>
              <w:spacing w:line="240" w:lineRule="atLeast"/>
              <w:jc w:val="center"/>
              <w:rPr>
                <w:color w:val="auto"/>
                <w:kern w:val="0"/>
                <w:szCs w:val="21"/>
              </w:rPr>
            </w:pPr>
            <w:r>
              <w:rPr>
                <w:rFonts w:hint="eastAsia"/>
                <w:color w:val="auto"/>
              </w:rPr>
              <w:t>设备用房</w:t>
            </w:r>
          </w:p>
        </w:tc>
        <w:tc>
          <w:tcPr>
            <w:tcW w:w="4127" w:type="dxa"/>
            <w:vAlign w:val="center"/>
          </w:tcPr>
          <w:p>
            <w:pPr>
              <w:spacing w:line="240" w:lineRule="atLeast"/>
              <w:jc w:val="center"/>
              <w:rPr>
                <w:rFonts w:hAnsi="宋体"/>
                <w:color w:val="auto"/>
                <w:kern w:val="0"/>
                <w:szCs w:val="21"/>
              </w:rPr>
            </w:pPr>
            <w:r>
              <w:rPr>
                <w:rFonts w:hint="eastAsia"/>
                <w:color w:val="auto"/>
              </w:rPr>
              <w:t>包括</w:t>
            </w:r>
            <w:r>
              <w:rPr>
                <w:color w:val="auto"/>
              </w:rPr>
              <w:t>配电房、发电机房等</w:t>
            </w:r>
            <w:r>
              <w:rPr>
                <w:rFonts w:hint="eastAsia"/>
                <w:color w:val="auto"/>
              </w:rPr>
              <w:t>设备</w:t>
            </w:r>
            <w:r>
              <w:rPr>
                <w:color w:val="auto"/>
              </w:rPr>
              <w:t>用房</w:t>
            </w:r>
            <w:r>
              <w:rPr>
                <w:rFonts w:hint="eastAsia"/>
                <w:color w:val="auto"/>
              </w:rPr>
              <w:t>，设于16#与17#号楼地下室。</w:t>
            </w:r>
          </w:p>
        </w:tc>
        <w:tc>
          <w:tcPr>
            <w:tcW w:w="3569" w:type="dxa"/>
            <w:vAlign w:val="center"/>
          </w:tcPr>
          <w:p>
            <w:pPr>
              <w:widowControl/>
              <w:jc w:val="center"/>
              <w:rPr>
                <w:rFonts w:hint="eastAsia" w:ascii="Times New Roman" w:hAnsi="宋体" w:eastAsia="宋体" w:cs="Times New Roman"/>
                <w:color w:val="auto"/>
                <w:kern w:val="0"/>
                <w:szCs w:val="21"/>
                <w:lang w:eastAsia="zh-CN"/>
              </w:rPr>
            </w:pPr>
            <w:r>
              <w:rPr>
                <w:rFonts w:hint="eastAsia" w:ascii="Times New Roman" w:hAnsi="宋体" w:eastAsia="宋体" w:cs="Times New Roman"/>
                <w:color w:val="auto"/>
                <w:kern w:val="0"/>
                <w:szCs w:val="21"/>
                <w:lang w:eastAsia="zh-CN"/>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27" w:type="dxa"/>
            <w:vMerge w:val="continue"/>
            <w:vAlign w:val="center"/>
          </w:tcPr>
          <w:p>
            <w:pPr>
              <w:spacing w:line="240" w:lineRule="atLeast"/>
              <w:jc w:val="center"/>
              <w:rPr>
                <w:color w:val="auto"/>
                <w:kern w:val="0"/>
                <w:szCs w:val="21"/>
              </w:rPr>
            </w:pPr>
          </w:p>
        </w:tc>
        <w:tc>
          <w:tcPr>
            <w:tcW w:w="1117" w:type="dxa"/>
            <w:vAlign w:val="center"/>
          </w:tcPr>
          <w:p>
            <w:pPr>
              <w:spacing w:line="240" w:lineRule="atLeast"/>
              <w:jc w:val="center"/>
              <w:rPr>
                <w:color w:val="auto"/>
                <w:kern w:val="0"/>
                <w:szCs w:val="21"/>
              </w:rPr>
            </w:pPr>
            <w:r>
              <w:rPr>
                <w:rFonts w:hint="eastAsia"/>
                <w:color w:val="auto"/>
              </w:rPr>
              <w:t>配套用房</w:t>
            </w:r>
          </w:p>
        </w:tc>
        <w:tc>
          <w:tcPr>
            <w:tcW w:w="4127" w:type="dxa"/>
            <w:vAlign w:val="center"/>
          </w:tcPr>
          <w:p>
            <w:pPr>
              <w:spacing w:line="240" w:lineRule="atLeast"/>
              <w:jc w:val="left"/>
              <w:rPr>
                <w:rFonts w:hAnsi="宋体"/>
                <w:color w:val="auto"/>
                <w:kern w:val="0"/>
                <w:szCs w:val="21"/>
              </w:rPr>
            </w:pPr>
            <w:r>
              <w:rPr>
                <w:rFonts w:hint="eastAsia"/>
                <w:color w:val="auto"/>
              </w:rPr>
              <w:t>包括社区组织工作用房、物业管理用房、消防控制室，</w:t>
            </w:r>
            <w:r>
              <w:rPr>
                <w:color w:val="auto"/>
              </w:rPr>
              <w:t>建筑面积</w:t>
            </w:r>
            <w:r>
              <w:rPr>
                <w:rFonts w:hint="eastAsia"/>
                <w:color w:val="auto"/>
              </w:rPr>
              <w:t>分别</w:t>
            </w:r>
            <w:r>
              <w:rPr>
                <w:color w:val="auto"/>
              </w:rPr>
              <w:t>为</w:t>
            </w:r>
            <w:r>
              <w:rPr>
                <w:rFonts w:hint="eastAsia"/>
                <w:color w:val="auto"/>
              </w:rPr>
              <w:t>384.24m</w:t>
            </w:r>
            <w:r>
              <w:rPr>
                <w:rFonts w:hint="eastAsia"/>
                <w:color w:val="auto"/>
                <w:vertAlign w:val="superscript"/>
              </w:rPr>
              <w:t>2</w:t>
            </w:r>
            <w:r>
              <w:rPr>
                <w:rFonts w:hint="eastAsia"/>
                <w:color w:val="auto"/>
              </w:rPr>
              <w:t>、1042.95m</w:t>
            </w:r>
            <w:r>
              <w:rPr>
                <w:rFonts w:hint="eastAsia"/>
                <w:color w:val="auto"/>
                <w:vertAlign w:val="superscript"/>
              </w:rPr>
              <w:t>2</w:t>
            </w:r>
            <w:r>
              <w:rPr>
                <w:rFonts w:hint="eastAsia"/>
                <w:color w:val="auto"/>
              </w:rPr>
              <w:t>、45.00m</w:t>
            </w:r>
            <w:r>
              <w:rPr>
                <w:rFonts w:hint="eastAsia"/>
                <w:color w:val="auto"/>
                <w:vertAlign w:val="superscript"/>
              </w:rPr>
              <w:t>2</w:t>
            </w:r>
            <w:r>
              <w:rPr>
                <w:rFonts w:hint="eastAsia"/>
                <w:color w:val="auto"/>
              </w:rPr>
              <w:t>。社区组织工作用房、消防控制室设置于27#楼2层，物业管理用房设置于21#楼吊层中。</w:t>
            </w:r>
          </w:p>
        </w:tc>
        <w:tc>
          <w:tcPr>
            <w:tcW w:w="3569" w:type="dxa"/>
            <w:vAlign w:val="center"/>
          </w:tcPr>
          <w:p>
            <w:pPr>
              <w:widowControl/>
              <w:jc w:val="center"/>
              <w:rPr>
                <w:rFonts w:hint="eastAsia" w:ascii="Times New Roman" w:hAnsi="宋体" w:eastAsia="宋体" w:cs="Times New Roman"/>
                <w:color w:val="auto"/>
                <w:kern w:val="0"/>
                <w:szCs w:val="21"/>
                <w:lang w:eastAsia="zh-CN"/>
              </w:rPr>
            </w:pPr>
            <w:r>
              <w:rPr>
                <w:rFonts w:hint="eastAsia" w:ascii="Times New Roman" w:hAnsi="宋体" w:eastAsia="宋体" w:cs="Times New Roman"/>
                <w:color w:val="auto"/>
                <w:kern w:val="0"/>
                <w:szCs w:val="21"/>
                <w:lang w:eastAsia="zh-CN"/>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27" w:type="dxa"/>
            <w:vMerge w:val="continue"/>
            <w:vAlign w:val="center"/>
          </w:tcPr>
          <w:p>
            <w:pPr>
              <w:spacing w:line="240" w:lineRule="atLeast"/>
              <w:jc w:val="center"/>
              <w:rPr>
                <w:color w:val="auto"/>
                <w:kern w:val="0"/>
                <w:szCs w:val="21"/>
              </w:rPr>
            </w:pPr>
          </w:p>
        </w:tc>
        <w:tc>
          <w:tcPr>
            <w:tcW w:w="1117" w:type="dxa"/>
            <w:vAlign w:val="center"/>
          </w:tcPr>
          <w:p>
            <w:pPr>
              <w:spacing w:line="240" w:lineRule="atLeast"/>
              <w:jc w:val="center"/>
              <w:rPr>
                <w:color w:val="auto"/>
                <w:kern w:val="0"/>
                <w:szCs w:val="21"/>
              </w:rPr>
            </w:pPr>
            <w:r>
              <w:rPr>
                <w:rFonts w:hint="eastAsia"/>
                <w:color w:val="auto"/>
              </w:rPr>
              <w:t>公厕</w:t>
            </w:r>
          </w:p>
        </w:tc>
        <w:tc>
          <w:tcPr>
            <w:tcW w:w="4127" w:type="dxa"/>
            <w:vAlign w:val="center"/>
          </w:tcPr>
          <w:p>
            <w:pPr>
              <w:spacing w:line="240" w:lineRule="atLeast"/>
              <w:jc w:val="center"/>
              <w:rPr>
                <w:rFonts w:hAnsi="宋体"/>
                <w:color w:val="auto"/>
                <w:kern w:val="0"/>
                <w:szCs w:val="21"/>
              </w:rPr>
            </w:pPr>
            <w:r>
              <w:rPr>
                <w:rFonts w:hint="eastAsia"/>
                <w:color w:val="auto"/>
              </w:rPr>
              <w:t>1个，建筑面积为55.06m</w:t>
            </w:r>
            <w:r>
              <w:rPr>
                <w:rFonts w:hint="eastAsia"/>
                <w:color w:val="auto"/>
                <w:vertAlign w:val="superscript"/>
              </w:rPr>
              <w:t>2</w:t>
            </w:r>
            <w:r>
              <w:rPr>
                <w:rFonts w:hint="eastAsia"/>
                <w:color w:val="auto"/>
              </w:rPr>
              <w:t>，设置于27#楼2层。</w:t>
            </w:r>
          </w:p>
        </w:tc>
        <w:tc>
          <w:tcPr>
            <w:tcW w:w="3569" w:type="dxa"/>
            <w:vAlign w:val="center"/>
          </w:tcPr>
          <w:p>
            <w:pPr>
              <w:widowControl/>
              <w:jc w:val="center"/>
              <w:rPr>
                <w:color w:val="auto"/>
                <w:kern w:val="0"/>
                <w:szCs w:val="21"/>
              </w:rPr>
            </w:pPr>
            <w:r>
              <w:rPr>
                <w:rFonts w:hint="eastAsia" w:hAnsi="宋体"/>
                <w:color w:val="auto"/>
                <w:kern w:val="0"/>
                <w:szCs w:val="21"/>
                <w:lang w:eastAsia="zh-CN"/>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27" w:type="dxa"/>
            <w:vMerge w:val="restart"/>
            <w:vAlign w:val="center"/>
          </w:tcPr>
          <w:p>
            <w:pPr>
              <w:spacing w:line="240" w:lineRule="atLeast"/>
              <w:jc w:val="center"/>
              <w:rPr>
                <w:color w:val="auto"/>
                <w:kern w:val="0"/>
                <w:szCs w:val="21"/>
              </w:rPr>
            </w:pPr>
            <w:r>
              <w:rPr>
                <w:rFonts w:hint="eastAsia"/>
                <w:color w:val="auto"/>
              </w:rPr>
              <w:t>公用工程</w:t>
            </w:r>
          </w:p>
        </w:tc>
        <w:tc>
          <w:tcPr>
            <w:tcW w:w="1117" w:type="dxa"/>
            <w:vAlign w:val="center"/>
          </w:tcPr>
          <w:p>
            <w:pPr>
              <w:spacing w:line="240" w:lineRule="atLeast"/>
              <w:jc w:val="center"/>
              <w:rPr>
                <w:color w:val="auto"/>
                <w:kern w:val="0"/>
                <w:szCs w:val="21"/>
              </w:rPr>
            </w:pPr>
            <w:r>
              <w:rPr>
                <w:rFonts w:hint="eastAsia"/>
                <w:color w:val="auto"/>
              </w:rPr>
              <w:t>供电</w:t>
            </w:r>
          </w:p>
        </w:tc>
        <w:tc>
          <w:tcPr>
            <w:tcW w:w="4127" w:type="dxa"/>
            <w:vAlign w:val="center"/>
          </w:tcPr>
          <w:p>
            <w:pPr>
              <w:spacing w:line="240" w:lineRule="atLeast"/>
              <w:jc w:val="left"/>
              <w:rPr>
                <w:rFonts w:hint="eastAsia" w:hAnsi="宋体"/>
                <w:color w:val="auto"/>
                <w:kern w:val="0"/>
                <w:szCs w:val="21"/>
                <w:lang w:eastAsia="zh-CN"/>
              </w:rPr>
            </w:pPr>
            <w:r>
              <w:rPr>
                <w:rFonts w:hint="eastAsia"/>
                <w:color w:val="auto"/>
              </w:rPr>
              <w:t>从市政电源引入</w:t>
            </w:r>
            <w:r>
              <w:rPr>
                <w:color w:val="auto"/>
              </w:rPr>
              <w:t>1</w:t>
            </w:r>
            <w:r>
              <w:rPr>
                <w:rFonts w:hint="eastAsia"/>
                <w:color w:val="auto"/>
              </w:rPr>
              <w:t>路10kV电源到配电室，配备2台柴油发电机作为备用电源。</w:t>
            </w:r>
          </w:p>
        </w:tc>
        <w:tc>
          <w:tcPr>
            <w:tcW w:w="3569" w:type="dxa"/>
            <w:vAlign w:val="center"/>
          </w:tcPr>
          <w:p>
            <w:pPr>
              <w:widowControl/>
              <w:jc w:val="center"/>
              <w:rPr>
                <w:rFonts w:hint="default"/>
                <w:color w:val="auto"/>
                <w:kern w:val="0"/>
                <w:szCs w:val="21"/>
                <w:lang w:val="en-US"/>
              </w:rPr>
            </w:pPr>
            <w:r>
              <w:rPr>
                <w:rFonts w:hint="eastAsia" w:ascii="Times New Roman" w:hAnsi="宋体" w:eastAsia="宋体" w:cs="Times New Roman"/>
                <w:color w:val="auto"/>
                <w:kern w:val="0"/>
                <w:szCs w:val="21"/>
                <w:lang w:eastAsia="zh-CN"/>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27" w:type="dxa"/>
            <w:vMerge w:val="continue"/>
            <w:vAlign w:val="center"/>
          </w:tcPr>
          <w:p>
            <w:pPr>
              <w:spacing w:line="240" w:lineRule="atLeast"/>
              <w:jc w:val="center"/>
              <w:rPr>
                <w:color w:val="auto"/>
                <w:kern w:val="0"/>
                <w:szCs w:val="21"/>
              </w:rPr>
            </w:pPr>
          </w:p>
        </w:tc>
        <w:tc>
          <w:tcPr>
            <w:tcW w:w="1117" w:type="dxa"/>
            <w:vAlign w:val="center"/>
          </w:tcPr>
          <w:p>
            <w:pPr>
              <w:spacing w:line="240" w:lineRule="atLeast"/>
              <w:jc w:val="center"/>
              <w:rPr>
                <w:color w:val="auto"/>
                <w:kern w:val="0"/>
                <w:szCs w:val="21"/>
              </w:rPr>
            </w:pPr>
            <w:r>
              <w:rPr>
                <w:rFonts w:hint="eastAsia"/>
                <w:color w:val="auto"/>
              </w:rPr>
              <w:t>给水</w:t>
            </w:r>
          </w:p>
        </w:tc>
        <w:tc>
          <w:tcPr>
            <w:tcW w:w="4127" w:type="dxa"/>
            <w:vAlign w:val="center"/>
          </w:tcPr>
          <w:p>
            <w:pPr>
              <w:spacing w:line="240" w:lineRule="atLeast"/>
              <w:jc w:val="left"/>
              <w:rPr>
                <w:rFonts w:hAnsi="宋体"/>
                <w:color w:val="auto"/>
                <w:kern w:val="0"/>
                <w:szCs w:val="21"/>
              </w:rPr>
            </w:pPr>
            <w:r>
              <w:rPr>
                <w:rFonts w:hint="eastAsia"/>
                <w:color w:val="auto"/>
              </w:rPr>
              <w:t>由市政管网供水，从小区北侧市政自来水管网引一条DN200进水管。</w:t>
            </w:r>
          </w:p>
        </w:tc>
        <w:tc>
          <w:tcPr>
            <w:tcW w:w="3569" w:type="dxa"/>
            <w:vAlign w:val="center"/>
          </w:tcPr>
          <w:p>
            <w:pPr>
              <w:widowControl/>
              <w:jc w:val="center"/>
              <w:rPr>
                <w:rFonts w:hint="eastAsia" w:eastAsia="宋体"/>
                <w:color w:val="auto"/>
                <w:kern w:val="0"/>
                <w:szCs w:val="21"/>
                <w:lang w:eastAsia="zh-CN"/>
              </w:rPr>
            </w:pPr>
            <w:r>
              <w:rPr>
                <w:rFonts w:hint="eastAsia" w:ascii="Times New Roman" w:hAnsi="宋体" w:eastAsia="宋体" w:cs="Times New Roman"/>
                <w:color w:val="auto"/>
                <w:kern w:val="0"/>
                <w:szCs w:val="21"/>
                <w:lang w:eastAsia="zh-CN"/>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27" w:type="dxa"/>
            <w:vMerge w:val="continue"/>
            <w:vAlign w:val="center"/>
          </w:tcPr>
          <w:p>
            <w:pPr>
              <w:spacing w:line="240" w:lineRule="atLeast"/>
              <w:jc w:val="center"/>
              <w:rPr>
                <w:color w:val="auto"/>
                <w:kern w:val="0"/>
                <w:szCs w:val="21"/>
              </w:rPr>
            </w:pPr>
          </w:p>
        </w:tc>
        <w:tc>
          <w:tcPr>
            <w:tcW w:w="1117" w:type="dxa"/>
            <w:vAlign w:val="center"/>
          </w:tcPr>
          <w:p>
            <w:pPr>
              <w:spacing w:line="240" w:lineRule="atLeast"/>
              <w:jc w:val="center"/>
              <w:rPr>
                <w:color w:val="auto"/>
                <w:kern w:val="0"/>
                <w:szCs w:val="21"/>
              </w:rPr>
            </w:pPr>
            <w:r>
              <w:rPr>
                <w:rFonts w:hint="eastAsia"/>
                <w:color w:val="auto"/>
              </w:rPr>
              <w:t>排水</w:t>
            </w:r>
          </w:p>
        </w:tc>
        <w:tc>
          <w:tcPr>
            <w:tcW w:w="4127" w:type="dxa"/>
            <w:vAlign w:val="center"/>
          </w:tcPr>
          <w:p>
            <w:pPr>
              <w:spacing w:line="240" w:lineRule="atLeast"/>
              <w:jc w:val="left"/>
              <w:rPr>
                <w:rFonts w:hAnsi="宋体"/>
                <w:color w:val="auto"/>
                <w:kern w:val="0"/>
                <w:szCs w:val="21"/>
              </w:rPr>
            </w:pPr>
            <w:r>
              <w:rPr>
                <w:rFonts w:hint="eastAsia"/>
                <w:color w:val="auto"/>
              </w:rPr>
              <w:t>雨污分流，雨水经收集后排入市政雨水管网，生活污水直接排入生化池，餐饮废水需经隔油池(各入驻餐饮企业自行配备隔油池)处理后再进入小区生化池处理，处理后的废水达到《污水综合排放标准》(GB8978-1996)三级标准后通过市政污水管网排入明镜滩污水处理厂处理达《城镇污水处理厂污染物排放标准》(GB18918－2002)一级B标排入长江。</w:t>
            </w:r>
          </w:p>
        </w:tc>
        <w:tc>
          <w:tcPr>
            <w:tcW w:w="3569" w:type="dxa"/>
            <w:vAlign w:val="center"/>
          </w:tcPr>
          <w:p>
            <w:pPr>
              <w:widowControl/>
              <w:jc w:val="center"/>
              <w:rPr>
                <w:rFonts w:hint="eastAsia" w:eastAsia="宋体"/>
                <w:color w:val="auto"/>
                <w:kern w:val="0"/>
                <w:szCs w:val="21"/>
                <w:lang w:eastAsia="zh-CN"/>
              </w:rPr>
            </w:pPr>
            <w:r>
              <w:rPr>
                <w:rFonts w:hint="eastAsia" w:ascii="Times New Roman" w:hAnsi="宋体" w:eastAsia="宋体" w:cs="Times New Roman"/>
                <w:color w:val="auto"/>
                <w:kern w:val="0"/>
                <w:szCs w:val="21"/>
                <w:lang w:eastAsia="zh-CN"/>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27" w:type="dxa"/>
            <w:vMerge w:val="continue"/>
            <w:vAlign w:val="center"/>
          </w:tcPr>
          <w:p>
            <w:pPr>
              <w:spacing w:line="240" w:lineRule="atLeast"/>
              <w:jc w:val="center"/>
              <w:rPr>
                <w:color w:val="auto"/>
                <w:kern w:val="0"/>
                <w:szCs w:val="21"/>
              </w:rPr>
            </w:pPr>
          </w:p>
        </w:tc>
        <w:tc>
          <w:tcPr>
            <w:tcW w:w="1117" w:type="dxa"/>
            <w:vAlign w:val="center"/>
          </w:tcPr>
          <w:p>
            <w:pPr>
              <w:spacing w:line="240" w:lineRule="atLeast"/>
              <w:jc w:val="center"/>
              <w:rPr>
                <w:color w:val="auto"/>
                <w:kern w:val="0"/>
                <w:szCs w:val="21"/>
              </w:rPr>
            </w:pPr>
            <w:r>
              <w:rPr>
                <w:rFonts w:hint="eastAsia"/>
                <w:color w:val="auto"/>
              </w:rPr>
              <w:t>供气</w:t>
            </w:r>
          </w:p>
        </w:tc>
        <w:tc>
          <w:tcPr>
            <w:tcW w:w="4127" w:type="dxa"/>
            <w:vAlign w:val="center"/>
          </w:tcPr>
          <w:p>
            <w:pPr>
              <w:spacing w:line="240" w:lineRule="atLeast"/>
              <w:jc w:val="center"/>
              <w:rPr>
                <w:rFonts w:hAnsi="宋体"/>
                <w:color w:val="auto"/>
                <w:kern w:val="0"/>
                <w:szCs w:val="21"/>
              </w:rPr>
            </w:pPr>
            <w:r>
              <w:rPr>
                <w:rFonts w:hint="eastAsia"/>
                <w:color w:val="auto"/>
              </w:rPr>
              <w:t>从市政燃气管网引入天燃气。</w:t>
            </w:r>
          </w:p>
        </w:tc>
        <w:tc>
          <w:tcPr>
            <w:tcW w:w="3569" w:type="dxa"/>
            <w:vAlign w:val="center"/>
          </w:tcPr>
          <w:p>
            <w:pPr>
              <w:widowControl/>
              <w:jc w:val="center"/>
              <w:rPr>
                <w:color w:val="auto"/>
                <w:kern w:val="0"/>
                <w:szCs w:val="21"/>
              </w:rPr>
            </w:pPr>
            <w:r>
              <w:rPr>
                <w:rFonts w:hint="eastAsia" w:hAnsi="宋体"/>
                <w:color w:val="auto"/>
                <w:kern w:val="0"/>
                <w:szCs w:val="21"/>
                <w:lang w:eastAsia="zh-CN"/>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27" w:type="dxa"/>
            <w:vMerge w:val="restart"/>
            <w:vAlign w:val="center"/>
          </w:tcPr>
          <w:p>
            <w:pPr>
              <w:spacing w:line="240" w:lineRule="atLeast"/>
              <w:jc w:val="center"/>
              <w:rPr>
                <w:color w:val="auto"/>
                <w:kern w:val="0"/>
                <w:szCs w:val="21"/>
              </w:rPr>
            </w:pPr>
            <w:r>
              <w:rPr>
                <w:color w:val="auto"/>
              </w:rPr>
              <w:t>环保工程</w:t>
            </w:r>
          </w:p>
        </w:tc>
        <w:tc>
          <w:tcPr>
            <w:tcW w:w="1117" w:type="dxa"/>
            <w:vAlign w:val="center"/>
          </w:tcPr>
          <w:p>
            <w:pPr>
              <w:spacing w:line="240" w:lineRule="atLeast"/>
              <w:jc w:val="center"/>
              <w:rPr>
                <w:color w:val="auto"/>
                <w:kern w:val="0"/>
                <w:szCs w:val="21"/>
              </w:rPr>
            </w:pPr>
            <w:r>
              <w:rPr>
                <w:rFonts w:hint="eastAsia"/>
                <w:color w:val="auto"/>
              </w:rPr>
              <w:t>餐饮废水</w:t>
            </w:r>
          </w:p>
        </w:tc>
        <w:tc>
          <w:tcPr>
            <w:tcW w:w="4127" w:type="dxa"/>
            <w:vAlign w:val="center"/>
          </w:tcPr>
          <w:p>
            <w:pPr>
              <w:spacing w:line="240" w:lineRule="atLeast"/>
              <w:jc w:val="left"/>
              <w:rPr>
                <w:rFonts w:hAnsi="宋体"/>
                <w:color w:val="auto"/>
                <w:kern w:val="0"/>
                <w:szCs w:val="21"/>
              </w:rPr>
            </w:pPr>
            <w:r>
              <w:rPr>
                <w:rFonts w:hint="eastAsia"/>
                <w:color w:val="auto"/>
              </w:rPr>
              <w:t>各入驻餐饮企业自行</w:t>
            </w:r>
            <w:r>
              <w:rPr>
                <w:rFonts w:hint="eastAsia"/>
                <w:color w:val="auto"/>
                <w:lang w:eastAsia="zh-CN"/>
              </w:rPr>
              <w:t>在</w:t>
            </w:r>
            <w:r>
              <w:rPr>
                <w:rFonts w:hint="eastAsia"/>
                <w:color w:val="auto"/>
              </w:rPr>
              <w:t>入驻</w:t>
            </w:r>
            <w:r>
              <w:rPr>
                <w:rFonts w:hint="eastAsia"/>
                <w:color w:val="auto"/>
                <w:lang w:eastAsia="zh-CN"/>
              </w:rPr>
              <w:t>门面内</w:t>
            </w:r>
            <w:r>
              <w:rPr>
                <w:rFonts w:hint="eastAsia"/>
                <w:color w:val="auto"/>
              </w:rPr>
              <w:t>配备隔油池</w:t>
            </w:r>
            <w:r>
              <w:rPr>
                <w:rFonts w:hint="eastAsia"/>
                <w:color w:val="auto"/>
                <w:lang w:eastAsia="zh-CN"/>
              </w:rPr>
              <w:t>，规模由入驻餐饮企业根据建设规模确定</w:t>
            </w:r>
            <w:r>
              <w:rPr>
                <w:rFonts w:hint="eastAsia"/>
                <w:color w:val="auto"/>
              </w:rPr>
              <w:t>。</w:t>
            </w:r>
          </w:p>
        </w:tc>
        <w:tc>
          <w:tcPr>
            <w:tcW w:w="3569" w:type="dxa"/>
            <w:vAlign w:val="center"/>
          </w:tcPr>
          <w:p>
            <w:pPr>
              <w:widowControl/>
              <w:jc w:val="center"/>
              <w:rPr>
                <w:color w:val="auto"/>
                <w:kern w:val="0"/>
                <w:szCs w:val="21"/>
              </w:rPr>
            </w:pPr>
            <w:r>
              <w:rPr>
                <w:rFonts w:hint="eastAsia" w:hAnsi="宋体"/>
                <w:color w:val="auto"/>
                <w:kern w:val="0"/>
                <w:szCs w:val="21"/>
                <w:lang w:eastAsia="zh-CN"/>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27" w:type="dxa"/>
            <w:vMerge w:val="continue"/>
            <w:vAlign w:val="center"/>
          </w:tcPr>
          <w:p>
            <w:pPr>
              <w:spacing w:line="240" w:lineRule="atLeast"/>
              <w:jc w:val="center"/>
              <w:rPr>
                <w:color w:val="auto"/>
                <w:kern w:val="0"/>
                <w:szCs w:val="21"/>
              </w:rPr>
            </w:pPr>
          </w:p>
        </w:tc>
        <w:tc>
          <w:tcPr>
            <w:tcW w:w="1117" w:type="dxa"/>
            <w:vAlign w:val="center"/>
          </w:tcPr>
          <w:p>
            <w:pPr>
              <w:spacing w:line="240" w:lineRule="atLeast"/>
              <w:jc w:val="center"/>
              <w:rPr>
                <w:color w:val="auto"/>
                <w:kern w:val="0"/>
                <w:szCs w:val="21"/>
              </w:rPr>
            </w:pPr>
            <w:r>
              <w:rPr>
                <w:color w:val="auto"/>
              </w:rPr>
              <w:t>生活污水</w:t>
            </w:r>
          </w:p>
        </w:tc>
        <w:tc>
          <w:tcPr>
            <w:tcW w:w="4127" w:type="dxa"/>
            <w:vAlign w:val="center"/>
          </w:tcPr>
          <w:p>
            <w:pPr>
              <w:spacing w:line="240" w:lineRule="atLeast"/>
              <w:jc w:val="left"/>
              <w:rPr>
                <w:rFonts w:hAnsi="宋体"/>
                <w:color w:val="auto"/>
                <w:kern w:val="0"/>
                <w:szCs w:val="21"/>
              </w:rPr>
            </w:pPr>
            <w:r>
              <w:rPr>
                <w:rFonts w:hint="eastAsia"/>
                <w:color w:val="auto"/>
              </w:rPr>
              <w:t>修建4个</w:t>
            </w:r>
            <w:r>
              <w:rPr>
                <w:color w:val="auto"/>
              </w:rPr>
              <w:t>生化池，</w:t>
            </w:r>
            <w:r>
              <w:rPr>
                <w:rFonts w:hint="eastAsia"/>
                <w:color w:val="auto"/>
              </w:rPr>
              <w:t>总处理能力2300m</w:t>
            </w:r>
            <w:r>
              <w:rPr>
                <w:rFonts w:hint="eastAsia"/>
                <w:color w:val="auto"/>
                <w:vertAlign w:val="superscript"/>
              </w:rPr>
              <w:t>3</w:t>
            </w:r>
            <w:r>
              <w:rPr>
                <w:rFonts w:hint="eastAsia"/>
                <w:color w:val="auto"/>
              </w:rPr>
              <w:t>/d，其中1</w:t>
            </w:r>
            <w:r>
              <w:rPr>
                <w:color w:val="auto"/>
              </w:rPr>
              <w:t>#</w:t>
            </w:r>
            <w:r>
              <w:rPr>
                <w:rFonts w:hint="eastAsia"/>
                <w:color w:val="auto"/>
              </w:rPr>
              <w:t>生化池位于19#楼西侧，处理能力800</w:t>
            </w:r>
            <w:r>
              <w:rPr>
                <w:color w:val="auto"/>
              </w:rPr>
              <w:t>m</w:t>
            </w:r>
            <w:r>
              <w:rPr>
                <w:rFonts w:hint="eastAsia"/>
                <w:color w:val="auto"/>
                <w:vertAlign w:val="superscript"/>
              </w:rPr>
              <w:t>3</w:t>
            </w:r>
            <w:r>
              <w:rPr>
                <w:rFonts w:hint="eastAsia"/>
                <w:color w:val="auto"/>
              </w:rPr>
              <w:t>/d，服务15#、16#、17#、18#住宅楼</w:t>
            </w:r>
            <w:r>
              <w:rPr>
                <w:color w:val="auto"/>
              </w:rPr>
              <w:t>；</w:t>
            </w:r>
            <w:r>
              <w:rPr>
                <w:rFonts w:hint="eastAsia"/>
                <w:color w:val="auto"/>
              </w:rPr>
              <w:t>2#</w:t>
            </w:r>
            <w:r>
              <w:rPr>
                <w:color w:val="auto"/>
              </w:rPr>
              <w:t>生化池</w:t>
            </w:r>
            <w:r>
              <w:rPr>
                <w:rFonts w:hint="eastAsia"/>
                <w:color w:val="auto"/>
              </w:rPr>
              <w:t>位于</w:t>
            </w:r>
            <w:r>
              <w:rPr>
                <w:color w:val="auto"/>
              </w:rPr>
              <w:t>7#楼</w:t>
            </w:r>
            <w:r>
              <w:rPr>
                <w:rFonts w:hint="eastAsia"/>
                <w:color w:val="auto"/>
              </w:rPr>
              <w:t>东侧</w:t>
            </w:r>
            <w:r>
              <w:rPr>
                <w:color w:val="auto"/>
              </w:rPr>
              <w:t>，</w:t>
            </w:r>
            <w:r>
              <w:rPr>
                <w:rFonts w:hint="eastAsia"/>
                <w:color w:val="auto"/>
              </w:rPr>
              <w:t>处理能力650</w:t>
            </w:r>
            <w:r>
              <w:rPr>
                <w:color w:val="auto"/>
              </w:rPr>
              <w:t>m</w:t>
            </w:r>
            <w:r>
              <w:rPr>
                <w:rFonts w:hint="eastAsia"/>
                <w:color w:val="auto"/>
                <w:vertAlign w:val="superscript"/>
              </w:rPr>
              <w:t>3</w:t>
            </w:r>
            <w:r>
              <w:rPr>
                <w:rFonts w:hint="eastAsia"/>
                <w:color w:val="auto"/>
              </w:rPr>
              <w:t>/d，服务19#、20#、21#、22#、23#、25#住宅楼；3#生化池位于2</w:t>
            </w:r>
            <w:r>
              <w:rPr>
                <w:color w:val="auto"/>
              </w:rPr>
              <w:t>3</w:t>
            </w:r>
            <w:r>
              <w:rPr>
                <w:rFonts w:hint="eastAsia"/>
                <w:color w:val="auto"/>
              </w:rPr>
              <w:t>#</w:t>
            </w:r>
            <w:r>
              <w:rPr>
                <w:color w:val="auto"/>
              </w:rPr>
              <w:t>楼</w:t>
            </w:r>
            <w:r>
              <w:rPr>
                <w:rFonts w:hint="eastAsia"/>
                <w:color w:val="auto"/>
              </w:rPr>
              <w:t>西</w:t>
            </w:r>
            <w:r>
              <w:rPr>
                <w:color w:val="auto"/>
              </w:rPr>
              <w:t>侧，处理能力</w:t>
            </w:r>
            <w:r>
              <w:rPr>
                <w:rFonts w:hint="eastAsia"/>
                <w:color w:val="auto"/>
              </w:rPr>
              <w:t>60</w:t>
            </w:r>
            <w:r>
              <w:rPr>
                <w:color w:val="auto"/>
              </w:rPr>
              <w:t>0m</w:t>
            </w:r>
            <w:r>
              <w:rPr>
                <w:rFonts w:hint="eastAsia"/>
                <w:color w:val="auto"/>
                <w:vertAlign w:val="superscript"/>
              </w:rPr>
              <w:t>3</w:t>
            </w:r>
            <w:r>
              <w:rPr>
                <w:rFonts w:hint="eastAsia"/>
                <w:color w:val="auto"/>
              </w:rPr>
              <w:t>/d，服务1#、2#、3#、5#、6#、7#、8#、9#、10#、11#、12#、13#住宅楼；4#生化池位于26#楼西南侧，处理能力250m</w:t>
            </w:r>
            <w:r>
              <w:rPr>
                <w:rFonts w:hint="eastAsia"/>
                <w:color w:val="auto"/>
                <w:vertAlign w:val="superscript"/>
              </w:rPr>
              <w:t>3</w:t>
            </w:r>
            <w:r>
              <w:rPr>
                <w:rFonts w:hint="eastAsia"/>
                <w:color w:val="auto"/>
              </w:rPr>
              <w:t>/d，服务于26#、27#商业楼。</w:t>
            </w:r>
          </w:p>
        </w:tc>
        <w:tc>
          <w:tcPr>
            <w:tcW w:w="3569" w:type="dxa"/>
            <w:vAlign w:val="center"/>
          </w:tcPr>
          <w:p>
            <w:pPr>
              <w:widowControl/>
              <w:jc w:val="center"/>
              <w:rPr>
                <w:color w:val="auto"/>
                <w:kern w:val="0"/>
                <w:szCs w:val="21"/>
              </w:rPr>
            </w:pPr>
            <w:r>
              <w:rPr>
                <w:rFonts w:hint="eastAsia"/>
                <w:color w:val="auto"/>
              </w:rPr>
              <w:t>2#</w:t>
            </w:r>
            <w:r>
              <w:rPr>
                <w:color w:val="auto"/>
              </w:rPr>
              <w:t>生化池</w:t>
            </w:r>
            <w:r>
              <w:rPr>
                <w:rFonts w:hint="eastAsia"/>
                <w:color w:val="auto"/>
              </w:rPr>
              <w:t>位于</w:t>
            </w:r>
            <w:r>
              <w:rPr>
                <w:color w:val="auto"/>
              </w:rPr>
              <w:t>7#楼</w:t>
            </w:r>
            <w:r>
              <w:rPr>
                <w:rFonts w:hint="eastAsia"/>
                <w:color w:val="auto"/>
              </w:rPr>
              <w:t>东侧</w:t>
            </w:r>
            <w:r>
              <w:rPr>
                <w:color w:val="auto"/>
              </w:rPr>
              <w:t>，</w:t>
            </w:r>
            <w:r>
              <w:rPr>
                <w:rFonts w:hint="eastAsia"/>
                <w:color w:val="auto"/>
              </w:rPr>
              <w:t>处理能力650</w:t>
            </w:r>
            <w:r>
              <w:rPr>
                <w:color w:val="auto"/>
              </w:rPr>
              <w:t>m</w:t>
            </w:r>
            <w:r>
              <w:rPr>
                <w:rFonts w:hint="eastAsia"/>
                <w:color w:val="auto"/>
                <w:vertAlign w:val="superscript"/>
              </w:rPr>
              <w:t>3</w:t>
            </w:r>
            <w:r>
              <w:rPr>
                <w:rFonts w:hint="eastAsia"/>
                <w:color w:val="auto"/>
              </w:rPr>
              <w:t>/d，服务19#、20#、21#、22#、23#、25#住宅楼；3#生化池位于2</w:t>
            </w:r>
            <w:r>
              <w:rPr>
                <w:color w:val="auto"/>
              </w:rPr>
              <w:t>3</w:t>
            </w:r>
            <w:r>
              <w:rPr>
                <w:rFonts w:hint="eastAsia"/>
                <w:color w:val="auto"/>
              </w:rPr>
              <w:t>#</w:t>
            </w:r>
            <w:r>
              <w:rPr>
                <w:color w:val="auto"/>
              </w:rPr>
              <w:t>楼</w:t>
            </w:r>
            <w:r>
              <w:rPr>
                <w:rFonts w:hint="eastAsia"/>
                <w:color w:val="auto"/>
              </w:rPr>
              <w:t>西</w:t>
            </w:r>
            <w:r>
              <w:rPr>
                <w:color w:val="auto"/>
              </w:rPr>
              <w:t>侧，处理能力</w:t>
            </w:r>
            <w:r>
              <w:rPr>
                <w:rFonts w:hint="eastAsia"/>
                <w:color w:val="auto"/>
              </w:rPr>
              <w:t>60</w:t>
            </w:r>
            <w:r>
              <w:rPr>
                <w:color w:val="auto"/>
              </w:rPr>
              <w:t>0m</w:t>
            </w:r>
            <w:r>
              <w:rPr>
                <w:rFonts w:hint="eastAsia"/>
                <w:color w:val="auto"/>
                <w:vertAlign w:val="superscript"/>
              </w:rPr>
              <w:t>3</w:t>
            </w:r>
            <w:r>
              <w:rPr>
                <w:rFonts w:hint="eastAsia"/>
                <w:color w:val="auto"/>
              </w:rPr>
              <w:t>/d，服务1#、2#、3#、5#、6#、7#、8#、9#、10#、11#、12#、13#住宅楼；4#生化池位于26#楼西南侧，处理能力250m</w:t>
            </w:r>
            <w:r>
              <w:rPr>
                <w:rFonts w:hint="eastAsia"/>
                <w:color w:val="auto"/>
                <w:vertAlign w:val="superscript"/>
              </w:rPr>
              <w:t>3</w:t>
            </w:r>
            <w:r>
              <w:rPr>
                <w:rFonts w:hint="eastAsia"/>
                <w:color w:val="auto"/>
              </w:rPr>
              <w:t>/d，服务于26#、27#商业楼。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27" w:type="dxa"/>
            <w:vMerge w:val="continue"/>
            <w:vAlign w:val="center"/>
          </w:tcPr>
          <w:p>
            <w:pPr>
              <w:spacing w:line="240" w:lineRule="atLeast"/>
              <w:jc w:val="center"/>
              <w:rPr>
                <w:color w:val="auto"/>
                <w:kern w:val="0"/>
                <w:szCs w:val="21"/>
              </w:rPr>
            </w:pPr>
          </w:p>
        </w:tc>
        <w:tc>
          <w:tcPr>
            <w:tcW w:w="1117" w:type="dxa"/>
            <w:shd w:val="clear" w:color="auto" w:fill="auto"/>
            <w:vAlign w:val="center"/>
          </w:tcPr>
          <w:p>
            <w:pPr>
              <w:spacing w:line="240" w:lineRule="atLeast"/>
              <w:jc w:val="center"/>
              <w:rPr>
                <w:color w:val="auto"/>
                <w:kern w:val="0"/>
                <w:szCs w:val="21"/>
              </w:rPr>
            </w:pPr>
            <w:r>
              <w:rPr>
                <w:rFonts w:hint="eastAsia"/>
                <w:color w:val="auto"/>
              </w:rPr>
              <w:t>垃圾收集点</w:t>
            </w:r>
          </w:p>
        </w:tc>
        <w:tc>
          <w:tcPr>
            <w:tcW w:w="4127" w:type="dxa"/>
            <w:shd w:val="clear" w:color="auto" w:fill="auto"/>
            <w:vAlign w:val="center"/>
          </w:tcPr>
          <w:p>
            <w:pPr>
              <w:spacing w:line="240" w:lineRule="atLeast"/>
              <w:jc w:val="center"/>
              <w:rPr>
                <w:rFonts w:hAnsi="宋体"/>
                <w:color w:val="auto"/>
                <w:kern w:val="0"/>
                <w:szCs w:val="21"/>
              </w:rPr>
            </w:pPr>
            <w:r>
              <w:rPr>
                <w:rFonts w:hint="eastAsia"/>
                <w:color w:val="auto"/>
              </w:rPr>
              <w:t>项目不设置集中垃圾收集点，只在每栋楼前设置垃圾桶。</w:t>
            </w:r>
          </w:p>
        </w:tc>
        <w:tc>
          <w:tcPr>
            <w:tcW w:w="3569" w:type="dxa"/>
            <w:shd w:val="clear" w:color="auto" w:fill="auto"/>
            <w:vAlign w:val="center"/>
          </w:tcPr>
          <w:p>
            <w:pPr>
              <w:widowControl/>
              <w:jc w:val="center"/>
              <w:rPr>
                <w:color w:val="auto"/>
                <w:kern w:val="0"/>
                <w:szCs w:val="21"/>
              </w:rPr>
            </w:pPr>
            <w:r>
              <w:rPr>
                <w:rFonts w:hint="eastAsia" w:hAnsi="宋体"/>
                <w:color w:val="auto"/>
                <w:kern w:val="0"/>
                <w:szCs w:val="21"/>
                <w:lang w:eastAsia="zh-CN"/>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27" w:type="dxa"/>
            <w:vMerge w:val="continue"/>
            <w:vAlign w:val="center"/>
          </w:tcPr>
          <w:p>
            <w:pPr>
              <w:spacing w:line="240" w:lineRule="atLeast"/>
              <w:jc w:val="center"/>
              <w:rPr>
                <w:color w:val="auto"/>
                <w:kern w:val="0"/>
                <w:szCs w:val="21"/>
              </w:rPr>
            </w:pPr>
          </w:p>
        </w:tc>
        <w:tc>
          <w:tcPr>
            <w:tcW w:w="1117" w:type="dxa"/>
            <w:shd w:val="clear" w:color="auto" w:fill="auto"/>
            <w:vAlign w:val="center"/>
          </w:tcPr>
          <w:p>
            <w:pPr>
              <w:spacing w:line="240" w:lineRule="atLeast"/>
              <w:jc w:val="center"/>
              <w:rPr>
                <w:rFonts w:hint="eastAsia"/>
                <w:color w:val="auto"/>
              </w:rPr>
            </w:pPr>
            <w:r>
              <w:rPr>
                <w:rFonts w:hint="eastAsia"/>
                <w:color w:val="auto"/>
              </w:rPr>
              <w:t>餐饮油烟</w:t>
            </w:r>
          </w:p>
        </w:tc>
        <w:tc>
          <w:tcPr>
            <w:tcW w:w="4127" w:type="dxa"/>
            <w:shd w:val="clear" w:color="auto" w:fill="auto"/>
            <w:vAlign w:val="center"/>
          </w:tcPr>
          <w:p>
            <w:pPr>
              <w:spacing w:line="240" w:lineRule="atLeast"/>
              <w:jc w:val="left"/>
              <w:rPr>
                <w:rFonts w:hint="eastAsia"/>
                <w:color w:val="auto"/>
              </w:rPr>
            </w:pPr>
            <w:r>
              <w:rPr>
                <w:rFonts w:hint="eastAsia"/>
                <w:color w:val="auto"/>
              </w:rPr>
              <w:t>商业楼餐饮油烟经油烟净化器处理后接入专用烟道引至楼顶排放，</w:t>
            </w:r>
            <w:r>
              <w:rPr>
                <w:color w:val="auto"/>
              </w:rPr>
              <w:t>住户厨房生活油烟采用防回流垂直烟道引至楼顶排放。</w:t>
            </w:r>
          </w:p>
        </w:tc>
        <w:tc>
          <w:tcPr>
            <w:tcW w:w="3569" w:type="dxa"/>
            <w:shd w:val="clear" w:color="auto" w:fill="auto"/>
            <w:vAlign w:val="center"/>
          </w:tcPr>
          <w:p>
            <w:pPr>
              <w:widowControl/>
              <w:jc w:val="center"/>
              <w:rPr>
                <w:rFonts w:hint="eastAsia" w:hAnsi="宋体"/>
                <w:color w:val="auto"/>
                <w:kern w:val="0"/>
                <w:szCs w:val="21"/>
                <w:lang w:eastAsia="zh-CN"/>
              </w:rPr>
            </w:pPr>
            <w:r>
              <w:rPr>
                <w:rFonts w:hint="eastAsia" w:hAnsi="宋体"/>
                <w:color w:val="auto"/>
                <w:kern w:val="0"/>
                <w:szCs w:val="21"/>
                <w:lang w:eastAsia="zh-CN"/>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27" w:type="dxa"/>
            <w:vMerge w:val="continue"/>
            <w:vAlign w:val="center"/>
          </w:tcPr>
          <w:p>
            <w:pPr>
              <w:spacing w:line="240" w:lineRule="atLeast"/>
              <w:jc w:val="center"/>
              <w:rPr>
                <w:color w:val="auto"/>
                <w:kern w:val="0"/>
                <w:szCs w:val="21"/>
              </w:rPr>
            </w:pPr>
          </w:p>
        </w:tc>
        <w:tc>
          <w:tcPr>
            <w:tcW w:w="1117" w:type="dxa"/>
            <w:shd w:val="clear" w:color="auto" w:fill="auto"/>
            <w:vAlign w:val="center"/>
          </w:tcPr>
          <w:p>
            <w:pPr>
              <w:spacing w:line="240" w:lineRule="atLeast"/>
              <w:jc w:val="center"/>
              <w:rPr>
                <w:rFonts w:hint="eastAsia"/>
                <w:color w:val="auto"/>
              </w:rPr>
            </w:pPr>
            <w:r>
              <w:rPr>
                <w:rFonts w:hint="eastAsia"/>
                <w:color w:val="auto"/>
              </w:rPr>
              <w:t>地下车库</w:t>
            </w:r>
            <w:r>
              <w:rPr>
                <w:color w:val="auto"/>
              </w:rPr>
              <w:t>废气</w:t>
            </w:r>
          </w:p>
        </w:tc>
        <w:tc>
          <w:tcPr>
            <w:tcW w:w="4127" w:type="dxa"/>
            <w:shd w:val="clear" w:color="auto" w:fill="auto"/>
            <w:vAlign w:val="center"/>
          </w:tcPr>
          <w:p>
            <w:pPr>
              <w:spacing w:line="240" w:lineRule="atLeast"/>
              <w:jc w:val="left"/>
              <w:rPr>
                <w:rFonts w:hint="eastAsia"/>
                <w:color w:val="auto"/>
              </w:rPr>
            </w:pPr>
            <w:r>
              <w:rPr>
                <w:rFonts w:hint="eastAsia"/>
                <w:color w:val="auto"/>
              </w:rPr>
              <w:t>地下车库</w:t>
            </w:r>
            <w:r>
              <w:rPr>
                <w:color w:val="auto"/>
              </w:rPr>
              <w:t>设置通风换气、机械排烟系统，排放口朝向绿化带。</w:t>
            </w:r>
          </w:p>
        </w:tc>
        <w:tc>
          <w:tcPr>
            <w:tcW w:w="3569" w:type="dxa"/>
            <w:shd w:val="clear" w:color="auto" w:fill="auto"/>
            <w:vAlign w:val="center"/>
          </w:tcPr>
          <w:p>
            <w:pPr>
              <w:widowControl/>
              <w:jc w:val="center"/>
              <w:rPr>
                <w:rFonts w:hint="eastAsia" w:hAnsi="宋体"/>
                <w:color w:val="auto"/>
                <w:kern w:val="0"/>
                <w:szCs w:val="21"/>
                <w:lang w:eastAsia="zh-CN"/>
              </w:rPr>
            </w:pPr>
            <w:r>
              <w:rPr>
                <w:rFonts w:hint="eastAsia" w:hAnsi="宋体"/>
                <w:color w:val="auto"/>
                <w:kern w:val="0"/>
                <w:szCs w:val="21"/>
                <w:lang w:eastAsia="zh-CN"/>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27" w:type="dxa"/>
            <w:vMerge w:val="continue"/>
            <w:vAlign w:val="center"/>
          </w:tcPr>
          <w:p>
            <w:pPr>
              <w:spacing w:line="240" w:lineRule="atLeast"/>
              <w:jc w:val="center"/>
              <w:rPr>
                <w:color w:val="auto"/>
                <w:kern w:val="0"/>
                <w:szCs w:val="21"/>
              </w:rPr>
            </w:pPr>
          </w:p>
        </w:tc>
        <w:tc>
          <w:tcPr>
            <w:tcW w:w="1117" w:type="dxa"/>
            <w:shd w:val="clear" w:color="auto" w:fill="auto"/>
            <w:vAlign w:val="center"/>
          </w:tcPr>
          <w:p>
            <w:pPr>
              <w:spacing w:line="240" w:lineRule="atLeast"/>
              <w:jc w:val="center"/>
              <w:rPr>
                <w:rFonts w:hint="eastAsia" w:ascii="Times New Roman" w:hAnsi="Times New Roman" w:eastAsia="宋体" w:cs="Times New Roman"/>
                <w:color w:val="auto"/>
                <w:kern w:val="2"/>
                <w:sz w:val="21"/>
                <w:szCs w:val="24"/>
                <w:lang w:val="en-US" w:eastAsia="zh-CN" w:bidi="ar-SA"/>
              </w:rPr>
            </w:pPr>
            <w:r>
              <w:rPr>
                <w:rFonts w:hint="eastAsia"/>
                <w:color w:val="auto"/>
              </w:rPr>
              <w:t>生化池</w:t>
            </w:r>
            <w:r>
              <w:rPr>
                <w:color w:val="auto"/>
              </w:rPr>
              <w:t>臭气</w:t>
            </w:r>
          </w:p>
        </w:tc>
        <w:tc>
          <w:tcPr>
            <w:tcW w:w="4127" w:type="dxa"/>
            <w:shd w:val="clear" w:color="auto" w:fill="auto"/>
            <w:vAlign w:val="center"/>
          </w:tcPr>
          <w:p>
            <w:pPr>
              <w:spacing w:line="240" w:lineRule="atLeast"/>
              <w:jc w:val="left"/>
              <w:rPr>
                <w:rFonts w:hint="eastAsia" w:ascii="Times New Roman" w:hAnsi="Times New Roman" w:eastAsia="宋体" w:cs="Times New Roman"/>
                <w:color w:val="auto"/>
                <w:kern w:val="2"/>
                <w:sz w:val="21"/>
                <w:szCs w:val="24"/>
                <w:lang w:val="en-US" w:eastAsia="zh-CN" w:bidi="ar-SA"/>
              </w:rPr>
            </w:pPr>
            <w:r>
              <w:rPr>
                <w:rFonts w:hint="eastAsia"/>
                <w:color w:val="auto"/>
              </w:rPr>
              <w:t>单独</w:t>
            </w:r>
            <w:r>
              <w:rPr>
                <w:color w:val="auto"/>
              </w:rPr>
              <w:t>设置通气管引至就近楼顶</w:t>
            </w:r>
            <w:r>
              <w:rPr>
                <w:rFonts w:hint="eastAsia"/>
                <w:color w:val="auto"/>
              </w:rPr>
              <w:t>高空</w:t>
            </w:r>
            <w:r>
              <w:rPr>
                <w:color w:val="auto"/>
              </w:rPr>
              <w:t>排放。</w:t>
            </w:r>
            <w:r>
              <w:rPr>
                <w:rFonts w:hint="eastAsia"/>
                <w:color w:val="auto"/>
              </w:rPr>
              <w:t>1#生化池的臭气引至19#楼屋顶进行排放，2#生化池的臭气引至7#楼屋顶，3#生化池的臭气排放至23#楼屋顶进行排放，4#生化池的臭气排放至26#商业楼屋顶进行排放。</w:t>
            </w:r>
          </w:p>
        </w:tc>
        <w:tc>
          <w:tcPr>
            <w:tcW w:w="3569" w:type="dxa"/>
            <w:shd w:val="clear" w:color="auto" w:fill="auto"/>
            <w:vAlign w:val="center"/>
          </w:tcPr>
          <w:p>
            <w:pPr>
              <w:widowControl/>
              <w:jc w:val="center"/>
              <w:rPr>
                <w:rFonts w:hint="eastAsia" w:hAnsi="宋体"/>
                <w:color w:val="auto"/>
                <w:kern w:val="0"/>
                <w:szCs w:val="21"/>
                <w:lang w:eastAsia="zh-CN"/>
              </w:rPr>
            </w:pPr>
            <w:r>
              <w:rPr>
                <w:rFonts w:hint="eastAsia" w:hAnsi="宋体"/>
                <w:color w:val="auto"/>
                <w:kern w:val="0"/>
                <w:szCs w:val="21"/>
                <w:lang w:eastAsia="zh-CN"/>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27" w:type="dxa"/>
            <w:vMerge w:val="continue"/>
            <w:vAlign w:val="center"/>
          </w:tcPr>
          <w:p>
            <w:pPr>
              <w:spacing w:line="240" w:lineRule="atLeast"/>
              <w:jc w:val="center"/>
              <w:rPr>
                <w:color w:val="auto"/>
                <w:kern w:val="0"/>
                <w:szCs w:val="21"/>
              </w:rPr>
            </w:pPr>
          </w:p>
        </w:tc>
        <w:tc>
          <w:tcPr>
            <w:tcW w:w="1117" w:type="dxa"/>
            <w:shd w:val="clear" w:color="auto" w:fill="auto"/>
            <w:vAlign w:val="center"/>
          </w:tcPr>
          <w:p>
            <w:pPr>
              <w:spacing w:line="240" w:lineRule="atLeast"/>
              <w:jc w:val="center"/>
              <w:rPr>
                <w:rFonts w:hint="eastAsia" w:ascii="Times New Roman" w:hAnsi="Times New Roman" w:eastAsia="宋体" w:cs="Times New Roman"/>
                <w:color w:val="auto"/>
                <w:kern w:val="2"/>
                <w:sz w:val="21"/>
                <w:szCs w:val="24"/>
                <w:lang w:val="en-US" w:eastAsia="zh-CN" w:bidi="ar-SA"/>
              </w:rPr>
            </w:pPr>
            <w:r>
              <w:rPr>
                <w:rFonts w:hint="eastAsia"/>
                <w:color w:val="auto"/>
              </w:rPr>
              <w:t>柴油发</w:t>
            </w:r>
            <w:r>
              <w:rPr>
                <w:color w:val="auto"/>
              </w:rPr>
              <w:t>电机尾气</w:t>
            </w:r>
          </w:p>
        </w:tc>
        <w:tc>
          <w:tcPr>
            <w:tcW w:w="4127" w:type="dxa"/>
            <w:shd w:val="clear" w:color="auto" w:fill="auto"/>
            <w:vAlign w:val="center"/>
          </w:tcPr>
          <w:p>
            <w:pPr>
              <w:spacing w:line="240" w:lineRule="atLeast"/>
              <w:jc w:val="left"/>
              <w:rPr>
                <w:rFonts w:hint="eastAsia" w:ascii="Times New Roman" w:hAnsi="Times New Roman" w:eastAsia="宋体" w:cs="Times New Roman"/>
                <w:color w:val="auto"/>
                <w:kern w:val="2"/>
                <w:sz w:val="21"/>
                <w:szCs w:val="24"/>
                <w:lang w:val="en-US" w:eastAsia="zh-CN" w:bidi="ar-SA"/>
              </w:rPr>
            </w:pPr>
            <w:r>
              <w:rPr>
                <w:rFonts w:hint="eastAsia"/>
                <w:color w:val="auto"/>
              </w:rPr>
              <w:t>住宅车库发电机尾气引至17#楼屋顶进行排放，商业车库发电机尾气引至26#楼屋顶进行排放。</w:t>
            </w:r>
          </w:p>
        </w:tc>
        <w:tc>
          <w:tcPr>
            <w:tcW w:w="3569" w:type="dxa"/>
            <w:shd w:val="clear" w:color="auto" w:fill="auto"/>
            <w:vAlign w:val="center"/>
          </w:tcPr>
          <w:p>
            <w:pPr>
              <w:widowControl/>
              <w:jc w:val="center"/>
              <w:rPr>
                <w:rFonts w:hint="eastAsia" w:hAnsi="宋体"/>
                <w:color w:val="auto"/>
                <w:kern w:val="0"/>
                <w:szCs w:val="21"/>
                <w:lang w:eastAsia="zh-CN"/>
              </w:rPr>
            </w:pPr>
            <w:r>
              <w:rPr>
                <w:rFonts w:hint="eastAsia" w:hAnsi="宋体"/>
                <w:color w:val="auto"/>
                <w:kern w:val="0"/>
                <w:szCs w:val="21"/>
                <w:lang w:eastAsia="zh-CN"/>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27" w:type="dxa"/>
            <w:vMerge w:val="continue"/>
            <w:vAlign w:val="center"/>
          </w:tcPr>
          <w:p>
            <w:pPr>
              <w:spacing w:line="240" w:lineRule="atLeast"/>
              <w:jc w:val="center"/>
              <w:rPr>
                <w:color w:val="auto"/>
                <w:kern w:val="0"/>
                <w:szCs w:val="21"/>
              </w:rPr>
            </w:pPr>
          </w:p>
        </w:tc>
        <w:tc>
          <w:tcPr>
            <w:tcW w:w="1117" w:type="dxa"/>
            <w:shd w:val="clear" w:color="auto" w:fill="auto"/>
            <w:vAlign w:val="center"/>
          </w:tcPr>
          <w:p>
            <w:pPr>
              <w:spacing w:line="240" w:lineRule="atLeast"/>
              <w:jc w:val="center"/>
              <w:rPr>
                <w:rFonts w:hint="eastAsia" w:ascii="Times New Roman" w:hAnsi="Times New Roman" w:eastAsia="宋体" w:cs="Times New Roman"/>
                <w:color w:val="auto"/>
                <w:kern w:val="2"/>
                <w:sz w:val="21"/>
                <w:szCs w:val="24"/>
                <w:lang w:val="en-US" w:eastAsia="zh-CN" w:bidi="ar-SA"/>
              </w:rPr>
            </w:pPr>
            <w:r>
              <w:rPr>
                <w:rFonts w:hint="eastAsia"/>
                <w:color w:val="auto"/>
              </w:rPr>
              <w:t>绿化</w:t>
            </w:r>
          </w:p>
        </w:tc>
        <w:tc>
          <w:tcPr>
            <w:tcW w:w="4127" w:type="dxa"/>
            <w:shd w:val="clear" w:color="auto" w:fill="auto"/>
            <w:vAlign w:val="center"/>
          </w:tcPr>
          <w:p>
            <w:pPr>
              <w:spacing w:line="240" w:lineRule="atLeast"/>
              <w:jc w:val="center"/>
              <w:rPr>
                <w:rFonts w:hint="eastAsia" w:ascii="Times New Roman" w:hAnsi="Times New Roman" w:eastAsia="宋体" w:cs="Times New Roman"/>
                <w:color w:val="auto"/>
                <w:kern w:val="2"/>
                <w:sz w:val="21"/>
                <w:szCs w:val="24"/>
                <w:lang w:val="en-US" w:eastAsia="zh-CN" w:bidi="ar-SA"/>
              </w:rPr>
            </w:pPr>
            <w:r>
              <w:rPr>
                <w:rFonts w:hint="eastAsia"/>
                <w:color w:val="auto"/>
              </w:rPr>
              <w:t>在道路两侧、各建筑之间设置绿地景观，绿地率30.57%。</w:t>
            </w:r>
          </w:p>
        </w:tc>
        <w:tc>
          <w:tcPr>
            <w:tcW w:w="3569" w:type="dxa"/>
            <w:shd w:val="clear" w:color="auto" w:fill="auto"/>
            <w:vAlign w:val="center"/>
          </w:tcPr>
          <w:p>
            <w:pPr>
              <w:widowControl/>
              <w:jc w:val="center"/>
              <w:rPr>
                <w:rFonts w:hint="eastAsia" w:hAnsi="宋体"/>
                <w:color w:val="auto"/>
                <w:kern w:val="0"/>
                <w:szCs w:val="21"/>
                <w:lang w:eastAsia="zh-CN"/>
              </w:rPr>
            </w:pPr>
            <w:r>
              <w:rPr>
                <w:rFonts w:hint="eastAsia" w:hAnsi="宋体"/>
                <w:color w:val="auto"/>
                <w:kern w:val="0"/>
                <w:szCs w:val="21"/>
                <w:lang w:eastAsia="zh-CN"/>
              </w:rPr>
              <w:t>与环评一致</w:t>
            </w:r>
          </w:p>
        </w:tc>
      </w:tr>
    </w:tbl>
    <w:p>
      <w:pPr>
        <w:pStyle w:val="56"/>
        <w:rPr>
          <w:rFonts w:cs="Times New Roman"/>
          <w:sz w:val="32"/>
        </w:rPr>
      </w:pPr>
      <w:bookmarkStart w:id="57" w:name="_Toc1808"/>
      <w:r>
        <w:rPr>
          <w:rFonts w:hint="eastAsia" w:cs="Times New Roman"/>
          <w:sz w:val="32"/>
        </w:rPr>
        <w:t>3</w:t>
      </w:r>
      <w:r>
        <w:rPr>
          <w:rFonts w:cs="Times New Roman"/>
          <w:sz w:val="32"/>
        </w:rPr>
        <w:t>.</w:t>
      </w:r>
      <w:r>
        <w:rPr>
          <w:rFonts w:hint="eastAsia" w:cs="Times New Roman"/>
          <w:sz w:val="32"/>
        </w:rPr>
        <w:t>3主要原辅材料及燃料</w:t>
      </w:r>
      <w:bookmarkEnd w:id="57"/>
    </w:p>
    <w:p>
      <w:pPr>
        <w:spacing w:line="540" w:lineRule="exact"/>
        <w:ind w:firstLine="480" w:firstLineChars="200"/>
        <w:rPr>
          <w:rFonts w:hint="eastAsia" w:ascii="Times New Roman" w:hAnsi="Times New Roman" w:eastAsia="宋体" w:cs="Times New Roman"/>
          <w:bCs/>
          <w:color w:val="auto"/>
          <w:sz w:val="24"/>
          <w:szCs w:val="24"/>
        </w:rPr>
      </w:pPr>
      <w:r>
        <w:rPr>
          <w:rFonts w:hint="eastAsia" w:ascii="Times New Roman" w:hAnsi="Times New Roman" w:eastAsia="宋体" w:cs="Times New Roman"/>
          <w:bCs/>
          <w:color w:val="auto"/>
          <w:sz w:val="24"/>
          <w:szCs w:val="24"/>
        </w:rPr>
        <w:t>本项目居民住宅及商业均使用电和天然气等清洁能源。</w:t>
      </w:r>
    </w:p>
    <w:p>
      <w:pPr>
        <w:pStyle w:val="56"/>
        <w:rPr>
          <w:rFonts w:cs="Times New Roman"/>
          <w:sz w:val="32"/>
        </w:rPr>
      </w:pPr>
      <w:bookmarkStart w:id="58" w:name="_Toc8166"/>
      <w:r>
        <w:rPr>
          <w:rFonts w:hint="eastAsia" w:cs="Times New Roman"/>
          <w:sz w:val="32"/>
        </w:rPr>
        <w:t>3</w:t>
      </w:r>
      <w:r>
        <w:rPr>
          <w:rFonts w:cs="Times New Roman"/>
          <w:sz w:val="32"/>
        </w:rPr>
        <w:t>.</w:t>
      </w:r>
      <w:r>
        <w:rPr>
          <w:rFonts w:hint="eastAsia" w:cs="Times New Roman"/>
          <w:sz w:val="32"/>
        </w:rPr>
        <w:t>4水源</w:t>
      </w:r>
      <w:bookmarkEnd w:id="58"/>
    </w:p>
    <w:p>
      <w:pPr>
        <w:spacing w:line="540" w:lineRule="exact"/>
        <w:ind w:firstLine="480" w:firstLineChars="200"/>
        <w:rPr>
          <w:rFonts w:hint="eastAsia" w:ascii="Times New Roman" w:hAnsi="Times New Roman" w:eastAsia="宋体" w:cs="Times New Roman"/>
          <w:bCs/>
          <w:color w:val="auto"/>
          <w:sz w:val="24"/>
          <w:szCs w:val="24"/>
        </w:rPr>
      </w:pPr>
      <w:r>
        <w:rPr>
          <w:rFonts w:hint="eastAsia" w:ascii="Times New Roman" w:hAnsi="Times New Roman" w:eastAsia="宋体" w:cs="Times New Roman"/>
          <w:bCs/>
          <w:color w:val="auto"/>
          <w:sz w:val="24"/>
          <w:szCs w:val="24"/>
        </w:rPr>
        <w:t>本项目供水水源为市政水源。</w:t>
      </w:r>
    </w:p>
    <w:p>
      <w:pPr>
        <w:pStyle w:val="56"/>
        <w:rPr>
          <w:rFonts w:cs="Times New Roman"/>
          <w:color w:val="auto"/>
          <w:sz w:val="32"/>
        </w:rPr>
      </w:pPr>
      <w:bookmarkStart w:id="59" w:name="_Toc361841099"/>
      <w:bookmarkStart w:id="60" w:name="_Toc362535747"/>
      <w:bookmarkStart w:id="61" w:name="_Toc361646651"/>
      <w:bookmarkStart w:id="62" w:name="_Toc21256"/>
      <w:r>
        <w:rPr>
          <w:rFonts w:hint="eastAsia" w:cs="Times New Roman"/>
          <w:color w:val="auto"/>
          <w:sz w:val="32"/>
        </w:rPr>
        <w:t>3.</w:t>
      </w:r>
      <w:bookmarkEnd w:id="59"/>
      <w:bookmarkEnd w:id="60"/>
      <w:bookmarkEnd w:id="61"/>
      <w:r>
        <w:rPr>
          <w:rFonts w:hint="eastAsia" w:cs="Times New Roman"/>
          <w:color w:val="auto"/>
          <w:sz w:val="32"/>
        </w:rPr>
        <w:t>5生产工艺</w:t>
      </w:r>
      <w:bookmarkEnd w:id="62"/>
    </w:p>
    <w:p>
      <w:pPr>
        <w:spacing w:line="540" w:lineRule="exact"/>
        <w:ind w:firstLine="480" w:firstLineChars="200"/>
        <w:rPr>
          <w:rFonts w:hint="eastAsia" w:ascii="Times New Roman" w:hAnsi="Times New Roman" w:eastAsia="宋体" w:cs="Times New Roman"/>
          <w:bCs/>
          <w:color w:val="auto"/>
          <w:sz w:val="24"/>
          <w:szCs w:val="24"/>
        </w:rPr>
      </w:pPr>
      <w:r>
        <w:rPr>
          <w:rFonts w:hint="eastAsia" w:ascii="Times New Roman" w:hAnsi="Times New Roman" w:eastAsia="宋体" w:cs="Times New Roman"/>
          <w:bCs/>
          <w:color w:val="auto"/>
          <w:sz w:val="24"/>
          <w:szCs w:val="24"/>
        </w:rPr>
        <w:t>本项目住宅及商业主要产污节点见图3-1。</w:t>
      </w:r>
      <w:bookmarkEnd w:id="53"/>
      <w:bookmarkEnd w:id="54"/>
      <w:bookmarkEnd w:id="55"/>
      <w:bookmarkStart w:id="63" w:name="_Toc305059565"/>
      <w:bookmarkStart w:id="64" w:name="_Toc341278424"/>
      <w:bookmarkStart w:id="65" w:name="_Toc321042418"/>
      <w:bookmarkStart w:id="66" w:name="_Toc341357473"/>
      <w:bookmarkStart w:id="67" w:name="_Toc341431726"/>
      <w:bookmarkStart w:id="68" w:name="_Toc341293109"/>
      <w:bookmarkStart w:id="69" w:name="_Toc332553919"/>
    </w:p>
    <w:p>
      <w:pPr>
        <w:spacing w:line="540" w:lineRule="exact"/>
        <w:ind w:firstLine="560" w:firstLineChars="200"/>
        <w:rPr>
          <w:rFonts w:ascii="宋体" w:hAnsi="宋体"/>
          <w:color w:val="000000"/>
          <w:sz w:val="28"/>
          <w:szCs w:val="28"/>
        </w:rPr>
      </w:pPr>
    </w:p>
    <w:p>
      <w:pPr>
        <w:spacing w:line="540" w:lineRule="exact"/>
        <w:ind w:firstLine="560" w:firstLineChars="200"/>
        <w:rPr>
          <w:rFonts w:ascii="宋体" w:hAnsi="宋体"/>
          <w:color w:val="000000"/>
          <w:sz w:val="28"/>
          <w:szCs w:val="28"/>
        </w:rPr>
      </w:pPr>
      <w:r>
        <w:rPr>
          <w:rFonts w:ascii="宋体" w:hAnsi="宋体"/>
          <w:color w:val="000000"/>
          <w:sz w:val="28"/>
          <w:szCs w:val="28"/>
        </w:rPr>
        <w:pict>
          <v:shape id="1029" o:spid="_x0000_s2050" o:spt="202" type="#_x0000_t202" style="position:absolute;left:0pt;margin-left:183.85pt;margin-top:12.4pt;height:16.2pt;width:122.15pt;z-index:251732992;mso-width-relative:page;mso-height-relative:page;" coordsize="21600,21600">
            <v:path/>
            <v:fill focussize="0,0"/>
            <v:stroke joinstyle="miter"/>
            <v:imagedata o:title=""/>
            <o:lock v:ext="edit"/>
            <v:textbox inset="0mm,0mm,0mm,0mm">
              <w:txbxContent>
                <w:p>
                  <w:pPr>
                    <w:jc w:val="center"/>
                    <w:rPr>
                      <w:bCs/>
                      <w:szCs w:val="21"/>
                    </w:rPr>
                  </w:pPr>
                  <w:r>
                    <w:rPr>
                      <w:rFonts w:hint="eastAsia"/>
                      <w:bCs/>
                      <w:szCs w:val="21"/>
                    </w:rPr>
                    <w:t>住宅、商业</w:t>
                  </w:r>
                </w:p>
              </w:txbxContent>
            </v:textbox>
          </v:shape>
        </w:pict>
      </w:r>
    </w:p>
    <w:p>
      <w:pPr>
        <w:spacing w:line="440" w:lineRule="exact"/>
        <w:ind w:firstLine="480" w:firstLineChars="200"/>
        <w:rPr>
          <w:bCs/>
          <w:kern w:val="0"/>
          <w:sz w:val="24"/>
        </w:rPr>
      </w:pPr>
      <w:r>
        <w:rPr>
          <w:bCs/>
          <w:kern w:val="0"/>
          <w:sz w:val="24"/>
        </w:rPr>
        <w:pict>
          <v:line id="1030" o:spid="_x0000_s2051" o:spt="20" style="position:absolute;left:0pt;margin-left:243.3pt;margin-top:1.6pt;height:17.3pt;width:0.05pt;z-index:251674624;mso-width-relative:page;mso-height-relative:page;" coordsize="21600,21600">
            <v:path arrowok="t"/>
            <v:fill focussize="0,0"/>
            <v:stroke dashstyle="1 1" endarrow="block"/>
            <v:imagedata o:title=""/>
            <o:lock v:ext="edit"/>
          </v:line>
        </w:pict>
      </w:r>
      <w:r>
        <w:rPr>
          <w:bCs/>
          <w:kern w:val="0"/>
          <w:sz w:val="24"/>
        </w:rPr>
        <w:pict>
          <v:line id="1031" o:spid="_x0000_s2052" o:spt="20" style="position:absolute;left:0pt;margin-left:217.8pt;margin-top:19.5pt;height:16.2pt;width:0.05pt;z-index:251677696;mso-width-relative:page;mso-height-relative:page;" coordsize="21600,21600">
            <v:path arrowok="t"/>
            <v:fill focussize="0,0"/>
            <v:stroke dashstyle="1 1" endarrow="block"/>
            <v:imagedata o:title=""/>
            <o:lock v:ext="edit"/>
          </v:line>
        </w:pict>
      </w:r>
      <w:r>
        <w:rPr>
          <w:bCs/>
          <w:kern w:val="0"/>
          <w:sz w:val="24"/>
        </w:rPr>
        <w:pict>
          <v:shape id="1032" o:spid="_x0000_s2053" o:spt="100" style="position:absolute;left:0pt;margin-left:45.45pt;margin-top:18.9pt;height:1.75pt;width:416.1pt;z-index:251675648;mso-width-relative:page;mso-height-relative:page;" filled="f" coordsize="8322,35" path="m0,35l8322,0e">
            <v:path textboxrect="0,0,8322,35" arrowok="t" o:connecttype="segments"/>
            <v:fill on="f" focussize="0,0"/>
            <v:stroke joinstyle="round" dashstyle="1 1"/>
            <v:imagedata o:title=""/>
            <o:lock v:ext="edit"/>
          </v:shape>
        </w:pict>
      </w:r>
      <w:r>
        <w:rPr>
          <w:b/>
          <w:bCs/>
          <w:kern w:val="0"/>
          <w:sz w:val="24"/>
        </w:rPr>
        <w:pict>
          <v:line id="1033" o:spid="_x0000_s2054" o:spt="20" style="position:absolute;left:0pt;margin-left:461.9pt;margin-top:19.5pt;height:16.2pt;width:0.05pt;z-index:251712512;mso-width-relative:page;mso-height-relative:page;" coordsize="21600,21600">
            <v:path arrowok="t"/>
            <v:fill focussize="0,0"/>
            <v:stroke dashstyle="1 1" endarrow="block"/>
            <v:imagedata o:title=""/>
            <o:lock v:ext="edit"/>
          </v:line>
        </w:pict>
      </w:r>
      <w:r>
        <w:rPr>
          <w:b/>
          <w:bCs/>
          <w:kern w:val="0"/>
          <w:sz w:val="24"/>
        </w:rPr>
        <w:pict>
          <v:shape id="1034" o:spid="_x0000_s2055" o:spt="202" type="#_x0000_t202" style="position:absolute;left:0pt;margin-left:444pt;margin-top:38.2pt;height:43.7pt;width:35.9pt;z-index:251709440;mso-width-relative:page;mso-height-relative:page;" coordsize="21600,21600">
            <v:path/>
            <v:fill focussize="0,0"/>
            <v:stroke joinstyle="miter"/>
            <v:imagedata o:title=""/>
            <o:lock v:ext="edit"/>
            <v:textbox inset="0mm,0mm,0mm,0mm">
              <w:txbxContent>
                <w:p>
                  <w:pPr>
                    <w:jc w:val="center"/>
                  </w:pPr>
                  <w:r>
                    <w:rPr>
                      <w:rFonts w:hint="eastAsia"/>
                    </w:rPr>
                    <w:t>餐饮</w:t>
                  </w:r>
                </w:p>
                <w:p>
                  <w:pPr>
                    <w:jc w:val="center"/>
                  </w:pPr>
                  <w:r>
                    <w:rPr>
                      <w:rFonts w:hint="eastAsia"/>
                    </w:rPr>
                    <w:t>油烟</w:t>
                  </w:r>
                </w:p>
              </w:txbxContent>
            </v:textbox>
          </v:shape>
        </w:pict>
      </w:r>
      <w:r>
        <w:rPr>
          <w:b/>
          <w:bCs/>
          <w:kern w:val="0"/>
          <w:sz w:val="24"/>
        </w:rPr>
        <w:pict>
          <v:line id="1035" o:spid="_x0000_s2056" o:spt="20" style="position:absolute;left:0pt;margin-left:405.1pt;margin-top:19.5pt;height:16.2pt;width:0.05pt;z-index:251707392;mso-width-relative:page;mso-height-relative:page;" coordsize="21600,21600">
            <v:path arrowok="t"/>
            <v:fill focussize="0,0"/>
            <v:stroke dashstyle="1 1" endarrow="block"/>
            <v:imagedata o:title=""/>
            <o:lock v:ext="edit"/>
          </v:line>
        </w:pict>
      </w:r>
      <w:r>
        <w:rPr>
          <w:b/>
          <w:bCs/>
          <w:kern w:val="0"/>
          <w:sz w:val="24"/>
        </w:rPr>
        <w:pict>
          <v:line id="1036" o:spid="_x0000_s2057" o:spt="20" style="position:absolute;left:0pt;margin-left:351.1pt;margin-top:19.5pt;height:16.2pt;width:0.05pt;z-index:251700224;mso-width-relative:page;mso-height-relative:page;" coordsize="21600,21600">
            <v:path arrowok="t"/>
            <v:fill focussize="0,0"/>
            <v:stroke dashstyle="1 1" endarrow="block"/>
            <v:imagedata o:title=""/>
            <o:lock v:ext="edit"/>
          </v:line>
        </w:pict>
      </w:r>
    </w:p>
    <w:p>
      <w:pPr>
        <w:spacing w:line="440" w:lineRule="exact"/>
        <w:ind w:firstLine="480" w:firstLineChars="200"/>
        <w:rPr>
          <w:bCs/>
          <w:kern w:val="0"/>
          <w:sz w:val="24"/>
        </w:rPr>
      </w:pPr>
      <w:r>
        <w:rPr>
          <w:b/>
          <w:bCs/>
          <w:kern w:val="0"/>
          <w:sz w:val="24"/>
        </w:rPr>
        <w:pict>
          <v:shape id="1037" o:spid="_x0000_s2058" o:spt="202" type="#_x0000_t202" style="position:absolute;left:0pt;margin-left:103.6pt;margin-top:18.7pt;height:32.25pt;width:35.9pt;z-index:251725824;mso-width-relative:page;mso-height-relative:page;" coordsize="21600,21600">
            <v:path/>
            <v:fill focussize="0,0"/>
            <v:stroke joinstyle="miter"/>
            <v:imagedata o:title=""/>
            <o:lock v:ext="edit"/>
            <v:textbox inset="0mm,0mm,0mm,0mm">
              <w:txbxContent>
                <w:p>
                  <w:pPr>
                    <w:jc w:val="center"/>
                  </w:pPr>
                  <w:r>
                    <w:rPr>
                      <w:rFonts w:hint="eastAsia"/>
                    </w:rPr>
                    <w:t>餐饮</w:t>
                  </w:r>
                </w:p>
                <w:p>
                  <w:pPr>
                    <w:jc w:val="center"/>
                  </w:pPr>
                  <w:r>
                    <w:rPr>
                      <w:rFonts w:hint="eastAsia"/>
                    </w:rPr>
                    <w:t>废水</w:t>
                  </w:r>
                </w:p>
              </w:txbxContent>
            </v:textbox>
          </v:shape>
        </w:pict>
      </w:r>
      <w:r>
        <w:rPr>
          <w:bCs/>
          <w:kern w:val="0"/>
          <w:sz w:val="24"/>
        </w:rPr>
        <w:pict>
          <v:shape id="1038" o:spid="_x0000_s2059" o:spt="202" type="#_x0000_t202" style="position:absolute;left:0pt;margin-left:198.1pt;margin-top:15.2pt;height:44.7pt;width:37.75pt;z-index:251672576;mso-width-relative:page;mso-height-relative:page;" coordsize="21600,21600">
            <v:path/>
            <v:fill focussize="0,0"/>
            <v:stroke joinstyle="miter"/>
            <v:imagedata o:title=""/>
            <o:lock v:ext="edit"/>
            <v:textbox inset="0mm,0mm,0mm,0mm">
              <w:txbxContent>
                <w:p>
                  <w:pPr>
                    <w:jc w:val="center"/>
                  </w:pPr>
                  <w:r>
                    <w:rPr>
                      <w:rFonts w:hint="eastAsia"/>
                    </w:rPr>
                    <w:t>生活</w:t>
                  </w:r>
                </w:p>
                <w:p>
                  <w:pPr>
                    <w:jc w:val="center"/>
                  </w:pPr>
                  <w:r>
                    <w:rPr>
                      <w:rFonts w:hint="eastAsia"/>
                    </w:rPr>
                    <w:t>垃圾等</w:t>
                  </w:r>
                </w:p>
              </w:txbxContent>
            </v:textbox>
          </v:shape>
        </w:pict>
      </w:r>
      <w:r>
        <w:rPr>
          <w:b/>
          <w:bCs/>
          <w:kern w:val="0"/>
          <w:sz w:val="24"/>
        </w:rPr>
        <w:pict>
          <v:shape id="1039" o:spid="_x0000_s2060" o:spt="202" type="#_x0000_t202" style="position:absolute;left:0pt;margin-left:152.95pt;margin-top:15.6pt;height:44.3pt;width:37.75pt;z-index:251720704;mso-width-relative:page;mso-height-relative:page;" coordsize="21600,21600">
            <v:path/>
            <v:fill focussize="0,0"/>
            <v:stroke joinstyle="miter"/>
            <v:imagedata o:title=""/>
            <o:lock v:ext="edit"/>
            <v:textbox inset="0mm,0mm,0mm,0mm">
              <w:txbxContent>
                <w:p>
                  <w:pPr>
                    <w:jc w:val="center"/>
                  </w:pPr>
                  <w:r>
                    <w:rPr>
                      <w:rFonts w:hint="eastAsia"/>
                    </w:rPr>
                    <w:t>餐厨</w:t>
                  </w:r>
                </w:p>
                <w:p>
                  <w:pPr>
                    <w:jc w:val="center"/>
                  </w:pPr>
                  <w:r>
                    <w:rPr>
                      <w:rFonts w:hint="eastAsia"/>
                    </w:rPr>
                    <w:t>垃圾</w:t>
                  </w:r>
                </w:p>
              </w:txbxContent>
            </v:textbox>
          </v:shape>
        </w:pict>
      </w:r>
      <w:r>
        <w:rPr>
          <w:b/>
          <w:bCs/>
          <w:kern w:val="0"/>
          <w:sz w:val="24"/>
        </w:rPr>
        <w:pict>
          <v:line id="1040" o:spid="_x0000_s2061" o:spt="20" style="position:absolute;left:0pt;margin-left:172.75pt;margin-top:0.55pt;height:16.2pt;width:0.05pt;z-index:251721728;mso-width-relative:page;mso-height-relative:page;" coordsize="21600,21600">
            <v:path arrowok="t"/>
            <v:fill focussize="0,0"/>
            <v:stroke dashstyle="1 1" endarrow="block"/>
            <v:imagedata o:title=""/>
            <o:lock v:ext="edit"/>
          </v:line>
        </w:pict>
      </w:r>
      <w:r>
        <w:rPr>
          <w:b/>
          <w:bCs/>
          <w:kern w:val="0"/>
          <w:sz w:val="24"/>
        </w:rPr>
        <w:pict>
          <v:line id="1041" o:spid="_x0000_s2062" o:spt="20" style="position:absolute;left:0pt;margin-left:121.5pt;margin-top:0pt;height:16.2pt;width:0.05pt;z-index:251716608;mso-width-relative:page;mso-height-relative:page;" coordsize="21600,21600">
            <v:path arrowok="t"/>
            <v:fill focussize="0,0"/>
            <v:stroke dashstyle="1 1" endarrow="block"/>
            <v:imagedata o:title=""/>
            <o:lock v:ext="edit"/>
          </v:line>
        </w:pict>
      </w:r>
      <w:r>
        <w:rPr>
          <w:b/>
          <w:bCs/>
          <w:kern w:val="0"/>
          <w:sz w:val="24"/>
        </w:rPr>
        <w:pict>
          <v:shape id="1042" o:spid="_x0000_s2063" o:spt="202" type="#_x0000_t202" style="position:absolute;left:0pt;margin-left:387.2pt;margin-top:16.2pt;height:43.7pt;width:35.9pt;z-index:251706368;mso-width-relative:page;mso-height-relative:page;" coordsize="21600,21600">
            <v:path/>
            <v:fill focussize="0,0"/>
            <v:stroke joinstyle="miter"/>
            <v:imagedata o:title=""/>
            <o:lock v:ext="edit"/>
            <v:textbox inset="0mm,0mm,0mm,0mm">
              <w:txbxContent>
                <w:p>
                  <w:pPr>
                    <w:jc w:val="center"/>
                  </w:pPr>
                  <w:r>
                    <w:rPr>
                      <w:rFonts w:hint="eastAsia"/>
                    </w:rPr>
                    <w:t>车库</w:t>
                  </w:r>
                </w:p>
                <w:p>
                  <w:pPr>
                    <w:jc w:val="center"/>
                  </w:pPr>
                  <w:r>
                    <w:rPr>
                      <w:rFonts w:hint="eastAsia"/>
                    </w:rPr>
                    <w:t>尾气</w:t>
                  </w:r>
                </w:p>
              </w:txbxContent>
            </v:textbox>
          </v:shape>
        </w:pict>
      </w:r>
      <w:r>
        <w:rPr>
          <w:b/>
          <w:bCs/>
          <w:kern w:val="0"/>
          <w:sz w:val="24"/>
        </w:rPr>
        <w:pict>
          <v:shape id="1043" o:spid="_x0000_s2064" o:spt="202" type="#_x0000_t202" style="position:absolute;left:0pt;margin-left:333.1pt;margin-top:16.2pt;height:43.7pt;width:35.9pt;z-index:251701248;mso-width-relative:page;mso-height-relative:page;" coordsize="21600,21600">
            <v:path/>
            <v:fill focussize="0,0"/>
            <v:stroke joinstyle="miter"/>
            <v:imagedata o:title=""/>
            <o:lock v:ext="edit"/>
            <v:textbox inset="0mm,0mm,0mm,0mm">
              <w:txbxContent>
                <w:p>
                  <w:r>
                    <w:rPr>
                      <w:rFonts w:hint="eastAsia"/>
                    </w:rPr>
                    <w:t>居民厨房油烟</w:t>
                  </w:r>
                </w:p>
              </w:txbxContent>
            </v:textbox>
          </v:shape>
        </w:pict>
      </w:r>
      <w:r>
        <w:rPr>
          <w:bCs/>
          <w:kern w:val="0"/>
          <w:sz w:val="24"/>
        </w:rPr>
        <w:pict>
          <v:line id="1044" o:spid="_x0000_s2065" o:spt="20" style="position:absolute;left:0pt;margin-left:288.1pt;margin-top:0pt;height:16.2pt;width:0.05pt;z-index:251678720;mso-width-relative:page;mso-height-relative:page;" coordsize="21600,21600">
            <v:path arrowok="t"/>
            <v:fill focussize="0,0"/>
            <v:stroke dashstyle="1 1" endarrow="block"/>
            <v:imagedata o:title=""/>
            <o:lock v:ext="edit"/>
          </v:line>
        </w:pict>
      </w:r>
      <w:r>
        <w:rPr>
          <w:bCs/>
          <w:kern w:val="0"/>
          <w:sz w:val="24"/>
        </w:rPr>
        <w:pict>
          <v:shape id="1045" o:spid="_x0000_s2066" o:spt="202" type="#_x0000_t202" style="position:absolute;left:0pt;margin-left:252.1pt;margin-top:15.6pt;height:48.6pt;width:53.9pt;z-index:251673600;mso-width-relative:page;mso-height-relative:page;" coordsize="21600,21600">
            <v:path/>
            <v:fill focussize="0,0"/>
            <v:stroke joinstyle="miter"/>
            <v:imagedata o:title=""/>
            <o:lock v:ext="edit"/>
            <v:textbox inset="0mm,0mm,0mm,0mm">
              <w:txbxContent>
                <w:p>
                  <w:r>
                    <w:rPr>
                      <w:rFonts w:hint="eastAsia"/>
                    </w:rPr>
                    <w:t>设备噪声、</w:t>
                  </w:r>
                </w:p>
                <w:p>
                  <w:r>
                    <w:rPr>
                      <w:rFonts w:hint="eastAsia"/>
                    </w:rPr>
                    <w:t>车辆噪声</w:t>
                  </w:r>
                </w:p>
              </w:txbxContent>
            </v:textbox>
          </v:shape>
        </w:pict>
      </w:r>
      <w:r>
        <w:rPr>
          <w:bCs/>
          <w:kern w:val="0"/>
          <w:sz w:val="24"/>
        </w:rPr>
        <w:pict>
          <v:line id="1046" o:spid="_x0000_s2067" o:spt="20" style="position:absolute;left:0pt;margin-left:46.6pt;margin-top:-0.9pt;height:16.2pt;width:0.05pt;z-index:251676672;mso-width-relative:page;mso-height-relative:page;" coordsize="21600,21600">
            <v:path arrowok="t"/>
            <v:fill focussize="0,0"/>
            <v:stroke dashstyle="1 1" endarrow="block"/>
            <v:imagedata o:title=""/>
            <o:lock v:ext="edit"/>
          </v:line>
        </w:pict>
      </w:r>
      <w:r>
        <w:rPr>
          <w:bCs/>
          <w:kern w:val="0"/>
          <w:sz w:val="24"/>
        </w:rPr>
        <w:pict>
          <v:shape id="1047" o:spid="_x0000_s2068" o:spt="202" type="#_x0000_t202" style="position:absolute;left:0pt;margin-left:18.4pt;margin-top:15.3pt;height:48.6pt;width:56.4pt;z-index:251671552;mso-width-relative:page;mso-height-relative:page;" coordsize="21600,21600">
            <v:path/>
            <v:fill focussize="0,0"/>
            <v:stroke joinstyle="miter"/>
            <v:imagedata o:title=""/>
            <o:lock v:ext="edit"/>
            <v:textbox inset="0mm,0mm,0mm,0mm">
              <w:txbxContent>
                <w:p>
                  <w:pPr>
                    <w:jc w:val="center"/>
                  </w:pPr>
                  <w:r>
                    <w:rPr>
                      <w:rFonts w:hint="eastAsia"/>
                    </w:rPr>
                    <w:t>生活污水、物业用水</w:t>
                  </w:r>
                </w:p>
              </w:txbxContent>
            </v:textbox>
          </v:shape>
        </w:pict>
      </w:r>
    </w:p>
    <w:p>
      <w:pPr>
        <w:spacing w:line="440" w:lineRule="exact"/>
        <w:ind w:firstLine="480" w:firstLineChars="200"/>
        <w:rPr>
          <w:bCs/>
          <w:kern w:val="0"/>
          <w:sz w:val="24"/>
        </w:rPr>
      </w:pPr>
    </w:p>
    <w:p>
      <w:pPr>
        <w:spacing w:line="440" w:lineRule="exact"/>
        <w:ind w:firstLine="480" w:firstLineChars="200"/>
        <w:rPr>
          <w:bCs/>
          <w:kern w:val="0"/>
          <w:sz w:val="24"/>
        </w:rPr>
      </w:pPr>
      <w:r>
        <w:rPr>
          <w:b/>
          <w:bCs/>
          <w:kern w:val="0"/>
          <w:sz w:val="24"/>
        </w:rPr>
        <w:pict>
          <v:line id="1048" o:spid="_x0000_s2069" o:spt="20" style="position:absolute;left:0pt;margin-left:172.55pt;margin-top:15.9pt;height:18.7pt;width:0.1pt;z-index:251723776;mso-width-relative:page;mso-height-relative:page;" coordsize="21600,21600">
            <v:path arrowok="t"/>
            <v:fill focussize="0,0"/>
            <v:stroke dashstyle="1 1" endarrow="block"/>
            <v:imagedata o:title=""/>
            <o:lock v:ext="edit"/>
          </v:line>
        </w:pict>
      </w:r>
      <w:r>
        <w:rPr>
          <w:bCs/>
          <w:kern w:val="0"/>
          <w:sz w:val="24"/>
        </w:rPr>
        <w:pict>
          <v:line id="1049" o:spid="_x0000_s2070" o:spt="20" style="position:absolute;left:0pt;margin-left:217.7pt;margin-top:17.1pt;height:32.5pt;width:0.1pt;z-index:251687936;mso-width-relative:page;mso-height-relative:page;" coordsize="21600,21600">
            <v:path arrowok="t"/>
            <v:fill focussize="0,0"/>
            <v:stroke dashstyle="1 1" endarrow="block"/>
            <v:imagedata o:title=""/>
            <o:lock v:ext="edit"/>
          </v:line>
        </w:pict>
      </w:r>
      <w:r>
        <w:rPr>
          <w:b/>
          <w:bCs/>
          <w:kern w:val="0"/>
          <w:sz w:val="24"/>
        </w:rPr>
        <w:pict>
          <v:group id="1050" o:spid="_x0000_s2071" o:spt="203" style="position:absolute;left:0pt;margin-left:93.65pt;margin-top:18.4pt;height:16.2pt;width:53.9pt;z-index:251718656;mso-width-relative:page;mso-height-relative:page;" coordsize="1086,312">
            <o:lock v:ext="edit"/>
            <v:shape id="1051" o:spid="_x0000_s2072" o:spt="202" type="#_x0000_t202" style="position:absolute;left:0;top:0;height:312;width:1086;" coordsize="21600,21600">
              <v:path/>
              <v:fill focussize="0,0"/>
              <v:stroke dashstyle="1 1"/>
              <v:imagedata o:title=""/>
              <o:lock v:ext="edit"/>
              <v:textbox inset="0mm,0mm,0mm,0mm">
                <w:txbxContent>
                  <w:p>
                    <w:pPr>
                      <w:jc w:val="center"/>
                    </w:pPr>
                    <w:r>
                      <w:rPr>
                        <w:rFonts w:hint="eastAsia"/>
                      </w:rPr>
                      <w:t>隔油处理</w:t>
                    </w:r>
                  </w:p>
                </w:txbxContent>
              </v:textbox>
            </v:shape>
            <v:line id="1052" o:spid="_x0000_s2073" o:spt="20" style="position:absolute;left:0;top:0;height:0;width:244;" coordsize="21600,21600">
              <v:path arrowok="t"/>
              <v:fill focussize="0,0"/>
              <v:stroke dashstyle="1 1"/>
              <v:imagedata o:title=""/>
              <o:lock v:ext="edit"/>
            </v:line>
          </v:group>
        </w:pict>
      </w:r>
      <w:r>
        <w:rPr>
          <w:b/>
          <w:bCs/>
          <w:kern w:val="0"/>
          <w:sz w:val="24"/>
        </w:rPr>
        <w:pict>
          <v:shape id="1053" o:spid="_x0000_s2074" o:spt="100" style="position:absolute;left:0pt;margin-left:121.65pt;margin-top:1.35pt;height:16.05pt;width:0.15pt;z-index:251717632;mso-width-relative:page;mso-height-relative:page;" filled="f" coordsize="3,321" path="m3,0l0,321e">
            <v:path textboxrect="0,0,3,321" arrowok="t" o:connecttype="segments"/>
            <v:fill on="f" focussize="0,0"/>
            <v:stroke joinstyle="round" dashstyle="1 1" endarrow="block"/>
            <v:imagedata o:title=""/>
            <o:lock v:ext="edit"/>
          </v:shape>
        </w:pict>
      </w:r>
      <w:r>
        <w:rPr>
          <w:bCs/>
          <w:kern w:val="0"/>
          <w:sz w:val="24"/>
        </w:rPr>
        <w:pict>
          <v:shape id="1054" o:spid="_x0000_s2075" o:spt="100" style="position:absolute;left:0pt;margin-left:46.3pt;margin-top:19.9pt;height:22.6pt;width:0.3pt;z-index:251681792;mso-width-relative:page;mso-height-relative:page;" filled="f" coordsize="6,452" path="m6,0l0,452e">
            <v:path textboxrect="0,0,6,452" arrowok="t" o:connecttype="segments"/>
            <v:fill on="f" focussize="0,0"/>
            <v:stroke joinstyle="round" dashstyle="1 1" endarrow="block"/>
            <v:imagedata o:title=""/>
            <o:lock v:ext="edit"/>
          </v:shape>
        </w:pict>
      </w:r>
      <w:r>
        <w:rPr>
          <w:b/>
          <w:bCs/>
          <w:kern w:val="0"/>
          <w:sz w:val="24"/>
        </w:rPr>
        <w:pict>
          <v:line id="1055" o:spid="_x0000_s2076" o:spt="20" style="position:absolute;left:0pt;margin-left:461.9pt;margin-top:15.9pt;height:42.1pt;width:0.1pt;z-index:251713536;mso-width-relative:page;mso-height-relative:page;" coordsize="21600,21600">
            <v:path arrowok="t"/>
            <v:fill focussize="0,0"/>
            <v:stroke dashstyle="1 1" endarrow="block"/>
            <v:imagedata o:title=""/>
            <o:lock v:ext="edit"/>
          </v:line>
        </w:pict>
      </w:r>
      <w:r>
        <w:rPr>
          <w:b/>
          <w:bCs/>
          <w:kern w:val="0"/>
          <w:sz w:val="24"/>
        </w:rPr>
        <w:pict>
          <v:line id="1056" o:spid="_x0000_s2077" o:spt="20" style="position:absolute;left:0pt;margin-left:405.1pt;margin-top:15.9pt;height:44.5pt;width:0.05pt;z-index:251708416;mso-width-relative:page;mso-height-relative:page;" coordsize="21600,21600">
            <v:path arrowok="t"/>
            <v:fill focussize="0,0"/>
            <v:stroke dashstyle="1 1" endarrow="block"/>
            <v:imagedata o:title=""/>
            <o:lock v:ext="edit"/>
          </v:line>
        </w:pict>
      </w:r>
      <w:r>
        <w:rPr>
          <w:b/>
          <w:bCs/>
          <w:kern w:val="0"/>
          <w:sz w:val="24"/>
        </w:rPr>
        <w:pict>
          <v:line id="1057" o:spid="_x0000_s2078" o:spt="20" style="position:absolute;left:0pt;margin-left:351.1pt;margin-top:18.4pt;height:23.4pt;width:0.1pt;z-index:251702272;mso-width-relative:page;mso-height-relative:page;" coordsize="21600,21600">
            <v:path arrowok="t"/>
            <v:fill focussize="0,0"/>
            <v:stroke dashstyle="1 1" endarrow="block"/>
            <v:imagedata o:title=""/>
            <o:lock v:ext="edit"/>
          </v:line>
        </w:pict>
      </w:r>
      <w:r>
        <w:rPr>
          <w:bCs/>
          <w:kern w:val="0"/>
          <w:sz w:val="24"/>
        </w:rPr>
        <w:pict>
          <v:line id="1058" o:spid="_x0000_s2079" o:spt="20" style="position:absolute;left:0pt;margin-left:288.1pt;margin-top:18.4pt;height:24.3pt;width:0.05pt;z-index:251697152;mso-width-relative:page;mso-height-relative:page;" coordsize="21600,21600">
            <v:path arrowok="t"/>
            <v:fill focussize="0,0"/>
            <v:stroke dashstyle="1 1" endarrow="block"/>
            <v:imagedata o:title=""/>
            <o:lock v:ext="edit"/>
          </v:line>
        </w:pict>
      </w:r>
    </w:p>
    <w:p>
      <w:pPr>
        <w:spacing w:line="440" w:lineRule="exact"/>
        <w:ind w:firstLine="480" w:firstLineChars="200"/>
        <w:rPr>
          <w:bCs/>
          <w:kern w:val="0"/>
          <w:sz w:val="24"/>
        </w:rPr>
      </w:pPr>
      <w:r>
        <w:rPr>
          <w:bCs/>
          <w:kern w:val="0"/>
          <w:sz w:val="24"/>
        </w:rPr>
        <w:pict>
          <v:group id="1059" o:spid="_x0000_s2080" o:spt="203" style="position:absolute;left:0pt;margin-left:10.6pt;margin-top:19.8pt;height:16.2pt;width:61.45pt;z-index:251679744;mso-width-relative:page;mso-height-relative:page;" coordsize="1086,312">
            <o:lock v:ext="edit"/>
            <v:shape id="1060" o:spid="_x0000_s2081" o:spt="202" type="#_x0000_t202" style="position:absolute;left:0;top:0;height:312;width:1086;" coordsize="21600,21600">
              <v:path/>
              <v:fill focussize="0,0"/>
              <v:stroke dashstyle="1 1"/>
              <v:imagedata o:title=""/>
              <o:lock v:ext="edit"/>
              <v:textbox inset="0mm,0mm,0mm,0mm">
                <w:txbxContent>
                  <w:p>
                    <w:pPr>
                      <w:jc w:val="center"/>
                    </w:pPr>
                    <w:r>
                      <w:rPr>
                        <w:rFonts w:hint="eastAsia"/>
                      </w:rPr>
                      <w:t>生化处理</w:t>
                    </w:r>
                  </w:p>
                </w:txbxContent>
              </v:textbox>
            </v:shape>
            <v:line id="1061" o:spid="_x0000_s2082" o:spt="20" style="position:absolute;left:0;top:0;height:0;width:244;" coordsize="21600,21600">
              <v:path arrowok="t"/>
              <v:fill focussize="0,0"/>
              <v:stroke dashstyle="1 1"/>
              <v:imagedata o:title=""/>
              <o:lock v:ext="edit"/>
            </v:line>
          </v:group>
        </w:pict>
      </w:r>
      <w:r>
        <w:rPr>
          <w:b/>
          <w:bCs/>
          <w:kern w:val="0"/>
          <w:sz w:val="24"/>
        </w:rPr>
        <w:pict>
          <v:group id="1062" o:spid="_x0000_s2083" o:spt="203" style="position:absolute;left:0pt;margin-left:160pt;margin-top:11.4pt;height:47.7pt;width:27.3pt;z-index:251722752;mso-width-relative:page;mso-height-relative:page;" coordsize="1086,312">
            <o:lock v:ext="edit"/>
            <v:shape id="1063" o:spid="_x0000_s2084" o:spt="202" type="#_x0000_t202" style="position:absolute;left:0;top:0;height:312;width:1086;" coordsize="21600,21600">
              <v:path/>
              <v:fill focussize="0,0"/>
              <v:stroke dashstyle="1 1"/>
              <v:imagedata o:title=""/>
              <o:lock v:ext="edit"/>
              <v:textbox inset="0mm,0mm,0mm,0mm">
                <w:txbxContent>
                  <w:p>
                    <w:pPr>
                      <w:jc w:val="center"/>
                    </w:pPr>
                    <w:r>
                      <w:rPr>
                        <w:rFonts w:hint="eastAsia"/>
                      </w:rPr>
                      <w:t>餐厨垃圾处置公司</w:t>
                    </w:r>
                  </w:p>
                </w:txbxContent>
              </v:textbox>
            </v:shape>
            <v:line id="1064" o:spid="_x0000_s2085" o:spt="20" style="position:absolute;left:0;top:0;height:0;width:244;" coordsize="21600,21600">
              <v:path arrowok="t"/>
              <v:fill focussize="0,0"/>
              <v:stroke dashstyle="1 1"/>
              <v:imagedata o:title=""/>
              <o:lock v:ext="edit"/>
            </v:line>
          </v:group>
        </w:pict>
      </w:r>
      <w:r>
        <w:rPr>
          <w:b/>
          <w:bCs/>
          <w:kern w:val="0"/>
          <w:sz w:val="24"/>
        </w:rPr>
        <w:pict>
          <v:shape id="1065" o:spid="_x0000_s2086" o:spt="100" style="position:absolute;left:0pt;margin-left:57.15pt;margin-top:5.4pt;height:15.95pt;width:36pt;z-index:251719680;mso-width-relative:page;mso-height-relative:page;" filled="f" coordsize="720,319" path="m720,0l0,0,17,319e">
            <v:path textboxrect="0,0,720,319" arrowok="t" o:connecttype="segments"/>
            <v:fill on="f" focussize="0,0"/>
            <v:stroke joinstyle="round" dashstyle="1 1" endarrow="block"/>
            <v:imagedata o:title=""/>
            <o:lock v:ext="edit"/>
          </v:shape>
        </w:pict>
      </w:r>
      <w:r>
        <w:rPr>
          <w:b/>
          <w:bCs/>
          <w:kern w:val="0"/>
          <w:sz w:val="24"/>
        </w:rPr>
        <w:pict>
          <v:shape id="1066" o:spid="_x0000_s2087" o:spt="202" type="#_x0000_t202" style="position:absolute;left:0pt;margin-left:429.2pt;margin-top:1.45pt;height:26.15pt;width:44.9pt;z-index:251715584;mso-width-relative:page;mso-height-relative:page;" filled="f" stroked="f" coordsize="21600,21600">
            <v:path/>
            <v:fill on="f" focussize="0,0"/>
            <v:stroke on="f" joinstyle="miter"/>
            <v:imagedata o:title=""/>
            <o:lock v:ext="edit"/>
            <v:textbox inset="0mm,0mm,0mm,0mm">
              <w:txbxContent>
                <w:p>
                  <w:pPr>
                    <w:jc w:val="center"/>
                  </w:pPr>
                  <w:r>
                    <w:rPr>
                      <w:rFonts w:hint="eastAsia"/>
                    </w:rPr>
                    <w:t>净化</w:t>
                  </w:r>
                </w:p>
              </w:txbxContent>
            </v:textbox>
          </v:shape>
        </w:pict>
      </w:r>
      <w:r>
        <w:rPr>
          <w:b/>
          <w:bCs/>
          <w:kern w:val="0"/>
          <w:sz w:val="24"/>
        </w:rPr>
        <w:pict>
          <v:group id="1067" o:spid="_x0000_s2088" o:spt="203" style="position:absolute;left:0pt;margin-left:324.2pt;margin-top:20.2pt;height:43.9pt;width:44.9pt;z-index:251703296;mso-width-relative:page;mso-height-relative:page;" coordsize="1086,312">
            <o:lock v:ext="edit"/>
            <v:shape id="1068" o:spid="_x0000_s2089" o:spt="202" type="#_x0000_t202" style="position:absolute;left:0;top:0;height:312;width:1086;" coordsize="21600,21600">
              <v:path/>
              <v:fill focussize="0,0"/>
              <v:stroke dashstyle="1 1"/>
              <v:imagedata o:title=""/>
              <o:lock v:ext="edit"/>
              <v:textbox inset="0mm,0mm,0mm,0mm">
                <w:txbxContent>
                  <w:p>
                    <w:pPr>
                      <w:jc w:val="center"/>
                    </w:pPr>
                    <w:r>
                      <w:rPr>
                        <w:rFonts w:hint="eastAsia"/>
                      </w:rPr>
                      <w:t>公共</w:t>
                    </w:r>
                  </w:p>
                  <w:p>
                    <w:pPr>
                      <w:jc w:val="center"/>
                    </w:pPr>
                    <w:r>
                      <w:rPr>
                        <w:rFonts w:hint="eastAsia"/>
                      </w:rPr>
                      <w:t>烟道</w:t>
                    </w:r>
                  </w:p>
                </w:txbxContent>
              </v:textbox>
            </v:shape>
            <v:line id="1069" o:spid="_x0000_s2090" o:spt="20" style="position:absolute;left:0;top:0;height:0;width:244;" coordsize="21600,21600">
              <v:path arrowok="t"/>
              <v:fill focussize="0,0"/>
              <v:stroke dashstyle="1 1"/>
              <v:imagedata o:title=""/>
              <o:lock v:ext="edit"/>
            </v:line>
          </v:group>
        </w:pict>
      </w:r>
      <w:r>
        <w:rPr>
          <w:bCs/>
          <w:kern w:val="0"/>
          <w:sz w:val="24"/>
        </w:rPr>
        <w:pict>
          <v:group id="1070" o:spid="_x0000_s2091" o:spt="203" style="position:absolute;left:0pt;margin-left:252pt;margin-top:19.4pt;height:32.4pt;width:54pt;z-index:251695104;mso-width-relative:page;mso-height-relative:page;" coordsize="1086,312">
            <o:lock v:ext="edit"/>
            <v:shape id="1071" o:spid="_x0000_s2092" o:spt="202" type="#_x0000_t202" style="position:absolute;left:0;top:0;height:312;width:1086;" coordsize="21600,21600">
              <v:path/>
              <v:fill focussize="0,0"/>
              <v:stroke dashstyle="1 1"/>
              <v:imagedata o:title=""/>
              <o:lock v:ext="edit"/>
              <v:textbox inset="0mm,0mm,0mm,0mm">
                <w:txbxContent>
                  <w:p>
                    <w:r>
                      <w:rPr>
                        <w:rFonts w:hint="eastAsia"/>
                      </w:rPr>
                      <w:t>消声、降噪、加强管理</w:t>
                    </w:r>
                  </w:p>
                </w:txbxContent>
              </v:textbox>
            </v:shape>
            <v:line id="1072" o:spid="_x0000_s2093" o:spt="20" style="position:absolute;left:0;top:0;height:0;width:244;" coordsize="21600,21600">
              <v:path arrowok="t"/>
              <v:fill focussize="0,0"/>
              <v:stroke dashstyle="1 1"/>
              <v:imagedata o:title=""/>
              <o:lock v:ext="edit"/>
            </v:line>
          </v:group>
        </w:pict>
      </w:r>
    </w:p>
    <w:p>
      <w:pPr>
        <w:spacing w:line="440" w:lineRule="exact"/>
        <w:ind w:firstLine="480" w:firstLineChars="200"/>
        <w:rPr>
          <w:bCs/>
          <w:kern w:val="0"/>
          <w:sz w:val="24"/>
        </w:rPr>
      </w:pPr>
      <w:r>
        <w:rPr>
          <w:b/>
          <w:bCs/>
          <w:kern w:val="0"/>
          <w:sz w:val="24"/>
        </w:rPr>
        <w:pict>
          <v:group id="1073" o:spid="_x0000_s2094" o:spt="203" style="position:absolute;left:0pt;margin-left:376.3pt;margin-top:18.35pt;height:16.6pt;width:54pt;z-index:251724800;mso-width-relative:page;mso-height-relative:page;" coordsize="1086,312">
            <o:lock v:ext="edit"/>
            <v:shape id="1074" o:spid="_x0000_s2095" o:spt="202" type="#_x0000_t202" style="position:absolute;left:0;top:0;height:312;width:1086;" coordsize="21600,21600">
              <v:path/>
              <v:fill focussize="0,0"/>
              <v:stroke joinstyle="miter"/>
              <v:imagedata o:title=""/>
              <o:lock v:ext="edit"/>
              <v:textbox inset="0mm,0mm,0mm,0mm">
                <w:txbxContent>
                  <w:p>
                    <w:pPr>
                      <w:jc w:val="center"/>
                    </w:pPr>
                    <w:r>
                      <w:rPr>
                        <w:rFonts w:hint="eastAsia"/>
                      </w:rPr>
                      <w:t>散排</w:t>
                    </w:r>
                  </w:p>
                </w:txbxContent>
              </v:textbox>
            </v:shape>
            <v:line id="1075" o:spid="_x0000_s2096" o:spt="20" style="position:absolute;left:0;top:0;height:0;width:244;" coordsize="21600,21600">
              <v:path arrowok="t"/>
              <v:fill focussize="0,0"/>
              <v:stroke/>
              <v:imagedata o:title=""/>
              <o:lock v:ext="edit"/>
            </v:line>
          </v:group>
        </w:pict>
      </w:r>
      <w:r>
        <w:rPr>
          <w:b/>
          <w:bCs/>
          <w:kern w:val="0"/>
          <w:sz w:val="24"/>
        </w:rPr>
        <w:pict>
          <v:group id="1076" o:spid="_x0000_s2097" o:spt="203" style="position:absolute;left:0pt;margin-left:435.6pt;margin-top:16.4pt;height:25.3pt;width:44.35pt;z-index:251710464;mso-width-relative:page;mso-height-relative:page;" coordsize="1086,312">
            <o:lock v:ext="edit"/>
            <v:shape id="1077" o:spid="_x0000_s2098" o:spt="202" type="#_x0000_t202" style="position:absolute;left:0;top:0;height:312;width:1086;" coordsize="21600,21600">
              <v:path/>
              <v:fill focussize="0,0"/>
              <v:stroke dashstyle="1 1"/>
              <v:imagedata o:title=""/>
              <o:lock v:ext="edit"/>
              <v:textbox inset="0mm,0mm,0mm,0mm">
                <w:txbxContent>
                  <w:p>
                    <w:pPr>
                      <w:jc w:val="center"/>
                    </w:pPr>
                    <w:r>
                      <w:rPr>
                        <w:rFonts w:hint="eastAsia"/>
                      </w:rPr>
                      <w:t>专用烟道</w:t>
                    </w:r>
                  </w:p>
                  <w:p/>
                </w:txbxContent>
              </v:textbox>
            </v:shape>
            <v:line id="1078" o:spid="_x0000_s2099" o:spt="20" style="position:absolute;left:0;top:0;height:0;width:244;" coordsize="21600,21600">
              <v:path arrowok="t"/>
              <v:fill focussize="0,0"/>
              <v:stroke dashstyle="1 1"/>
              <v:imagedata o:title=""/>
              <o:lock v:ext="edit"/>
            </v:line>
          </v:group>
        </w:pict>
      </w:r>
      <w:r>
        <w:rPr>
          <w:bCs/>
          <w:kern w:val="0"/>
          <w:sz w:val="24"/>
        </w:rPr>
        <w:pict>
          <v:group id="1079" o:spid="_x0000_s2100" o:spt="203" style="position:absolute;left:0pt;margin-left:198.1pt;margin-top:5pt;height:16.2pt;width:43.25pt;z-index:251683840;mso-width-relative:page;mso-height-relative:page;" coordsize="1086,312">
            <o:lock v:ext="edit"/>
            <v:shape id="1080" o:spid="_x0000_s2101" o:spt="202" type="#_x0000_t202" style="position:absolute;left:0;top:0;height:312;width:1086;" coordsize="21600,21600">
              <v:path/>
              <v:fill focussize="0,0"/>
              <v:stroke dashstyle="1 1"/>
              <v:imagedata o:title=""/>
              <o:lock v:ext="edit"/>
              <v:textbox inset="0mm,0mm,0mm,0mm">
                <w:txbxContent>
                  <w:p>
                    <w:pPr>
                      <w:jc w:val="center"/>
                    </w:pPr>
                    <w:r>
                      <w:rPr>
                        <w:rFonts w:hint="eastAsia"/>
                      </w:rPr>
                      <w:t>垃圾箱</w:t>
                    </w:r>
                  </w:p>
                </w:txbxContent>
              </v:textbox>
            </v:shape>
            <v:line id="1081" o:spid="_x0000_s2102" o:spt="20" style="position:absolute;left:0;top:0;height:0;width:244;" coordsize="21600,21600">
              <v:path arrowok="t"/>
              <v:fill focussize="0,0"/>
              <v:stroke dashstyle="1 1"/>
              <v:imagedata o:title=""/>
              <o:lock v:ext="edit"/>
            </v:line>
          </v:group>
        </w:pict>
      </w:r>
      <w:r>
        <w:rPr>
          <w:bCs/>
          <w:kern w:val="0"/>
          <w:sz w:val="24"/>
        </w:rPr>
        <w:pict>
          <v:line id="1082" o:spid="_x0000_s2103" o:spt="20" style="position:absolute;left:0pt;margin-left:217.8pt;margin-top:20.6pt;height:16.2pt;width:0.05pt;z-index:251688960;mso-width-relative:page;mso-height-relative:page;" coordsize="21600,21600">
            <v:path arrowok="t"/>
            <v:fill focussize="0,0"/>
            <v:stroke dashstyle="1 1" endarrow="block"/>
            <v:imagedata o:title=""/>
            <o:lock v:ext="edit"/>
          </v:line>
        </w:pict>
      </w:r>
      <w:r>
        <w:rPr>
          <w:bCs/>
          <w:kern w:val="0"/>
          <w:sz w:val="24"/>
        </w:rPr>
        <w:pict>
          <v:line id="1083" o:spid="_x0000_s2104" o:spt="20" style="position:absolute;left:0pt;margin-left:93.65pt;margin-top:8.7pt;height:33.9pt;width:5.45pt;z-index:251693056;mso-width-relative:page;mso-height-relative:page;" coordsize="21600,21600">
            <v:path arrowok="t"/>
            <v:fill focussize="0,0"/>
            <v:stroke dashstyle="1 1"/>
            <v:imagedata o:title=""/>
            <o:lock v:ext="edit"/>
          </v:line>
        </w:pict>
      </w:r>
      <w:r>
        <w:rPr>
          <w:bCs/>
          <w:kern w:val="0"/>
          <w:sz w:val="24"/>
        </w:rPr>
        <w:pict>
          <v:line id="1084" o:spid="_x0000_s2105" o:spt="20" style="position:absolute;left:0pt;margin-left:74.8pt;margin-top:8.3pt;height:0pt;width:18.75pt;z-index:251692032;mso-width-relative:page;mso-height-relative:page;" coordsize="21600,21600">
            <v:path arrowok="t"/>
            <v:fill focussize="0,0"/>
            <v:stroke dashstyle="1 1"/>
            <v:imagedata o:title=""/>
            <o:lock v:ext="edit"/>
          </v:line>
        </w:pict>
      </w:r>
      <w:r>
        <w:rPr>
          <w:bCs/>
          <w:kern w:val="0"/>
          <w:sz w:val="24"/>
        </w:rPr>
        <w:pict>
          <v:line id="1085" o:spid="_x0000_s2106" o:spt="20" style="position:absolute;left:0pt;margin-left:46.6pt;margin-top:16.4pt;height:16.2pt;width:0.05pt;z-index:251682816;mso-width-relative:page;mso-height-relative:page;" coordsize="21600,21600">
            <v:path arrowok="t"/>
            <v:fill focussize="0,0"/>
            <v:stroke dashstyle="1 1" endarrow="block"/>
            <v:imagedata o:title=""/>
            <o:lock v:ext="edit"/>
          </v:line>
        </w:pict>
      </w:r>
    </w:p>
    <w:p>
      <w:pPr>
        <w:spacing w:line="440" w:lineRule="exact"/>
        <w:ind w:firstLine="480" w:firstLineChars="200"/>
        <w:rPr>
          <w:bCs/>
          <w:kern w:val="0"/>
          <w:sz w:val="24"/>
        </w:rPr>
      </w:pPr>
      <w:r>
        <w:rPr>
          <w:b/>
          <w:bCs/>
          <w:kern w:val="0"/>
          <w:sz w:val="24"/>
        </w:rPr>
        <w:pict>
          <v:line id="1086" o:spid="_x0000_s2107" o:spt="20" style="position:absolute;left:0pt;margin-left:460.65pt;margin-top:19.6pt;height:23.4pt;width:0.1pt;z-index:251714560;mso-width-relative:page;mso-height-relative:page;" coordsize="21600,21600">
            <v:path arrowok="t"/>
            <v:fill focussize="0,0"/>
            <v:stroke dashstyle="1 1" endarrow="block"/>
            <v:imagedata o:title=""/>
            <o:lock v:ext="edit"/>
          </v:line>
        </w:pict>
      </w:r>
      <w:r>
        <w:rPr>
          <w:bCs/>
          <w:kern w:val="0"/>
          <w:sz w:val="24"/>
        </w:rPr>
        <w:pict>
          <v:group id="1087" o:spid="_x0000_s2108" o:spt="203" style="position:absolute;left:0pt;margin-left:192.7pt;margin-top:14.8pt;height:16.2pt;width:47.25pt;z-index:251684864;mso-width-relative:page;mso-height-relative:page;" coordsize="1086,312">
            <o:lock v:ext="edit"/>
            <v:shape id="1088" o:spid="_x0000_s2109" o:spt="202" type="#_x0000_t202" style="position:absolute;left:0;top:0;height:312;width:1086;" coordsize="21600,21600">
              <v:path/>
              <v:fill focussize="0,0"/>
              <v:stroke dashstyle="1 1"/>
              <v:imagedata o:title=""/>
              <o:lock v:ext="edit"/>
              <v:textbox inset="0mm,0mm,0mm,0mm">
                <w:txbxContent>
                  <w:p>
                    <w:pPr>
                      <w:jc w:val="center"/>
                    </w:pPr>
                    <w:r>
                      <w:rPr>
                        <w:rFonts w:hint="eastAsia"/>
                      </w:rPr>
                      <w:t>环卫部门</w:t>
                    </w:r>
                  </w:p>
                </w:txbxContent>
              </v:textbox>
            </v:shape>
            <v:line id="1089" o:spid="_x0000_s2110" o:spt="20" style="position:absolute;left:0;top:0;height:0;width:244;" coordsize="21600,21600">
              <v:path arrowok="t"/>
              <v:fill focussize="0,0"/>
              <v:stroke dashstyle="1 1"/>
              <v:imagedata o:title=""/>
              <o:lock v:ext="edit"/>
            </v:line>
          </v:group>
        </w:pict>
      </w:r>
      <w:r>
        <w:rPr>
          <w:b/>
          <w:bCs/>
          <w:kern w:val="0"/>
          <w:sz w:val="24"/>
        </w:rPr>
        <w:pict>
          <v:line id="1090" o:spid="_x0000_s2111" o:spt="20" style="position:absolute;left:0pt;margin-left:342.1pt;margin-top:20.1pt;height:24pt;width:0.05pt;z-index:251704320;mso-width-relative:page;mso-height-relative:page;" coordsize="21600,21600">
            <v:path arrowok="t"/>
            <v:fill focussize="0,0"/>
            <v:stroke dashstyle="1 1" endarrow="block"/>
            <v:imagedata o:title=""/>
            <o:lock v:ext="edit"/>
          </v:line>
        </w:pict>
      </w:r>
      <w:r>
        <w:rPr>
          <w:bCs/>
          <w:kern w:val="0"/>
          <w:sz w:val="24"/>
        </w:rPr>
        <w:pict>
          <v:shape id="1091" o:spid="_x0000_s2112" o:spt="202" type="#_x0000_t202" style="position:absolute;left:0pt;margin-left:9.1pt;margin-top:11pt;height:16.2pt;width:63pt;z-index:251680768;mso-width-relative:page;mso-height-relative:page;" coordsize="21600,21600">
            <v:path/>
            <v:fill focussize="0,0"/>
            <v:stroke dashstyle="1 1"/>
            <v:imagedata o:title=""/>
            <o:lock v:ext="edit"/>
            <v:textbox inset="0mm,0mm,0mm,0mm">
              <w:txbxContent>
                <w:p>
                  <w:pPr>
                    <w:jc w:val="center"/>
                    <w:rPr>
                      <w:szCs w:val="18"/>
                    </w:rPr>
                  </w:pPr>
                  <w:r>
                    <w:rPr>
                      <w:rFonts w:hint="eastAsia"/>
                      <w:szCs w:val="18"/>
                    </w:rPr>
                    <w:t>市政管网</w:t>
                  </w:r>
                </w:p>
              </w:txbxContent>
            </v:textbox>
            <w10:anchorlock/>
          </v:shape>
        </w:pict>
      </w:r>
      <w:r>
        <w:rPr>
          <w:bCs/>
          <w:kern w:val="0"/>
          <w:sz w:val="24"/>
        </w:rPr>
        <w:pict>
          <v:line id="1092" o:spid="_x0000_s2113" o:spt="20" style="position:absolute;left:0pt;margin-left:279pt;margin-top:6.6pt;height:39pt;width:0.05pt;z-index:251698176;mso-width-relative:page;mso-height-relative:page;" coordsize="21600,21600">
            <v:path arrowok="t"/>
            <v:fill focussize="0,0"/>
            <v:stroke dashstyle="1 1" endarrow="block"/>
            <v:imagedata o:title=""/>
            <o:lock v:ext="edit"/>
          </v:line>
        </w:pict>
      </w:r>
      <w:r>
        <w:rPr>
          <w:bCs/>
          <w:kern w:val="0"/>
          <w:sz w:val="24"/>
        </w:rPr>
        <w:pict>
          <v:shape id="1093" o:spid="_x0000_s2114" o:spt="202" type="#_x0000_t202" style="position:absolute;left:0pt;margin-left:117.2pt;margin-top:5.4pt;height:24.3pt;width:35.9pt;z-index:251670528;mso-width-relative:page;mso-height-relative:page;" coordsize="21600,21600">
            <v:path/>
            <v:fill focussize="0,0"/>
            <v:stroke dashstyle="1 1"/>
            <v:imagedata o:title=""/>
            <o:lock v:ext="edit"/>
            <v:textbox inset="0mm,0mm,0mm,0mm" style="layout-flow:vertical-ideographic;">
              <w:txbxContent>
                <w:p>
                  <w:pPr>
                    <w:jc w:val="center"/>
                    <w:rPr>
                      <w:szCs w:val="18"/>
                    </w:rPr>
                  </w:pPr>
                </w:p>
                <w:p>
                  <w:pPr>
                    <w:jc w:val="center"/>
                    <w:rPr>
                      <w:szCs w:val="18"/>
                    </w:rPr>
                  </w:pPr>
                  <w:r>
                    <w:rPr>
                      <w:rFonts w:hint="eastAsia"/>
                      <w:szCs w:val="18"/>
                    </w:rPr>
                    <w:t>污泥</w:t>
                  </w:r>
                </w:p>
              </w:txbxContent>
            </v:textbox>
          </v:shape>
        </w:pict>
      </w:r>
      <w:r>
        <w:rPr>
          <w:b/>
          <w:bCs/>
          <w:kern w:val="0"/>
          <w:sz w:val="24"/>
        </w:rPr>
        <w:pict>
          <v:line id="1094" o:spid="_x0000_s2115" o:spt="20" style="position:absolute;left:0pt;flip:y;margin-left:99.1pt;margin-top:20.2pt;height:0.4pt;width:17.9pt;z-index:251699200;mso-width-relative:page;mso-height-relative:page;" coordsize="21600,21600">
            <v:path arrowok="t"/>
            <v:fill focussize="0,0"/>
            <v:stroke dashstyle="1 1" endarrow="block"/>
            <v:imagedata o:title=""/>
            <o:lock v:ext="edit"/>
          </v:line>
        </w:pict>
      </w:r>
    </w:p>
    <w:p>
      <w:pPr>
        <w:spacing w:line="440" w:lineRule="exact"/>
        <w:ind w:firstLine="480" w:firstLineChars="200"/>
        <w:rPr>
          <w:bCs/>
          <w:kern w:val="0"/>
          <w:sz w:val="24"/>
        </w:rPr>
      </w:pPr>
      <w:r>
        <w:rPr>
          <w:b/>
          <w:bCs/>
          <w:kern w:val="0"/>
          <w:sz w:val="24"/>
        </w:rPr>
        <w:pict>
          <v:group id="1095" o:spid="_x0000_s2116" o:spt="203" style="position:absolute;left:0pt;margin-left:428.45pt;margin-top:20.65pt;height:16.6pt;width:54pt;z-index:251711488;mso-width-relative:page;mso-height-relative:page;" coordsize="1086,312">
            <o:lock v:ext="edit"/>
            <v:shape id="1096" o:spid="_x0000_s2117" o:spt="202" type="#_x0000_t202" style="position:absolute;left:0;top:0;height:312;width:1086;" coordsize="21600,21600">
              <v:path/>
              <v:fill focussize="0,0"/>
              <v:stroke joinstyle="miter"/>
              <v:imagedata o:title=""/>
              <o:lock v:ext="edit"/>
              <v:textbox inset="0mm,0mm,0mm,0mm">
                <w:txbxContent>
                  <w:p>
                    <w:pPr>
                      <w:jc w:val="center"/>
                    </w:pPr>
                    <w:r>
                      <w:rPr>
                        <w:rFonts w:hint="eastAsia"/>
                      </w:rPr>
                      <w:t>高空排放</w:t>
                    </w:r>
                  </w:p>
                </w:txbxContent>
              </v:textbox>
            </v:shape>
            <v:line id="1097" o:spid="_x0000_s2118" o:spt="20" style="position:absolute;left:0;top:0;height:0;width:244;" coordsize="21600,21600">
              <v:path arrowok="t"/>
              <v:fill focussize="0,0"/>
              <v:stroke/>
              <v:imagedata o:title=""/>
              <o:lock v:ext="edit"/>
            </v:line>
          </v:group>
        </w:pict>
      </w:r>
      <w:r>
        <w:rPr>
          <w:bCs/>
          <w:kern w:val="0"/>
          <w:sz w:val="24"/>
        </w:rPr>
        <w:pict>
          <v:line id="1098" o:spid="_x0000_s2119" o:spt="20" style="position:absolute;left:0pt;flip:y;margin-left:153.1pt;margin-top:0.6pt;height:0pt;width:39.6pt;z-index:251694080;mso-width-relative:page;mso-height-relative:page;" coordsize="21600,21600">
            <v:path arrowok="t"/>
            <v:fill focussize="0,0"/>
            <v:stroke dashstyle="1 1" endarrow="block"/>
            <v:imagedata o:title=""/>
            <o:lock v:ext="edit"/>
          </v:line>
        </w:pict>
      </w:r>
      <w:r>
        <w:rPr>
          <w:bCs/>
          <w:kern w:val="0"/>
          <w:sz w:val="24"/>
        </w:rPr>
        <w:pict>
          <v:line id="1099" o:spid="_x0000_s2120" o:spt="20" style="position:absolute;left:0pt;margin-left:217.8pt;margin-top:8.9pt;height:16.2pt;width:0.05pt;z-index:251691008;mso-width-relative:page;mso-height-relative:page;" coordsize="21600,21600">
            <v:path arrowok="t"/>
            <v:fill focussize="0,0"/>
            <v:stroke dashstyle="1 1" endarrow="block"/>
            <v:imagedata o:title=""/>
            <o:lock v:ext="edit"/>
          </v:line>
        </w:pict>
      </w:r>
      <w:r>
        <w:rPr>
          <w:bCs/>
          <w:kern w:val="0"/>
          <w:sz w:val="24"/>
        </w:rPr>
        <w:pict>
          <v:line id="1100" o:spid="_x0000_s2121" o:spt="20" style="position:absolute;left:0pt;margin-left:46.6pt;margin-top:4.8pt;height:16.2pt;width:0.05pt;z-index:251686912;mso-width-relative:page;mso-height-relative:page;" coordsize="21600,21600">
            <v:path arrowok="t"/>
            <v:fill focussize="0,0"/>
            <v:stroke dashstyle="1 1" endarrow="block"/>
            <v:imagedata o:title=""/>
            <o:lock v:ext="edit"/>
          </v:line>
        </w:pict>
      </w:r>
    </w:p>
    <w:p>
      <w:pPr>
        <w:spacing w:line="440" w:lineRule="exact"/>
        <w:ind w:firstLine="480" w:firstLineChars="200"/>
        <w:rPr>
          <w:bCs/>
          <w:kern w:val="0"/>
          <w:sz w:val="24"/>
        </w:rPr>
      </w:pPr>
      <w:r>
        <w:rPr>
          <w:bCs/>
          <w:kern w:val="0"/>
          <w:sz w:val="24"/>
        </w:rPr>
        <w:pict>
          <v:group id="1101" o:spid="_x0000_s2122" o:spt="203" style="position:absolute;left:0pt;margin-left:187.3pt;margin-top:3.1pt;height:16.2pt;width:58.3pt;z-index:251689984;mso-width-relative:page;mso-height-relative:page;" coordsize="1086,312">
            <o:lock v:ext="edit"/>
            <v:shape id="1102" o:spid="_x0000_s2123" o:spt="202" type="#_x0000_t202" style="position:absolute;left:0;top:0;height:312;width:1086;" coordsize="21600,21600">
              <v:path/>
              <v:fill focussize="0,0"/>
              <v:stroke joinstyle="miter"/>
              <v:imagedata o:title=""/>
              <o:lock v:ext="edit"/>
              <v:textbox inset="0mm,0mm,0mm,0mm">
                <w:txbxContent>
                  <w:p>
                    <w:pPr>
                      <w:jc w:val="center"/>
                    </w:pPr>
                    <w:r>
                      <w:rPr>
                        <w:rFonts w:hint="eastAsia"/>
                      </w:rPr>
                      <w:t>垃圾处理厂</w:t>
                    </w:r>
                  </w:p>
                </w:txbxContent>
              </v:textbox>
            </v:shape>
            <v:line id="1103" o:spid="_x0000_s2124" o:spt="20" style="position:absolute;left:0;top:0;height:0;width:244;" coordsize="21600,21600">
              <v:path arrowok="t"/>
              <v:fill focussize="0,0"/>
              <v:stroke/>
              <v:imagedata o:title=""/>
              <o:lock v:ext="edit"/>
            </v:line>
          </v:group>
        </w:pict>
      </w:r>
      <w:r>
        <w:rPr>
          <w:b/>
          <w:bCs/>
          <w:kern w:val="0"/>
          <w:sz w:val="24"/>
        </w:rPr>
        <w:pict>
          <v:group id="1104" o:spid="_x0000_s2125" o:spt="203" style="position:absolute;left:0pt;margin-left:315pt;margin-top:1.6pt;height:16.6pt;width:54pt;z-index:251705344;mso-width-relative:page;mso-height-relative:page;" coordsize="1086,312">
            <o:lock v:ext="edit"/>
            <v:shape id="1105" o:spid="_x0000_s2126" o:spt="202" type="#_x0000_t202" style="position:absolute;left:0;top:0;height:312;width:1086;" coordsize="21600,21600">
              <v:path/>
              <v:fill focussize="0,0"/>
              <v:stroke joinstyle="miter"/>
              <v:imagedata o:title=""/>
              <o:lock v:ext="edit"/>
              <v:textbox inset="0mm,0mm,0mm,0mm">
                <w:txbxContent>
                  <w:p>
                    <w:pPr>
                      <w:jc w:val="center"/>
                    </w:pPr>
                    <w:r>
                      <w:rPr>
                        <w:rFonts w:hint="eastAsia"/>
                      </w:rPr>
                      <w:t>高空排放</w:t>
                    </w:r>
                  </w:p>
                </w:txbxContent>
              </v:textbox>
            </v:shape>
            <v:line id="1106" o:spid="_x0000_s2127" o:spt="20" style="position:absolute;left:0;top:0;height:0;width:244;" coordsize="21600,21600">
              <v:path arrowok="t"/>
              <v:fill focussize="0,0"/>
              <v:stroke/>
              <v:imagedata o:title=""/>
              <o:lock v:ext="edit"/>
            </v:line>
          </v:group>
        </w:pict>
      </w:r>
      <w:r>
        <w:rPr>
          <w:bCs/>
          <w:kern w:val="0"/>
          <w:sz w:val="24"/>
        </w:rPr>
        <w:pict>
          <v:group id="1107" o:spid="_x0000_s2128" o:spt="203" style="position:absolute;left:0pt;margin-left:252.1pt;margin-top:2pt;height:16.6pt;width:53.9pt;z-index:251696128;mso-width-relative:page;mso-height-relative:page;" coordsize="1086,312">
            <o:lock v:ext="edit"/>
            <v:shape id="1108" o:spid="_x0000_s2129" o:spt="202" type="#_x0000_t202" style="position:absolute;left:0;top:0;height:312;width:1086;" coordsize="21600,21600">
              <v:path/>
              <v:fill focussize="0,0"/>
              <v:stroke joinstyle="miter"/>
              <v:imagedata o:title=""/>
              <o:lock v:ext="edit"/>
              <v:textbox inset="0mm,0mm,0mm,0mm">
                <w:txbxContent>
                  <w:p>
                    <w:pPr>
                      <w:jc w:val="center"/>
                    </w:pPr>
                    <w:r>
                      <w:rPr>
                        <w:rFonts w:hint="eastAsia"/>
                      </w:rPr>
                      <w:t>局部环境</w:t>
                    </w:r>
                  </w:p>
                </w:txbxContent>
              </v:textbox>
            </v:shape>
            <v:line id="1109" o:spid="_x0000_s2130" o:spt="20" style="position:absolute;left:0;top:0;height:0;width:244;" coordsize="21600,21600">
              <v:path arrowok="t"/>
              <v:fill focussize="0,0"/>
              <v:stroke/>
              <v:imagedata o:title=""/>
              <o:lock v:ext="edit"/>
            </v:line>
          </v:group>
        </w:pict>
      </w:r>
      <w:r>
        <w:rPr>
          <w:bCs/>
          <w:kern w:val="0"/>
          <w:sz w:val="24"/>
        </w:rPr>
        <w:pict>
          <v:group id="1110" o:spid="_x0000_s2131" o:spt="203" style="position:absolute;left:0pt;margin-left:9.1pt;margin-top:-0.6pt;height:16.2pt;width:99pt;z-index:251685888;mso-width-relative:page;mso-height-relative:page;" coordsize="1086,312">
            <o:lock v:ext="edit"/>
            <v:shape id="1111" o:spid="_x0000_s2132" o:spt="202" type="#_x0000_t202" style="position:absolute;left:0;top:0;height:312;width:1086;" coordsize="21600,21600">
              <v:path/>
              <v:fill focussize="0,0"/>
              <v:stroke joinstyle="miter"/>
              <v:imagedata o:title=""/>
              <o:lock v:ext="edit"/>
              <v:textbox inset="0mm,0mm,0mm,0mm">
                <w:txbxContent>
                  <w:p>
                    <w:pPr>
                      <w:jc w:val="center"/>
                    </w:pPr>
                    <w:r>
                      <w:rPr>
                        <w:rFonts w:hint="eastAsia"/>
                      </w:rPr>
                      <w:t>明镜滩污水处理厂</w:t>
                    </w:r>
                  </w:p>
                </w:txbxContent>
              </v:textbox>
            </v:shape>
            <v:line id="1112" o:spid="_x0000_s2133" o:spt="20" style="position:absolute;left:0;top:0;height:0;width:244;" coordsize="21600,21600">
              <v:path arrowok="t"/>
              <v:fill focussize="0,0"/>
              <v:stroke/>
              <v:imagedata o:title=""/>
              <o:lock v:ext="edit"/>
            </v:line>
          </v:group>
        </w:pict>
      </w:r>
    </w:p>
    <w:p>
      <w:pPr>
        <w:spacing w:line="240" w:lineRule="exact"/>
        <w:jc w:val="center"/>
        <w:rPr>
          <w:b/>
          <w:bCs/>
          <w:kern w:val="0"/>
          <w:sz w:val="24"/>
        </w:rPr>
      </w:pPr>
    </w:p>
    <w:p>
      <w:pPr>
        <w:spacing w:line="480" w:lineRule="auto"/>
        <w:jc w:val="center"/>
        <w:rPr>
          <w:bCs/>
          <w:kern w:val="0"/>
          <w:sz w:val="24"/>
          <w:szCs w:val="24"/>
        </w:rPr>
      </w:pPr>
      <w:r>
        <w:rPr>
          <w:rFonts w:hint="eastAsia"/>
          <w:b/>
          <w:bCs/>
          <w:kern w:val="0"/>
          <w:sz w:val="28"/>
          <w:szCs w:val="28"/>
        </w:rPr>
        <w:t xml:space="preserve">  </w:t>
      </w:r>
      <w:r>
        <w:rPr>
          <w:b/>
          <w:bCs/>
          <w:kern w:val="0"/>
          <w:sz w:val="24"/>
          <w:szCs w:val="24"/>
        </w:rPr>
        <w:t>图</w:t>
      </w:r>
      <w:r>
        <w:rPr>
          <w:rFonts w:hint="eastAsia"/>
          <w:b/>
          <w:bCs/>
          <w:kern w:val="0"/>
          <w:sz w:val="24"/>
          <w:szCs w:val="24"/>
        </w:rPr>
        <w:t>3-1  住宅及商业</w:t>
      </w:r>
      <w:r>
        <w:rPr>
          <w:b/>
          <w:bCs/>
          <w:kern w:val="0"/>
          <w:sz w:val="24"/>
          <w:szCs w:val="24"/>
        </w:rPr>
        <w:t>主要污染源及污染物治理、排放情况</w:t>
      </w:r>
    </w:p>
    <w:p>
      <w:pPr>
        <w:pStyle w:val="56"/>
        <w:rPr>
          <w:rFonts w:cs="Times New Roman"/>
          <w:color w:val="auto"/>
          <w:sz w:val="32"/>
        </w:rPr>
      </w:pPr>
      <w:bookmarkStart w:id="70" w:name="_Toc7970"/>
      <w:r>
        <w:rPr>
          <w:rFonts w:hint="eastAsia" w:cs="Times New Roman"/>
          <w:color w:val="auto"/>
          <w:sz w:val="32"/>
        </w:rPr>
        <w:t>3.6项目变动情况</w:t>
      </w:r>
      <w:bookmarkEnd w:id="70"/>
    </w:p>
    <w:p>
      <w:pPr>
        <w:widowControl w:val="0"/>
        <w:spacing w:after="0" w:line="500" w:lineRule="exact"/>
        <w:ind w:firstLine="480" w:firstLineChars="200"/>
        <w:jc w:val="both"/>
        <w:rPr>
          <w:rFonts w:hint="eastAsia" w:ascii="Times New Roman" w:hAnsi="Times New Roman" w:eastAsia="宋体" w:cs="Times New Roman"/>
          <w:color w:val="000000" w:themeColor="text1"/>
          <w:sz w:val="24"/>
          <w:szCs w:val="24"/>
          <w:lang w:eastAsia="zh-CN"/>
        </w:rPr>
      </w:pPr>
      <w:r>
        <w:rPr>
          <w:rFonts w:hint="eastAsia" w:ascii="Times New Roman" w:hAnsi="Times New Roman" w:eastAsia="宋体" w:cs="Times New Roman"/>
          <w:color w:val="000000" w:themeColor="text1"/>
          <w:sz w:val="24"/>
          <w:szCs w:val="24"/>
          <w:lang w:eastAsia="zh-CN"/>
        </w:rPr>
        <w:t>根据关于印发《污染影响类建设项目重大变动清单（试行）》的通知，建设项目的性质、规模、地点、生产工艺和环境保护措施五个因素中的一项或一项以上发生重大变动，且可能导致环境影响显著变化（特别是不利环境影响加重）的，界定为重大变动，属于重大变动的应当重新报批环境影响评价文件，不属于重大变动的纳入竣工环境保护验收管理。</w:t>
      </w:r>
    </w:p>
    <w:p>
      <w:pPr>
        <w:widowControl w:val="0"/>
        <w:spacing w:after="0" w:line="500" w:lineRule="exact"/>
        <w:ind w:firstLine="480" w:firstLineChars="200"/>
        <w:jc w:val="both"/>
        <w:rPr>
          <w:rFonts w:hint="eastAsia" w:ascii="Times New Roman" w:hAnsi="Times New Roman" w:eastAsia="宋体" w:cs="Times New Roman"/>
          <w:color w:val="000000" w:themeColor="text1"/>
          <w:sz w:val="24"/>
          <w:szCs w:val="24"/>
          <w:lang w:eastAsia="zh-CN"/>
        </w:rPr>
      </w:pPr>
      <w:r>
        <w:rPr>
          <w:rFonts w:hint="eastAsia" w:ascii="Times New Roman" w:hAnsi="Times New Roman" w:eastAsia="宋体" w:cs="Times New Roman"/>
          <w:color w:val="000000" w:themeColor="text1"/>
          <w:sz w:val="24"/>
          <w:szCs w:val="24"/>
          <w:lang w:eastAsia="zh-CN"/>
        </w:rPr>
        <w:t>本验收项目的性质、规模、地点、生产工艺和环境保护措施未发生重大变动，因此，本验收项目的变更内容不属于重大变动，可纳入竣工环境保护验收管理。</w:t>
      </w:r>
    </w:p>
    <w:p>
      <w:pPr>
        <w:pStyle w:val="55"/>
        <w:keepNext w:val="0"/>
        <w:keepLines/>
        <w:pageBreakBefore/>
        <w:widowControl w:val="0"/>
        <w:kinsoku/>
        <w:wordWrap/>
        <w:overflowPunct/>
        <w:topLinePunct w:val="0"/>
        <w:autoSpaceDE/>
        <w:autoSpaceDN/>
        <w:bidi w:val="0"/>
        <w:adjustRightInd/>
        <w:snapToGrid/>
        <w:spacing w:beforeLines="50"/>
        <w:textAlignment w:val="auto"/>
        <w:rPr>
          <w:rFonts w:cs="Times New Roman"/>
          <w:sz w:val="36"/>
        </w:rPr>
      </w:pPr>
      <w:bookmarkStart w:id="71" w:name="_Toc12034"/>
      <w:r>
        <w:rPr>
          <w:rFonts w:hint="eastAsia" w:cs="Times New Roman"/>
          <w:sz w:val="36"/>
        </w:rPr>
        <w:t>4</w:t>
      </w:r>
      <w:r>
        <w:rPr>
          <w:rFonts w:cs="Times New Roman"/>
          <w:sz w:val="36"/>
        </w:rPr>
        <w:t xml:space="preserve"> </w:t>
      </w:r>
      <w:bookmarkEnd w:id="63"/>
      <w:bookmarkEnd w:id="64"/>
      <w:bookmarkEnd w:id="65"/>
      <w:bookmarkEnd w:id="66"/>
      <w:bookmarkEnd w:id="67"/>
      <w:bookmarkEnd w:id="68"/>
      <w:bookmarkEnd w:id="69"/>
      <w:r>
        <w:rPr>
          <w:rFonts w:hint="eastAsia" w:cs="Times New Roman"/>
          <w:sz w:val="36"/>
        </w:rPr>
        <w:t>环境保护设施</w:t>
      </w:r>
      <w:bookmarkEnd w:id="71"/>
    </w:p>
    <w:p>
      <w:pPr>
        <w:pStyle w:val="56"/>
        <w:rPr>
          <w:rFonts w:cs="Times New Roman"/>
          <w:color w:val="auto"/>
          <w:sz w:val="32"/>
        </w:rPr>
      </w:pPr>
      <w:bookmarkStart w:id="72" w:name="_Toc29902"/>
      <w:r>
        <w:rPr>
          <w:rFonts w:hint="eastAsia" w:cs="Times New Roman"/>
          <w:color w:val="auto"/>
          <w:sz w:val="32"/>
        </w:rPr>
        <w:t>4.1污染物治理及处置设施</w:t>
      </w:r>
      <w:bookmarkEnd w:id="72"/>
    </w:p>
    <w:p>
      <w:pPr>
        <w:adjustRightInd w:val="0"/>
        <w:snapToGrid w:val="0"/>
        <w:spacing w:line="360" w:lineRule="auto"/>
        <w:rPr>
          <w:b/>
          <w:sz w:val="28"/>
          <w:szCs w:val="28"/>
          <w:lang w:val="en-IE"/>
        </w:rPr>
      </w:pPr>
      <w:r>
        <w:rPr>
          <w:rFonts w:hint="eastAsia"/>
          <w:b/>
          <w:sz w:val="28"/>
          <w:szCs w:val="28"/>
          <w:lang w:val="en-IE"/>
        </w:rPr>
        <w:t>4</w:t>
      </w:r>
      <w:r>
        <w:rPr>
          <w:b/>
          <w:sz w:val="28"/>
          <w:szCs w:val="28"/>
          <w:lang w:val="en-IE"/>
        </w:rPr>
        <w:t>.</w:t>
      </w:r>
      <w:r>
        <w:rPr>
          <w:rFonts w:hint="eastAsia"/>
          <w:b/>
          <w:sz w:val="28"/>
          <w:szCs w:val="28"/>
          <w:lang w:val="en-IE"/>
        </w:rPr>
        <w:t>1</w:t>
      </w:r>
      <w:r>
        <w:rPr>
          <w:b/>
          <w:sz w:val="28"/>
          <w:szCs w:val="28"/>
          <w:lang w:val="en-IE"/>
        </w:rPr>
        <w:t>.1废水</w:t>
      </w:r>
    </w:p>
    <w:p>
      <w:pPr>
        <w:widowControl w:val="0"/>
        <w:spacing w:after="0" w:line="500" w:lineRule="exact"/>
        <w:ind w:firstLine="480" w:firstLineChars="200"/>
        <w:jc w:val="both"/>
        <w:rPr>
          <w:rFonts w:hint="eastAsia" w:ascii="Times New Roman" w:hAnsi="Times New Roman" w:eastAsia="宋体" w:cs="Times New Roman"/>
          <w:color w:val="000000" w:themeColor="text1"/>
          <w:sz w:val="24"/>
          <w:szCs w:val="24"/>
          <w:lang w:eastAsia="zh-CN"/>
        </w:rPr>
      </w:pPr>
      <w:r>
        <w:rPr>
          <w:rFonts w:hint="eastAsia" w:ascii="Times New Roman" w:hAnsi="Times New Roman" w:eastAsia="宋体" w:cs="Times New Roman"/>
          <w:color w:val="000000" w:themeColor="text1"/>
          <w:sz w:val="24"/>
          <w:szCs w:val="24"/>
          <w:lang w:eastAsia="zh-CN"/>
        </w:rPr>
        <w:t>本项目废水主要为生活污水、餐饮废水，主要污染物为pH值、SS、COD、BOD</w:t>
      </w:r>
      <w:r>
        <w:rPr>
          <w:rFonts w:hint="eastAsia" w:ascii="Times New Roman" w:hAnsi="Times New Roman" w:eastAsia="宋体" w:cs="Times New Roman"/>
          <w:color w:val="000000" w:themeColor="text1"/>
          <w:sz w:val="24"/>
          <w:szCs w:val="24"/>
          <w:vertAlign w:val="subscript"/>
          <w:lang w:eastAsia="zh-CN"/>
        </w:rPr>
        <w:t>5</w:t>
      </w:r>
      <w:r>
        <w:rPr>
          <w:rFonts w:hint="eastAsia" w:ascii="Times New Roman" w:hAnsi="Times New Roman" w:eastAsia="宋体" w:cs="Times New Roman"/>
          <w:color w:val="000000" w:themeColor="text1"/>
          <w:sz w:val="24"/>
          <w:szCs w:val="24"/>
          <w:lang w:eastAsia="zh-CN"/>
        </w:rPr>
        <w:t>、氨氮、动植物油等。</w:t>
      </w:r>
    </w:p>
    <w:p>
      <w:pPr>
        <w:widowControl w:val="0"/>
        <w:spacing w:after="0" w:line="500" w:lineRule="exact"/>
        <w:ind w:firstLine="480" w:firstLineChars="200"/>
        <w:jc w:val="both"/>
        <w:rPr>
          <w:rFonts w:hint="eastAsia" w:ascii="Times New Roman" w:hAnsi="Times New Roman" w:eastAsia="宋体" w:cs="Times New Roman"/>
          <w:color w:val="000000" w:themeColor="text1"/>
          <w:sz w:val="24"/>
          <w:szCs w:val="24"/>
          <w:lang w:eastAsia="zh-CN"/>
        </w:rPr>
      </w:pPr>
      <w:r>
        <w:rPr>
          <w:rFonts w:hint="eastAsia" w:ascii="Times New Roman" w:hAnsi="Times New Roman" w:eastAsia="宋体" w:cs="Times New Roman"/>
          <w:color w:val="000000" w:themeColor="text1"/>
          <w:sz w:val="24"/>
          <w:szCs w:val="24"/>
          <w:lang w:eastAsia="zh-CN"/>
        </w:rPr>
        <w:t>采取 “格栅+初沉+水解</w:t>
      </w:r>
      <w:r>
        <w:rPr>
          <w:rFonts w:hint="eastAsia" w:ascii="Times New Roman" w:hAnsi="Times New Roman" w:eastAsia="宋体" w:cs="Times New Roman"/>
          <w:color w:val="000000" w:themeColor="text1"/>
          <w:sz w:val="24"/>
          <w:szCs w:val="24"/>
          <w:lang w:val="en-US" w:eastAsia="zh-CN"/>
        </w:rPr>
        <w:t>+厌氧+氧化</w:t>
      </w:r>
      <w:r>
        <w:rPr>
          <w:rFonts w:hint="eastAsia" w:ascii="Times New Roman" w:hAnsi="Times New Roman" w:eastAsia="宋体" w:cs="Times New Roman"/>
          <w:color w:val="000000" w:themeColor="text1"/>
          <w:sz w:val="24"/>
          <w:szCs w:val="24"/>
          <w:lang w:eastAsia="zh-CN"/>
        </w:rPr>
        <w:t>”的废水处理工艺，同时在各栋楼商业建筑下预留隔油池位置，餐饮废水经隔油池处理后，再进入生化池。生活污水、餐饮废水经</w:t>
      </w:r>
      <w:r>
        <w:rPr>
          <w:rFonts w:hint="eastAsia" w:ascii="Times New Roman" w:hAnsi="Times New Roman" w:eastAsia="宋体" w:cs="Times New Roman"/>
          <w:color w:val="000000" w:themeColor="text1"/>
          <w:sz w:val="24"/>
          <w:szCs w:val="24"/>
          <w:lang w:val="en-US" w:eastAsia="zh-CN"/>
        </w:rPr>
        <w:t>2#、3#、4#</w:t>
      </w:r>
      <w:r>
        <w:rPr>
          <w:rFonts w:hint="eastAsia" w:ascii="Times New Roman" w:hAnsi="Times New Roman" w:eastAsia="宋体" w:cs="Times New Roman"/>
          <w:color w:val="000000" w:themeColor="text1"/>
          <w:sz w:val="24"/>
          <w:szCs w:val="24"/>
          <w:lang w:eastAsia="zh-CN"/>
        </w:rPr>
        <w:t>生化池处理后接入市政污水管网（详见附图），再进入明镜滩污水处理厂进行深度处理。处理流程见图4-1，废水处理设施见图4-2。</w:t>
      </w:r>
    </w:p>
    <w:p>
      <w:pPr>
        <w:spacing w:line="240" w:lineRule="exact"/>
        <w:ind w:firstLine="560" w:firstLineChars="200"/>
        <w:jc w:val="left"/>
        <w:rPr>
          <w:sz w:val="28"/>
          <w:szCs w:val="28"/>
        </w:rPr>
      </w:pPr>
    </w:p>
    <w:p>
      <w:pPr>
        <w:spacing w:line="540" w:lineRule="exact"/>
        <w:ind w:firstLine="560" w:firstLineChars="200"/>
        <w:jc w:val="left"/>
        <w:rPr>
          <w:sz w:val="28"/>
          <w:szCs w:val="28"/>
        </w:rPr>
      </w:pPr>
      <w:r>
        <w:rPr>
          <w:rFonts w:eastAsia="仿宋_GB2312"/>
          <w:sz w:val="28"/>
          <w:szCs w:val="28"/>
        </w:rPr>
        <w:pict>
          <v:rect id="1113" o:spid="_x0000_s2134" o:spt="1" style="position:absolute;left:0pt;margin-left:95.9pt;margin-top:10.55pt;height:27.2pt;width:92.15pt;z-index:251726848;mso-width-relative:page;mso-height-relative:page;" filled="f" stroked="f" coordsize="21600,21600">
            <v:path/>
            <v:fill on="f" focussize="0,0"/>
            <v:stroke on="f"/>
            <v:imagedata o:title=""/>
            <o:lock v:ext="edit"/>
            <v:textbox>
              <w:txbxContent>
                <w:p>
                  <w:pPr>
                    <w:jc w:val="center"/>
                    <w:rPr>
                      <w:rFonts w:ascii="宋体" w:hAnsi="宋体"/>
                    </w:rPr>
                  </w:pPr>
                  <w:r>
                    <w:rPr>
                      <w:rFonts w:hint="eastAsia" w:ascii="宋体" w:hAnsi="宋体"/>
                    </w:rPr>
                    <w:t>餐饮废水</w:t>
                  </w:r>
                </w:p>
              </w:txbxContent>
            </v:textbox>
          </v:rect>
        </w:pict>
      </w:r>
      <w:r>
        <w:rPr>
          <w:rFonts w:eastAsia="仿宋_GB2312"/>
          <w:sz w:val="28"/>
          <w:szCs w:val="28"/>
        </w:rPr>
        <w:pict>
          <v:rect id="1114" o:spid="_x0000_s2135" o:spt="1" style="position:absolute;left:0pt;margin-left:89.6pt;margin-top:4pt;height:87.75pt;width:98.45pt;z-index:251728896;mso-width-relative:page;mso-height-relative:page;" filled="f" coordsize="21600,21600">
            <v:path/>
            <v:fill on="f" focussize="0,0"/>
            <v:stroke dashstyle="dash"/>
            <v:imagedata o:title=""/>
            <o:lock v:ext="edit"/>
          </v:rect>
        </w:pict>
      </w:r>
    </w:p>
    <w:p>
      <w:pPr>
        <w:spacing w:line="540" w:lineRule="exact"/>
        <w:ind w:firstLine="560" w:firstLineChars="200"/>
        <w:jc w:val="left"/>
        <w:rPr>
          <w:sz w:val="28"/>
          <w:szCs w:val="28"/>
        </w:rPr>
      </w:pPr>
      <w:r>
        <w:rPr>
          <w:sz w:val="28"/>
          <w:szCs w:val="28"/>
        </w:rPr>
        <w:pict>
          <v:shape id="1116" o:spid="_x0000_s2136" o:spt="32" type="#_x0000_t32" style="position:absolute;left:0pt;margin-left:142.1pt;margin-top:4.55pt;height:28.5pt;width:0pt;z-index:251731968;mso-width-relative:page;mso-height-relative:page;" filled="f" coordsize="21600,21600">
            <v:path arrowok="t"/>
            <v:fill on="f" focussize="0,0"/>
            <v:stroke endarrow="block"/>
            <v:imagedata o:title=""/>
            <o:lock v:ext="edit"/>
          </v:shape>
        </w:pict>
      </w:r>
    </w:p>
    <w:p>
      <w:pPr>
        <w:spacing w:line="120" w:lineRule="exact"/>
        <w:ind w:firstLine="420"/>
        <w:jc w:val="left"/>
        <w:rPr>
          <w:rFonts w:eastAsia="仿宋_GB2312"/>
          <w:sz w:val="28"/>
          <w:szCs w:val="28"/>
        </w:rPr>
      </w:pPr>
    </w:p>
    <w:p>
      <w:pPr>
        <w:spacing w:line="360" w:lineRule="auto"/>
        <w:ind w:firstLine="420"/>
        <w:jc w:val="left"/>
        <w:rPr>
          <w:rFonts w:eastAsia="仿宋_GB2312"/>
          <w:sz w:val="28"/>
          <w:szCs w:val="28"/>
        </w:rPr>
      </w:pPr>
      <w:r>
        <w:rPr>
          <w:rFonts w:hAnsi="宋体"/>
          <w:b/>
          <w:color w:val="000000"/>
          <w:sz w:val="28"/>
        </w:rPr>
        <w:pict>
          <v:shape id="1117" o:spid="_x0000_s2137" o:spt="32" type="#_x0000_t32" style="position:absolute;left:0pt;margin-left:142.05pt;margin-top:23.45pt;height:42.3pt;width:0.05pt;z-index:251727872;mso-width-relative:page;mso-height-relative:page;" filled="f" coordsize="21600,21600">
            <v:path arrowok="t"/>
            <v:fill on="f" focussize="0,0"/>
            <v:stroke endarrow="block"/>
            <v:imagedata o:title=""/>
            <o:lock v:ext="edit"/>
          </v:shape>
        </w:pict>
      </w:r>
      <w:r>
        <w:rPr>
          <w:rFonts w:eastAsia="仿宋_GB2312"/>
          <w:sz w:val="28"/>
          <w:szCs w:val="28"/>
        </w:rPr>
        <w:pict>
          <v:rect id="1118" o:spid="_x0000_s2138" o:spt="1" style="position:absolute;left:0pt;margin-left:99.75pt;margin-top:0.05pt;height:23.4pt;width:81pt;z-index:251668480;mso-width-relative:page;mso-height-relative:page;" coordsize="21600,21600">
            <v:path/>
            <v:fill focussize="0,0"/>
            <v:stroke/>
            <v:imagedata o:title=""/>
            <o:lock v:ext="edit"/>
            <v:textbox>
              <w:txbxContent>
                <w:p>
                  <w:pPr>
                    <w:jc w:val="center"/>
                    <w:rPr>
                      <w:rFonts w:ascii="宋体" w:hAnsi="宋体"/>
                    </w:rPr>
                  </w:pPr>
                  <w:r>
                    <w:rPr>
                      <w:rFonts w:hint="eastAsia" w:ascii="宋体" w:hAnsi="宋体"/>
                    </w:rPr>
                    <w:t>隔油</w:t>
                  </w:r>
                  <w:r>
                    <w:rPr>
                      <w:rFonts w:hint="eastAsia" w:ascii="宋体" w:hAnsi="宋体"/>
                      <w:lang w:eastAsia="zh-CN"/>
                    </w:rPr>
                    <w:t>沉淀</w:t>
                  </w:r>
                  <w:r>
                    <w:rPr>
                      <w:rFonts w:hint="eastAsia" w:ascii="宋体" w:hAnsi="宋体"/>
                    </w:rPr>
                    <w:t>池</w:t>
                  </w:r>
                </w:p>
              </w:txbxContent>
            </v:textbox>
          </v:rect>
        </w:pict>
      </w:r>
    </w:p>
    <w:p>
      <w:pPr>
        <w:spacing w:line="360" w:lineRule="auto"/>
        <w:ind w:firstLine="560" w:firstLineChars="200"/>
        <w:jc w:val="left"/>
        <w:rPr>
          <w:rFonts w:eastAsia="仿宋_GB2312"/>
          <w:sz w:val="28"/>
          <w:szCs w:val="28"/>
        </w:rPr>
      </w:pPr>
    </w:p>
    <w:p>
      <w:pPr>
        <w:spacing w:line="360" w:lineRule="auto"/>
        <w:ind w:firstLine="560" w:firstLineChars="200"/>
        <w:jc w:val="left"/>
        <w:rPr>
          <w:rFonts w:eastAsia="仿宋_GB2312"/>
          <w:sz w:val="28"/>
          <w:szCs w:val="28"/>
        </w:rPr>
      </w:pPr>
      <w:r>
        <w:rPr>
          <w:rFonts w:eastAsia="仿宋_GB2312"/>
          <w:sz w:val="28"/>
          <w:szCs w:val="28"/>
        </w:rPr>
        <w:pict>
          <v:shape id="1125" o:spid="_x0000_s2139" o:spt="32" type="#_x0000_t32" style="position:absolute;left:0pt;margin-left:432.25pt;margin-top:26.75pt;height:30.9pt;width:0pt;z-index:251666432;mso-width-relative:page;mso-height-relative:page;" filled="f" coordsize="21600,21600">
            <v:path arrowok="t"/>
            <v:fill on="f" focussize="0,0"/>
            <v:stroke endarrow="block"/>
            <v:imagedata o:title=""/>
            <o:lock v:ext="edit"/>
          </v:shape>
        </w:pict>
      </w:r>
      <w:r>
        <w:rPr>
          <w:rFonts w:eastAsia="仿宋_GB2312"/>
          <w:bCs/>
          <w:color w:val="000000"/>
          <w:sz w:val="28"/>
          <w:szCs w:val="28"/>
        </w:rPr>
        <w:pict>
          <v:rect id="1126" o:spid="_x0000_s2140" o:spt="1" style="position:absolute;left:0pt;margin-left:389.1pt;margin-top:3.35pt;height:23.4pt;width:90.25pt;z-index:251669504;mso-width-relative:page;mso-height-relative:page;" fillcolor="#FFFFFF" filled="t" stroked="t" coordsize="21600,21600">
            <v:path/>
            <v:fill on="t" color2="#FFFFFF" focussize="0,0"/>
            <v:stroke color="#000000" joinstyle="miter"/>
            <v:imagedata o:title=""/>
            <o:lock v:ext="edit" aspectratio="f"/>
            <v:textbox>
              <w:txbxContent>
                <w:p>
                  <w:pPr>
                    <w:jc w:val="center"/>
                    <w:rPr>
                      <w:rFonts w:hint="eastAsia" w:ascii="宋体" w:hAnsi="宋体" w:eastAsia="宋体"/>
                      <w:lang w:eastAsia="zh-CN"/>
                    </w:rPr>
                  </w:pPr>
                  <w:r>
                    <w:rPr>
                      <w:rFonts w:hint="eastAsia" w:ascii="宋体" w:hAnsi="宋体"/>
                      <w:lang w:eastAsia="zh-CN"/>
                    </w:rPr>
                    <w:t>多级厌氧接触池</w:t>
                  </w:r>
                </w:p>
                <w:p/>
              </w:txbxContent>
            </v:textbox>
          </v:rect>
        </w:pict>
      </w:r>
      <w:r>
        <w:rPr>
          <w:rFonts w:eastAsia="仿宋_GB2312"/>
          <w:sz w:val="28"/>
          <w:szCs w:val="28"/>
        </w:rPr>
        <w:pict>
          <v:rect id="1119" o:spid="_x0000_s2141" o:spt="1" style="position:absolute;left:0pt;margin-left:-2.55pt;margin-top:2.85pt;height:30.85pt;width:92.15pt;z-index:251660288;mso-width-relative:page;mso-height-relative:page;" fillcolor="#FFFFFF" filled="t" stroked="f" coordsize="21600,21600">
            <v:path/>
            <v:fill on="t" color2="#FFFFFF" focussize="0,0"/>
            <v:stroke on="f"/>
            <v:imagedata o:title=""/>
            <o:lock v:ext="edit" aspectratio="f"/>
            <v:textbox>
              <w:txbxContent>
                <w:p>
                  <w:pPr>
                    <w:jc w:val="center"/>
                    <w:rPr>
                      <w:rFonts w:ascii="宋体" w:hAnsi="宋体"/>
                    </w:rPr>
                  </w:pPr>
                  <w:r>
                    <w:rPr>
                      <w:rFonts w:hint="eastAsia" w:ascii="宋体" w:hAnsi="宋体"/>
                    </w:rPr>
                    <w:t>生活废水</w:t>
                  </w:r>
                </w:p>
              </w:txbxContent>
            </v:textbox>
          </v:rect>
        </w:pict>
      </w:r>
      <w:r>
        <w:rPr>
          <w:rFonts w:eastAsia="仿宋_GB2312"/>
          <w:sz w:val="28"/>
          <w:szCs w:val="28"/>
        </w:rPr>
        <w:pict>
          <v:shape id="1122" o:spid="_x0000_s2142" o:spt="32" type="#_x0000_t32" style="position:absolute;left:0pt;flip:y;margin-left:351.5pt;margin-top:15.6pt;height:0.3pt;width:38.55pt;z-index:251730944;mso-width-relative:page;mso-height-relative:page;" filled="f" stroked="t" coordsize="21600,21600">
            <v:path arrowok="t"/>
            <v:fill on="f" focussize="0,0"/>
            <v:stroke color="#000000" endarrow="block"/>
            <v:imagedata o:title=""/>
            <o:lock v:ext="edit" aspectratio="f"/>
          </v:shape>
        </w:pict>
      </w:r>
      <w:r>
        <w:rPr>
          <w:rFonts w:eastAsia="仿宋_GB2312"/>
          <w:sz w:val="28"/>
          <w:szCs w:val="28"/>
        </w:rPr>
        <w:pict>
          <v:shape id="1121" o:spid="_x0000_s2143" o:spt="32" type="#_x0000_t32" style="position:absolute;left:0pt;margin-left:248.15pt;margin-top:15.5pt;height:0pt;width:34.5pt;z-index:251665408;mso-width-relative:page;mso-height-relative:page;" filled="f" coordsize="21600,21600">
            <v:path arrowok="t"/>
            <v:fill on="f" focussize="0,0"/>
            <v:stroke endarrow="block"/>
            <v:imagedata o:title=""/>
            <o:lock v:ext="edit"/>
          </v:shape>
        </w:pict>
      </w:r>
      <w:r>
        <w:rPr>
          <w:rFonts w:eastAsia="仿宋_GB2312"/>
          <w:sz w:val="28"/>
          <w:szCs w:val="28"/>
        </w:rPr>
        <w:pict>
          <v:rect id="1123" o:spid="_x0000_s2144" o:spt="1" style="position:absolute;left:0pt;margin-left:282.65pt;margin-top:3.35pt;height:23.4pt;width:68.6pt;z-index:251664384;mso-width-relative:page;mso-height-relative:page;" fillcolor="#FFFFFF" filled="t" stroked="t" coordsize="21600,21600">
            <v:path/>
            <v:fill on="t" color2="#FFFFFF" focussize="0,0"/>
            <v:stroke color="#000000" joinstyle="miter"/>
            <v:imagedata o:title=""/>
            <o:lock v:ext="edit" aspectratio="f"/>
            <v:textbox>
              <w:txbxContent>
                <w:p>
                  <w:pPr>
                    <w:rPr>
                      <w:rFonts w:hint="eastAsia" w:eastAsia="宋体"/>
                      <w:lang w:eastAsia="zh-CN"/>
                    </w:rPr>
                  </w:pPr>
                  <w:r>
                    <w:rPr>
                      <w:rFonts w:hint="eastAsia" w:ascii="宋体" w:hAnsi="宋体"/>
                      <w:lang w:eastAsia="zh-CN"/>
                    </w:rPr>
                    <w:t>水解调节池</w:t>
                  </w:r>
                </w:p>
              </w:txbxContent>
            </v:textbox>
          </v:rect>
        </w:pict>
      </w:r>
      <w:r>
        <w:rPr>
          <w:rFonts w:eastAsia="仿宋_GB2312"/>
          <w:sz w:val="28"/>
          <w:szCs w:val="28"/>
        </w:rPr>
        <w:pict>
          <v:rect id="1124" o:spid="_x0000_s2145" o:spt="1" style="position:absolute;left:0pt;margin-left:193.85pt;margin-top:3.35pt;height:23.4pt;width:54pt;z-index:251662336;mso-width-relative:page;mso-height-relative:page;" coordsize="21600,21600">
            <v:path/>
            <v:fill focussize="0,0"/>
            <v:stroke/>
            <v:imagedata o:title=""/>
            <o:lock v:ext="edit"/>
            <v:textbox>
              <w:txbxContent>
                <w:p>
                  <w:pPr>
                    <w:jc w:val="center"/>
                    <w:rPr>
                      <w:rFonts w:ascii="宋体" w:hAnsi="宋体"/>
                    </w:rPr>
                  </w:pPr>
                  <w:r>
                    <w:rPr>
                      <w:rFonts w:hint="eastAsia" w:ascii="宋体" w:hAnsi="宋体"/>
                      <w:lang w:eastAsia="zh-CN"/>
                    </w:rPr>
                    <w:t>初沉</w:t>
                  </w:r>
                  <w:r>
                    <w:rPr>
                      <w:rFonts w:hint="eastAsia" w:ascii="宋体" w:hAnsi="宋体"/>
                    </w:rPr>
                    <w:t>池</w:t>
                  </w:r>
                </w:p>
              </w:txbxContent>
            </v:textbox>
          </v:rect>
        </w:pict>
      </w:r>
      <w:r>
        <w:rPr>
          <w:rFonts w:eastAsia="仿宋_GB2312"/>
          <w:sz w:val="28"/>
          <w:szCs w:val="28"/>
        </w:rPr>
        <w:pict>
          <v:shape id="1127" o:spid="_x0000_s2146" o:spt="32" type="#_x0000_t32" style="position:absolute;left:0pt;margin-left:162.6pt;margin-top:15.45pt;height:0.05pt;width:31.25pt;z-index:251663360;mso-width-relative:page;mso-height-relative:page;" filled="f" coordsize="21600,21600">
            <v:path arrowok="t"/>
            <v:fill on="f" focussize="0,0"/>
            <v:stroke endarrow="block"/>
            <v:imagedata o:title=""/>
            <o:lock v:ext="edit"/>
          </v:shape>
        </w:pict>
      </w:r>
      <w:r>
        <w:rPr>
          <w:rFonts w:eastAsia="仿宋_GB2312"/>
          <w:sz w:val="28"/>
          <w:szCs w:val="28"/>
        </w:rPr>
        <w:pict>
          <v:rect id="1128" o:spid="_x0000_s2147" o:spt="1" style="position:absolute;left:0pt;margin-left:106.1pt;margin-top:4.6pt;height:23.4pt;width:56.5pt;z-index:251729920;mso-width-relative:page;mso-height-relative:page;" coordsize="21600,21600">
            <v:path/>
            <v:fill focussize="0,0"/>
            <v:stroke/>
            <v:imagedata o:title=""/>
            <o:lock v:ext="edit"/>
            <v:textbox>
              <w:txbxContent>
                <w:p>
                  <w:pPr>
                    <w:jc w:val="center"/>
                    <w:rPr>
                      <w:rFonts w:ascii="宋体" w:hAnsi="宋体"/>
                    </w:rPr>
                  </w:pPr>
                  <w:r>
                    <w:rPr>
                      <w:rFonts w:hint="eastAsia" w:ascii="宋体" w:hAnsi="宋体"/>
                    </w:rPr>
                    <w:t>格栅池</w:t>
                  </w:r>
                </w:p>
                <w:p/>
              </w:txbxContent>
            </v:textbox>
          </v:rect>
        </w:pict>
      </w:r>
      <w:r>
        <w:rPr>
          <w:rFonts w:eastAsia="仿宋_GB2312"/>
          <w:sz w:val="28"/>
          <w:szCs w:val="28"/>
        </w:rPr>
        <w:pict>
          <v:shape id="1129" o:spid="_x0000_s2148" o:spt="32" type="#_x0000_t32" style="position:absolute;left:0pt;margin-left:76.1pt;margin-top:15.4pt;height:0.05pt;width:30pt;z-index:251661312;mso-width-relative:page;mso-height-relative:page;" filled="f" coordsize="21600,21600">
            <v:path arrowok="t"/>
            <v:fill on="f" focussize="0,0"/>
            <v:stroke endarrow="block"/>
            <v:imagedata o:title=""/>
            <o:lock v:ext="edit"/>
          </v:shape>
        </w:pict>
      </w:r>
    </w:p>
    <w:p>
      <w:pPr>
        <w:spacing w:line="360" w:lineRule="auto"/>
        <w:ind w:firstLine="560" w:firstLineChars="200"/>
        <w:jc w:val="left"/>
        <w:rPr>
          <w:rFonts w:eastAsia="仿宋_GB2312"/>
          <w:sz w:val="28"/>
          <w:szCs w:val="28"/>
        </w:rPr>
      </w:pPr>
      <w:r>
        <w:rPr>
          <w:rFonts w:eastAsia="仿宋_GB2312"/>
          <w:sz w:val="28"/>
          <w:szCs w:val="28"/>
        </w:rPr>
        <w:pict>
          <v:rect id="_x0000_s2149" o:spid="_x0000_s2149" o:spt="1" style="position:absolute;left:0pt;margin-left:304.5pt;margin-top:27.35pt;height:23.9pt;width:51.15pt;z-index:251709440;mso-width-relative:page;mso-height-relative:page;" fillcolor="#FFFFFF" filled="t" stroked="t" coordsize="21600,21600">
            <v:path/>
            <v:fill on="t" color2="#FFFFFF" focussize="0,0"/>
            <v:stroke color="#000000" joinstyle="miter"/>
            <v:imagedata o:title=""/>
            <o:lock v:ext="edit" aspectratio="f"/>
            <v:textbox>
              <w:txbxContent>
                <w:p>
                  <w:pPr>
                    <w:jc w:val="center"/>
                    <w:rPr>
                      <w:rFonts w:hint="eastAsia" w:eastAsia="宋体"/>
                      <w:lang w:eastAsia="zh-CN"/>
                    </w:rPr>
                  </w:pPr>
                  <w:r>
                    <w:rPr>
                      <w:rFonts w:hint="eastAsia"/>
                      <w:lang w:eastAsia="zh-CN"/>
                    </w:rPr>
                    <w:t>出水</w:t>
                  </w:r>
                </w:p>
              </w:txbxContent>
            </v:textbox>
          </v:rect>
        </w:pict>
      </w:r>
      <w:r>
        <w:rPr>
          <w:rFonts w:eastAsia="仿宋_GB2312"/>
          <w:sz w:val="28"/>
          <w:szCs w:val="28"/>
        </w:rPr>
        <w:pict>
          <v:rect id="_x0000_s2150" o:spid="_x0000_s2150" o:spt="1" style="position:absolute;left:0pt;margin-left:397.05pt;margin-top:26.55pt;height:23.4pt;width:68.6pt;z-index:251709440;mso-width-relative:page;mso-height-relative:page;" fillcolor="#FFFFFF" filled="t" stroked="t" coordsize="21600,21600">
            <v:path/>
            <v:fill on="t" color2="#FFFFFF" focussize="0,0"/>
            <v:stroke color="#000000" joinstyle="miter"/>
            <v:imagedata o:title=""/>
            <o:lock v:ext="edit" aspectratio="f"/>
            <v:textbox>
              <w:txbxContent>
                <w:p>
                  <w:pPr>
                    <w:rPr>
                      <w:rFonts w:hint="eastAsia" w:eastAsia="宋体"/>
                      <w:lang w:eastAsia="zh-CN"/>
                    </w:rPr>
                  </w:pPr>
                  <w:r>
                    <w:rPr>
                      <w:rFonts w:hint="eastAsia" w:ascii="宋体" w:hAnsi="宋体"/>
                      <w:lang w:eastAsia="zh-CN"/>
                    </w:rPr>
                    <w:t>接触氧化池</w:t>
                  </w:r>
                </w:p>
              </w:txbxContent>
            </v:textbox>
          </v:rect>
        </w:pict>
      </w:r>
    </w:p>
    <w:p>
      <w:pPr>
        <w:spacing w:line="240" w:lineRule="exact"/>
        <w:jc w:val="center"/>
        <w:rPr>
          <w:rFonts w:eastAsia="仿宋_GB2312"/>
          <w:sz w:val="28"/>
          <w:szCs w:val="28"/>
        </w:rPr>
      </w:pPr>
      <w:r>
        <w:rPr>
          <w:rFonts w:eastAsia="仿宋_GB2312"/>
          <w:sz w:val="28"/>
          <w:szCs w:val="28"/>
        </w:rPr>
        <w:pict>
          <v:shape id="1131" o:spid="_x0000_s2151" o:spt="202" type="#_x0000_t202" style="position:absolute;left:0pt;margin-left:177.75pt;margin-top:1.4pt;height:22.8pt;width:96pt;z-index:251659264;mso-width-relative:page;mso-height-relative:page;" fillcolor="#FFFFFF" filled="t" stroked="t" coordsize="21600,21600">
            <v:path/>
            <v:fill on="t" color2="#FFFFFF" focussize="0,0"/>
            <v:stroke color="#FFFFFF" joinstyle="miter"/>
            <v:imagedata o:title=""/>
            <o:lock v:ext="edit" aspectratio="f"/>
            <v:textbox inset="0mm,0mm,0mm,0mm">
              <w:txbxContent>
                <w:p>
                  <w:pPr>
                    <w:spacing w:line="300" w:lineRule="exact"/>
                    <w:rPr>
                      <w:rFonts w:ascii="宋体" w:hAnsi="宋体"/>
                      <w:szCs w:val="21"/>
                    </w:rPr>
                  </w:pPr>
                  <w:r>
                    <w:rPr>
                      <w:rFonts w:hint="eastAsia" w:ascii="宋体" w:hAnsi="宋体"/>
                      <w:szCs w:val="21"/>
                    </w:rPr>
                    <w:t>排入市政污水管网</w:t>
                  </w:r>
                </w:p>
              </w:txbxContent>
            </v:textbox>
          </v:shape>
        </w:pict>
      </w:r>
      <w:r>
        <w:rPr>
          <w:rFonts w:eastAsia="仿宋_GB2312"/>
          <w:sz w:val="28"/>
          <w:szCs w:val="28"/>
        </w:rPr>
        <w:pict>
          <v:shape id="_x0000_s2152" o:spid="_x0000_s2152" o:spt="32" type="#_x0000_t32" style="position:absolute;left:0pt;flip:x;margin-left:265.05pt;margin-top:8.05pt;height:0.3pt;width:37.85pt;z-index:251712512;mso-width-relative:page;mso-height-relative:page;" filled="f" stroked="t" coordsize="21600,21600">
            <v:path arrowok="t"/>
            <v:fill on="f" focussize="0,0"/>
            <v:stroke color="#000000" endarrow="block"/>
            <v:imagedata o:title=""/>
            <o:lock v:ext="edit" aspectratio="f"/>
          </v:shape>
        </w:pict>
      </w:r>
      <w:r>
        <w:rPr>
          <w:rFonts w:eastAsia="仿宋_GB2312"/>
          <w:sz w:val="28"/>
          <w:szCs w:val="28"/>
        </w:rPr>
        <w:pict>
          <v:shape id="1120" o:spid="_x0000_s2153" o:spt="32" type="#_x0000_t32" style="position:absolute;left:0pt;flip:x;margin-left:357.85pt;margin-top:7.25pt;height:0.3pt;width:37.85pt;z-index:251667456;mso-width-relative:page;mso-height-relative:page;" filled="f" stroked="t" coordsize="21600,21600">
            <v:path arrowok="t"/>
            <v:fill on="f" focussize="0,0"/>
            <v:stroke color="#000000" endarrow="block"/>
            <v:imagedata o:title=""/>
            <o:lock v:ext="edit" aspectratio="f"/>
          </v:shape>
        </w:pict>
      </w:r>
    </w:p>
    <w:p>
      <w:pPr>
        <w:jc w:val="both"/>
        <w:rPr>
          <w:rFonts w:hAnsi="宋体"/>
          <w:b/>
          <w:color w:val="000000"/>
          <w:sz w:val="24"/>
          <w:szCs w:val="24"/>
        </w:rPr>
      </w:pPr>
    </w:p>
    <w:p>
      <w:pPr>
        <w:jc w:val="center"/>
        <w:rPr>
          <w:rFonts w:hint="eastAsia" w:hAnsi="宋体"/>
          <w:b/>
          <w:color w:val="000000"/>
          <w:sz w:val="24"/>
          <w:szCs w:val="24"/>
        </w:rPr>
      </w:pPr>
      <w:r>
        <w:rPr>
          <w:rFonts w:hAnsi="宋体"/>
          <w:b/>
          <w:color w:val="000000"/>
          <w:sz w:val="24"/>
          <w:szCs w:val="24"/>
        </w:rPr>
        <w:t>图</w:t>
      </w:r>
      <w:r>
        <w:rPr>
          <w:rFonts w:hint="eastAsia" w:hAnsi="宋体"/>
          <w:b/>
          <w:color w:val="000000"/>
          <w:sz w:val="24"/>
          <w:szCs w:val="24"/>
        </w:rPr>
        <w:t>4</w:t>
      </w:r>
      <w:r>
        <w:rPr>
          <w:rFonts w:hAnsi="宋体"/>
          <w:b/>
          <w:color w:val="000000"/>
          <w:sz w:val="24"/>
          <w:szCs w:val="24"/>
        </w:rPr>
        <w:t>-</w:t>
      </w:r>
      <w:r>
        <w:rPr>
          <w:rFonts w:hint="eastAsia" w:hAnsi="宋体"/>
          <w:b/>
          <w:color w:val="000000"/>
          <w:sz w:val="24"/>
          <w:szCs w:val="24"/>
        </w:rPr>
        <w:t>1</w:t>
      </w:r>
      <w:r>
        <w:rPr>
          <w:rFonts w:hAnsi="宋体"/>
          <w:b/>
          <w:color w:val="000000"/>
          <w:sz w:val="24"/>
          <w:szCs w:val="24"/>
        </w:rPr>
        <w:t xml:space="preserve">    废水治理工艺流程</w:t>
      </w:r>
      <w:r>
        <w:rPr>
          <w:rFonts w:hint="eastAsia" w:hAnsi="宋体"/>
          <w:b/>
          <w:color w:val="000000"/>
          <w:sz w:val="24"/>
          <w:szCs w:val="24"/>
        </w:rPr>
        <w:t>图</w:t>
      </w:r>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813"/>
        <w:gridCol w:w="44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5" w:hRule="atLeast"/>
        </w:trPr>
        <w:tc>
          <w:tcPr>
            <w:tcW w:w="4813" w:type="dxa"/>
          </w:tcPr>
          <w:p>
            <w:pPr>
              <w:pStyle w:val="2"/>
              <w:ind w:left="0" w:leftChars="0" w:firstLine="0" w:firstLineChars="0"/>
              <w:jc w:val="both"/>
              <w:rPr>
                <w:rFonts w:hint="eastAsia" w:eastAsia="宋体"/>
                <w:vertAlign w:val="baseline"/>
                <w:lang w:eastAsia="zh-CN"/>
              </w:rPr>
            </w:pPr>
            <w:r>
              <w:rPr>
                <w:rFonts w:hint="eastAsia" w:eastAsia="宋体"/>
                <w:vertAlign w:val="baseline"/>
                <w:lang w:eastAsia="zh-CN"/>
              </w:rPr>
              <w:drawing>
                <wp:inline distT="0" distB="0" distL="114300" distR="114300">
                  <wp:extent cx="2803525" cy="1833245"/>
                  <wp:effectExtent l="0" t="0" r="15875" b="14605"/>
                  <wp:docPr id="15" name="图片 15" descr="IMG_3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3379"/>
                          <pic:cNvPicPr>
                            <a:picLocks noChangeAspect="1"/>
                          </pic:cNvPicPr>
                        </pic:nvPicPr>
                        <pic:blipFill>
                          <a:blip r:embed="rId11"/>
                          <a:srcRect t="23441" b="27518"/>
                          <a:stretch>
                            <a:fillRect/>
                          </a:stretch>
                        </pic:blipFill>
                        <pic:spPr>
                          <a:xfrm>
                            <a:off x="0" y="0"/>
                            <a:ext cx="2803525" cy="1833245"/>
                          </a:xfrm>
                          <a:prstGeom prst="rect">
                            <a:avLst/>
                          </a:prstGeom>
                        </pic:spPr>
                      </pic:pic>
                    </a:graphicData>
                  </a:graphic>
                </wp:inline>
              </w:drawing>
            </w:r>
          </w:p>
        </w:tc>
        <w:tc>
          <w:tcPr>
            <w:tcW w:w="4473" w:type="dxa"/>
          </w:tcPr>
          <w:p>
            <w:pPr>
              <w:pStyle w:val="2"/>
              <w:ind w:left="0" w:leftChars="0" w:firstLine="0" w:firstLineChars="0"/>
              <w:rPr>
                <w:rFonts w:hint="eastAsia" w:eastAsia="宋体"/>
                <w:vertAlign w:val="baseline"/>
                <w:lang w:eastAsia="zh-CN"/>
              </w:rPr>
            </w:pPr>
            <w:r>
              <w:rPr>
                <w:rFonts w:hint="eastAsia" w:eastAsia="宋体"/>
                <w:vertAlign w:val="baseline"/>
                <w:lang w:eastAsia="zh-CN"/>
              </w:rPr>
              <w:drawing>
                <wp:inline distT="0" distB="0" distL="114300" distR="114300">
                  <wp:extent cx="2702560" cy="1920240"/>
                  <wp:effectExtent l="0" t="0" r="2540" b="3810"/>
                  <wp:docPr id="16" name="图片 16" descr="IMG_3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IMG_3394"/>
                          <pic:cNvPicPr>
                            <a:picLocks noChangeAspect="1"/>
                          </pic:cNvPicPr>
                        </pic:nvPicPr>
                        <pic:blipFill>
                          <a:blip r:embed="rId12"/>
                          <a:stretch>
                            <a:fillRect/>
                          </a:stretch>
                        </pic:blipFill>
                        <pic:spPr>
                          <a:xfrm>
                            <a:off x="0" y="0"/>
                            <a:ext cx="2702560" cy="192024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trPr>
        <w:tc>
          <w:tcPr>
            <w:tcW w:w="4813" w:type="dxa"/>
          </w:tcPr>
          <w:p>
            <w:pPr>
              <w:pStyle w:val="2"/>
              <w:jc w:val="center"/>
              <w:rPr>
                <w:rFonts w:hint="eastAsia" w:eastAsia="宋体"/>
                <w:vertAlign w:val="baseline"/>
                <w:lang w:eastAsia="zh-CN"/>
              </w:rPr>
            </w:pPr>
            <w:r>
              <w:rPr>
                <w:rFonts w:hint="eastAsia"/>
                <w:vertAlign w:val="baseline"/>
                <w:lang w:eastAsia="zh-CN"/>
              </w:rPr>
              <w:t>生化池</w:t>
            </w:r>
          </w:p>
        </w:tc>
        <w:tc>
          <w:tcPr>
            <w:tcW w:w="4473" w:type="dxa"/>
          </w:tcPr>
          <w:p>
            <w:pPr>
              <w:pStyle w:val="2"/>
              <w:jc w:val="center"/>
              <w:rPr>
                <w:rFonts w:hint="eastAsia" w:eastAsia="宋体"/>
                <w:vertAlign w:val="baseline"/>
                <w:lang w:eastAsia="zh-CN"/>
              </w:rPr>
            </w:pPr>
            <w:r>
              <w:rPr>
                <w:rFonts w:hint="eastAsia"/>
                <w:vertAlign w:val="baseline"/>
                <w:lang w:eastAsia="zh-CN"/>
              </w:rPr>
              <w:t>生化池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2" w:hRule="atLeast"/>
        </w:trPr>
        <w:tc>
          <w:tcPr>
            <w:tcW w:w="9286" w:type="dxa"/>
            <w:gridSpan w:val="2"/>
          </w:tcPr>
          <w:p>
            <w:pPr>
              <w:pStyle w:val="2"/>
              <w:ind w:left="0" w:leftChars="0" w:firstLine="0" w:firstLineChars="0"/>
              <w:jc w:val="center"/>
              <w:rPr>
                <w:rFonts w:hint="eastAsia"/>
                <w:vertAlign w:val="baseline"/>
                <w:lang w:eastAsia="zh-CN"/>
              </w:rPr>
            </w:pPr>
            <w:r>
              <w:rPr>
                <w:rFonts w:hint="eastAsia"/>
                <w:vertAlign w:val="baseline"/>
                <w:lang w:eastAsia="zh-CN"/>
              </w:rPr>
              <w:drawing>
                <wp:inline distT="0" distB="0" distL="114300" distR="114300">
                  <wp:extent cx="2300605" cy="3068320"/>
                  <wp:effectExtent l="0" t="0" r="17780" b="4445"/>
                  <wp:docPr id="3" name="图片 3" descr="IMG_3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3400"/>
                          <pic:cNvPicPr>
                            <a:picLocks noChangeAspect="1"/>
                          </pic:cNvPicPr>
                        </pic:nvPicPr>
                        <pic:blipFill>
                          <a:blip r:embed="rId13"/>
                          <a:stretch>
                            <a:fillRect/>
                          </a:stretch>
                        </pic:blipFill>
                        <pic:spPr>
                          <a:xfrm rot="16200000">
                            <a:off x="0" y="0"/>
                            <a:ext cx="2300605" cy="306832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trPr>
        <w:tc>
          <w:tcPr>
            <w:tcW w:w="9286" w:type="dxa"/>
            <w:gridSpan w:val="2"/>
          </w:tcPr>
          <w:p>
            <w:pPr>
              <w:pStyle w:val="2"/>
              <w:jc w:val="center"/>
              <w:rPr>
                <w:rFonts w:hint="eastAsia"/>
                <w:vertAlign w:val="baseline"/>
                <w:lang w:eastAsia="zh-CN"/>
              </w:rPr>
            </w:pPr>
            <w:r>
              <w:rPr>
                <w:rFonts w:hint="eastAsia"/>
                <w:vertAlign w:val="baseline"/>
                <w:lang w:eastAsia="zh-CN"/>
              </w:rPr>
              <w:t>生化池</w:t>
            </w:r>
          </w:p>
        </w:tc>
      </w:tr>
    </w:tbl>
    <w:p>
      <w:pPr>
        <w:spacing w:beforeLines="50" w:line="480" w:lineRule="auto"/>
        <w:jc w:val="center"/>
      </w:pPr>
      <w:r>
        <w:rPr>
          <w:rFonts w:hAnsi="宋体"/>
          <w:b/>
          <w:color w:val="000000"/>
          <w:sz w:val="24"/>
          <w:szCs w:val="24"/>
        </w:rPr>
        <w:t>图</w:t>
      </w:r>
      <w:r>
        <w:rPr>
          <w:rFonts w:hint="eastAsia" w:hAnsi="宋体"/>
          <w:b/>
          <w:color w:val="000000"/>
          <w:sz w:val="24"/>
          <w:szCs w:val="24"/>
        </w:rPr>
        <w:t>4</w:t>
      </w:r>
      <w:r>
        <w:rPr>
          <w:rFonts w:hAnsi="宋体"/>
          <w:b/>
          <w:color w:val="000000"/>
          <w:sz w:val="24"/>
          <w:szCs w:val="24"/>
        </w:rPr>
        <w:t>-</w:t>
      </w:r>
      <w:r>
        <w:rPr>
          <w:rFonts w:hint="eastAsia" w:hAnsi="宋体"/>
          <w:b/>
          <w:color w:val="000000"/>
          <w:sz w:val="24"/>
          <w:szCs w:val="24"/>
          <w:lang w:val="en-US" w:eastAsia="zh-CN"/>
        </w:rPr>
        <w:t>2</w:t>
      </w:r>
      <w:r>
        <w:rPr>
          <w:rFonts w:hAnsi="宋体"/>
          <w:b/>
          <w:color w:val="000000"/>
          <w:sz w:val="24"/>
          <w:szCs w:val="24"/>
        </w:rPr>
        <w:t xml:space="preserve">   </w:t>
      </w:r>
      <w:r>
        <w:rPr>
          <w:rFonts w:hint="eastAsia" w:hAnsi="宋体"/>
          <w:b/>
          <w:color w:val="000000"/>
          <w:sz w:val="24"/>
          <w:szCs w:val="24"/>
        </w:rPr>
        <w:t>废</w:t>
      </w:r>
      <w:r>
        <w:rPr>
          <w:rFonts w:hint="eastAsia" w:hAnsi="宋体"/>
          <w:b/>
          <w:color w:val="000000"/>
          <w:sz w:val="24"/>
          <w:szCs w:val="24"/>
          <w:lang w:eastAsia="zh-CN"/>
        </w:rPr>
        <w:t>水</w:t>
      </w:r>
      <w:r>
        <w:rPr>
          <w:rFonts w:hint="eastAsia" w:hAnsi="宋体"/>
          <w:b/>
          <w:color w:val="000000"/>
          <w:sz w:val="24"/>
          <w:szCs w:val="24"/>
        </w:rPr>
        <w:t>环保设施</w:t>
      </w:r>
    </w:p>
    <w:p>
      <w:pPr>
        <w:adjustRightInd w:val="0"/>
        <w:snapToGrid w:val="0"/>
        <w:spacing w:line="240" w:lineRule="exact"/>
        <w:rPr>
          <w:rFonts w:ascii="宋体" w:hAnsi="宋体"/>
          <w:b/>
          <w:sz w:val="28"/>
          <w:szCs w:val="28"/>
        </w:rPr>
      </w:pPr>
    </w:p>
    <w:p>
      <w:pPr>
        <w:adjustRightInd w:val="0"/>
        <w:snapToGrid w:val="0"/>
        <w:spacing w:line="360" w:lineRule="auto"/>
        <w:rPr>
          <w:b/>
          <w:sz w:val="28"/>
          <w:szCs w:val="28"/>
          <w:lang w:val="en-IE"/>
        </w:rPr>
      </w:pPr>
      <w:r>
        <w:rPr>
          <w:rFonts w:hint="eastAsia"/>
          <w:b/>
          <w:sz w:val="28"/>
          <w:szCs w:val="28"/>
          <w:lang w:val="en-IE"/>
        </w:rPr>
        <w:t>4</w:t>
      </w:r>
      <w:r>
        <w:rPr>
          <w:b/>
          <w:sz w:val="28"/>
          <w:szCs w:val="28"/>
          <w:lang w:val="en-IE"/>
        </w:rPr>
        <w:t>.</w:t>
      </w:r>
      <w:r>
        <w:rPr>
          <w:rFonts w:hint="eastAsia"/>
          <w:b/>
          <w:sz w:val="28"/>
          <w:szCs w:val="28"/>
          <w:lang w:val="en-IE"/>
        </w:rPr>
        <w:t>1</w:t>
      </w:r>
      <w:r>
        <w:rPr>
          <w:b/>
          <w:sz w:val="28"/>
          <w:szCs w:val="28"/>
          <w:lang w:val="en-IE"/>
        </w:rPr>
        <w:t>.2  废气</w:t>
      </w:r>
    </w:p>
    <w:p>
      <w:pPr>
        <w:widowControl w:val="0"/>
        <w:spacing w:after="0" w:line="500" w:lineRule="exact"/>
        <w:ind w:firstLine="480" w:firstLineChars="200"/>
        <w:jc w:val="both"/>
        <w:rPr>
          <w:rFonts w:hint="eastAsia" w:ascii="Times New Roman" w:hAnsi="Times New Roman" w:eastAsia="宋体" w:cs="Times New Roman"/>
          <w:color w:val="000000" w:themeColor="text1"/>
          <w:sz w:val="24"/>
          <w:szCs w:val="24"/>
          <w:lang w:eastAsia="zh-CN"/>
        </w:rPr>
      </w:pPr>
      <w:r>
        <w:rPr>
          <w:rFonts w:hint="eastAsia" w:ascii="Times New Roman" w:hAnsi="Times New Roman" w:eastAsia="宋体" w:cs="Times New Roman"/>
          <w:color w:val="000000" w:themeColor="text1"/>
          <w:sz w:val="24"/>
          <w:szCs w:val="24"/>
          <w:lang w:eastAsia="zh-CN"/>
        </w:rPr>
        <w:t>项目运营过程中产生的废气主要为地下车库汽车尾气、居民厨房油烟、商业餐饮油烟、生化池臭气等。</w:t>
      </w:r>
    </w:p>
    <w:p>
      <w:pPr>
        <w:widowControl w:val="0"/>
        <w:spacing w:after="0" w:line="500" w:lineRule="exact"/>
        <w:ind w:firstLine="480" w:firstLineChars="200"/>
        <w:jc w:val="both"/>
        <w:rPr>
          <w:rFonts w:hint="eastAsia" w:ascii="Times New Roman" w:hAnsi="Times New Roman" w:eastAsia="宋体" w:cs="Times New Roman"/>
          <w:color w:val="000000" w:themeColor="text1"/>
          <w:sz w:val="24"/>
          <w:szCs w:val="24"/>
          <w:lang w:eastAsia="zh-CN"/>
        </w:rPr>
      </w:pPr>
      <w:r>
        <w:rPr>
          <w:rFonts w:hint="eastAsia" w:ascii="Times New Roman" w:hAnsi="Times New Roman" w:eastAsia="宋体" w:cs="Times New Roman"/>
          <w:color w:val="000000" w:themeColor="text1"/>
          <w:sz w:val="24"/>
          <w:szCs w:val="24"/>
          <w:lang w:eastAsia="zh-CN"/>
        </w:rPr>
        <w:t>居民厨房油烟和天然气燃烧废气由每栋楼的公共烟道排放；餐饮业油烟通过净化器处理达到《重庆市餐饮业大气污染物排放标准》（DB50/859-2018）后，通过专用烟道引入楼顶排放，每栋楼都设置专用烟道1个；汽车尾气主要含THC、NOx等污染物，通过机械通风系统抽排，排风口设于一层，安装百叶窗；生化池臭气主要含H</w:t>
      </w:r>
      <w:r>
        <w:rPr>
          <w:rFonts w:hint="eastAsia" w:ascii="Times New Roman" w:hAnsi="Times New Roman" w:eastAsia="宋体" w:cs="Times New Roman"/>
          <w:color w:val="000000" w:themeColor="text1"/>
          <w:sz w:val="24"/>
          <w:szCs w:val="24"/>
          <w:vertAlign w:val="subscript"/>
          <w:lang w:eastAsia="zh-CN"/>
        </w:rPr>
        <w:t>2</w:t>
      </w:r>
      <w:r>
        <w:rPr>
          <w:rFonts w:hint="eastAsia" w:ascii="Times New Roman" w:hAnsi="Times New Roman" w:eastAsia="宋体" w:cs="Times New Roman"/>
          <w:color w:val="000000" w:themeColor="text1"/>
          <w:sz w:val="24"/>
          <w:szCs w:val="24"/>
          <w:lang w:eastAsia="zh-CN"/>
        </w:rPr>
        <w:t>S、NH</w:t>
      </w:r>
      <w:r>
        <w:rPr>
          <w:rFonts w:hint="eastAsia" w:ascii="Times New Roman" w:hAnsi="Times New Roman" w:eastAsia="宋体" w:cs="Times New Roman"/>
          <w:color w:val="000000" w:themeColor="text1"/>
          <w:sz w:val="24"/>
          <w:szCs w:val="24"/>
          <w:vertAlign w:val="subscript"/>
          <w:lang w:eastAsia="zh-CN"/>
        </w:rPr>
        <w:t>3</w:t>
      </w:r>
      <w:r>
        <w:rPr>
          <w:rFonts w:hint="eastAsia" w:ascii="Times New Roman" w:hAnsi="Times New Roman" w:eastAsia="宋体" w:cs="Times New Roman"/>
          <w:color w:val="000000" w:themeColor="text1"/>
          <w:sz w:val="24"/>
          <w:szCs w:val="24"/>
          <w:lang w:eastAsia="zh-CN"/>
        </w:rPr>
        <w:t>等污染物，设恶臭导排管，接楼顶排放。废气环保设施见图4-3。</w:t>
      </w:r>
    </w:p>
    <w:tbl>
      <w:tblPr>
        <w:tblStyle w:val="24"/>
        <w:tblW w:w="92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43"/>
        <w:gridCol w:w="46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3" w:hRule="atLeast"/>
          <w:jc w:val="center"/>
        </w:trPr>
        <w:tc>
          <w:tcPr>
            <w:tcW w:w="4643" w:type="dxa"/>
          </w:tcPr>
          <w:p>
            <w:pPr>
              <w:adjustRightInd w:val="0"/>
              <w:snapToGrid w:val="0"/>
              <w:spacing w:line="360" w:lineRule="auto"/>
              <w:jc w:val="center"/>
              <w:rPr>
                <w:rFonts w:hint="eastAsia" w:eastAsia="宋体"/>
                <w:sz w:val="28"/>
                <w:szCs w:val="28"/>
                <w:vertAlign w:val="baseline"/>
                <w:lang w:eastAsia="zh-CN"/>
              </w:rPr>
            </w:pPr>
            <w:r>
              <w:rPr>
                <w:rFonts w:hint="eastAsia"/>
                <w:sz w:val="24"/>
                <w:szCs w:val="24"/>
                <w:vertAlign w:val="baseline"/>
                <w:lang w:eastAsia="zh-CN"/>
              </w:rPr>
              <w:drawing>
                <wp:inline distT="0" distB="0" distL="114300" distR="114300">
                  <wp:extent cx="2803525" cy="2510155"/>
                  <wp:effectExtent l="0" t="0" r="15875" b="4445"/>
                  <wp:docPr id="6" name="图片 6" descr="IMG_3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3409"/>
                          <pic:cNvPicPr>
                            <a:picLocks noChangeAspect="1"/>
                          </pic:cNvPicPr>
                        </pic:nvPicPr>
                        <pic:blipFill>
                          <a:blip r:embed="rId14"/>
                          <a:stretch>
                            <a:fillRect/>
                          </a:stretch>
                        </pic:blipFill>
                        <pic:spPr>
                          <a:xfrm>
                            <a:off x="0" y="0"/>
                            <a:ext cx="2803525" cy="2510155"/>
                          </a:xfrm>
                          <a:prstGeom prst="rect">
                            <a:avLst/>
                          </a:prstGeom>
                        </pic:spPr>
                      </pic:pic>
                    </a:graphicData>
                  </a:graphic>
                </wp:inline>
              </w:drawing>
            </w:r>
          </w:p>
        </w:tc>
        <w:tc>
          <w:tcPr>
            <w:tcW w:w="4643" w:type="dxa"/>
          </w:tcPr>
          <w:p>
            <w:pPr>
              <w:adjustRightInd w:val="0"/>
              <w:snapToGrid w:val="0"/>
              <w:spacing w:line="360" w:lineRule="auto"/>
              <w:jc w:val="center"/>
              <w:rPr>
                <w:rFonts w:hint="eastAsia" w:eastAsia="宋体"/>
                <w:sz w:val="28"/>
                <w:szCs w:val="28"/>
                <w:vertAlign w:val="baseline"/>
                <w:lang w:eastAsia="zh-CN"/>
              </w:rPr>
            </w:pPr>
            <w:r>
              <w:rPr>
                <w:rFonts w:hint="eastAsia" w:eastAsia="宋体"/>
                <w:sz w:val="28"/>
                <w:szCs w:val="28"/>
                <w:vertAlign w:val="baseline"/>
                <w:lang w:eastAsia="zh-CN"/>
              </w:rPr>
              <w:drawing>
                <wp:inline distT="0" distB="0" distL="114300" distR="114300">
                  <wp:extent cx="2872740" cy="2549525"/>
                  <wp:effectExtent l="0" t="0" r="3810" b="3175"/>
                  <wp:docPr id="8" name="图片 8" descr="IMG_3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IMG_3385"/>
                          <pic:cNvPicPr>
                            <a:picLocks noChangeAspect="1"/>
                          </pic:cNvPicPr>
                        </pic:nvPicPr>
                        <pic:blipFill>
                          <a:blip r:embed="rId15"/>
                          <a:stretch>
                            <a:fillRect/>
                          </a:stretch>
                        </pic:blipFill>
                        <pic:spPr>
                          <a:xfrm>
                            <a:off x="0" y="0"/>
                            <a:ext cx="2872740" cy="254952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4643" w:type="dxa"/>
            <w:vAlign w:val="center"/>
          </w:tcPr>
          <w:p>
            <w:pPr>
              <w:adjustRightInd w:val="0"/>
              <w:snapToGrid w:val="0"/>
              <w:spacing w:line="360" w:lineRule="auto"/>
              <w:jc w:val="center"/>
              <w:rPr>
                <w:rFonts w:hint="eastAsia" w:eastAsia="宋体"/>
                <w:b w:val="0"/>
                <w:bCs/>
                <w:sz w:val="24"/>
                <w:szCs w:val="24"/>
                <w:vertAlign w:val="baseline"/>
                <w:lang w:eastAsia="zh-CN"/>
              </w:rPr>
            </w:pPr>
            <w:r>
              <w:rPr>
                <w:rFonts w:hint="eastAsia"/>
                <w:sz w:val="24"/>
                <w:szCs w:val="24"/>
                <w:vertAlign w:val="baseline"/>
                <w:lang w:eastAsia="zh-CN"/>
              </w:rPr>
              <w:t>生化池排气管道</w:t>
            </w:r>
          </w:p>
        </w:tc>
        <w:tc>
          <w:tcPr>
            <w:tcW w:w="4643" w:type="dxa"/>
            <w:vAlign w:val="center"/>
          </w:tcPr>
          <w:p>
            <w:pPr>
              <w:adjustRightInd w:val="0"/>
              <w:snapToGrid w:val="0"/>
              <w:spacing w:line="360" w:lineRule="auto"/>
              <w:jc w:val="center"/>
              <w:rPr>
                <w:b w:val="0"/>
                <w:bCs/>
                <w:sz w:val="24"/>
                <w:szCs w:val="24"/>
                <w:vertAlign w:val="baseline"/>
              </w:rPr>
            </w:pPr>
            <w:r>
              <w:rPr>
                <w:rFonts w:hint="eastAsia"/>
                <w:b w:val="0"/>
                <w:bCs/>
                <w:sz w:val="24"/>
                <w:szCs w:val="24"/>
                <w:vertAlign w:val="baseline"/>
                <w:lang w:eastAsia="zh-CN"/>
              </w:rPr>
              <w:t>卫生间排气管道及</w:t>
            </w:r>
            <w:r>
              <w:rPr>
                <w:rFonts w:hint="eastAsia"/>
                <w:sz w:val="24"/>
                <w:szCs w:val="24"/>
                <w:vertAlign w:val="baseline"/>
                <w:lang w:eastAsia="zh-CN"/>
              </w:rPr>
              <w:t>公共烟道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643" w:type="dxa"/>
            <w:vAlign w:val="center"/>
          </w:tcPr>
          <w:p>
            <w:pPr>
              <w:adjustRightInd w:val="0"/>
              <w:snapToGrid w:val="0"/>
              <w:spacing w:line="360" w:lineRule="auto"/>
              <w:jc w:val="center"/>
              <w:rPr>
                <w:rFonts w:hint="eastAsia" w:eastAsia="宋体"/>
                <w:b w:val="0"/>
                <w:bCs/>
                <w:sz w:val="28"/>
                <w:szCs w:val="28"/>
                <w:vertAlign w:val="baseline"/>
                <w:lang w:eastAsia="zh-CN"/>
              </w:rPr>
            </w:pPr>
            <w:r>
              <w:rPr>
                <w:rFonts w:hint="eastAsia" w:eastAsia="宋体"/>
                <w:b w:val="0"/>
                <w:bCs/>
                <w:sz w:val="28"/>
                <w:szCs w:val="28"/>
                <w:vertAlign w:val="baseline"/>
                <w:lang w:eastAsia="zh-CN"/>
              </w:rPr>
              <w:drawing>
                <wp:inline distT="0" distB="0" distL="114300" distR="114300">
                  <wp:extent cx="2765425" cy="2073910"/>
                  <wp:effectExtent l="0" t="0" r="15875" b="2540"/>
                  <wp:docPr id="9" name="图片 9" descr="IMG_3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IMG_3382"/>
                          <pic:cNvPicPr>
                            <a:picLocks noChangeAspect="1"/>
                          </pic:cNvPicPr>
                        </pic:nvPicPr>
                        <pic:blipFill>
                          <a:blip r:embed="rId16"/>
                          <a:stretch>
                            <a:fillRect/>
                          </a:stretch>
                        </pic:blipFill>
                        <pic:spPr>
                          <a:xfrm>
                            <a:off x="0" y="0"/>
                            <a:ext cx="2765425" cy="2073910"/>
                          </a:xfrm>
                          <a:prstGeom prst="rect">
                            <a:avLst/>
                          </a:prstGeom>
                        </pic:spPr>
                      </pic:pic>
                    </a:graphicData>
                  </a:graphic>
                </wp:inline>
              </w:drawing>
            </w:r>
          </w:p>
        </w:tc>
        <w:tc>
          <w:tcPr>
            <w:tcW w:w="4643" w:type="dxa"/>
            <w:vAlign w:val="center"/>
          </w:tcPr>
          <w:p>
            <w:pPr>
              <w:adjustRightInd w:val="0"/>
              <w:snapToGrid w:val="0"/>
              <w:spacing w:line="360" w:lineRule="auto"/>
              <w:jc w:val="center"/>
              <w:rPr>
                <w:rFonts w:hint="eastAsia" w:eastAsia="宋体"/>
                <w:b w:val="0"/>
                <w:bCs/>
                <w:sz w:val="28"/>
                <w:szCs w:val="28"/>
                <w:vertAlign w:val="baseline"/>
                <w:lang w:eastAsia="zh-CN"/>
              </w:rPr>
            </w:pPr>
            <w:r>
              <w:rPr>
                <w:rFonts w:hint="eastAsia" w:eastAsia="宋体"/>
                <w:b w:val="0"/>
                <w:bCs/>
                <w:sz w:val="28"/>
                <w:szCs w:val="28"/>
                <w:vertAlign w:val="baseline"/>
                <w:lang w:eastAsia="zh-CN"/>
              </w:rPr>
              <w:drawing>
                <wp:inline distT="0" distB="0" distL="114300" distR="114300">
                  <wp:extent cx="2803525" cy="2214880"/>
                  <wp:effectExtent l="0" t="0" r="15875" b="13970"/>
                  <wp:docPr id="11" name="图片 11" descr="IMG_3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IMG_3393"/>
                          <pic:cNvPicPr>
                            <a:picLocks noChangeAspect="1"/>
                          </pic:cNvPicPr>
                        </pic:nvPicPr>
                        <pic:blipFill>
                          <a:blip r:embed="rId17"/>
                          <a:stretch>
                            <a:fillRect/>
                          </a:stretch>
                        </pic:blipFill>
                        <pic:spPr>
                          <a:xfrm>
                            <a:off x="0" y="0"/>
                            <a:ext cx="2803525" cy="221488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4643" w:type="dxa"/>
            <w:vAlign w:val="center"/>
          </w:tcPr>
          <w:p>
            <w:pPr>
              <w:adjustRightInd w:val="0"/>
              <w:snapToGrid w:val="0"/>
              <w:spacing w:line="360" w:lineRule="auto"/>
              <w:jc w:val="center"/>
              <w:rPr>
                <w:rFonts w:hint="eastAsia" w:eastAsia="宋体"/>
                <w:sz w:val="24"/>
                <w:szCs w:val="24"/>
                <w:vertAlign w:val="baseline"/>
                <w:lang w:eastAsia="zh-CN"/>
              </w:rPr>
            </w:pPr>
            <w:r>
              <w:rPr>
                <w:rFonts w:hint="eastAsia"/>
                <w:sz w:val="24"/>
                <w:szCs w:val="24"/>
                <w:vertAlign w:val="baseline"/>
                <w:lang w:eastAsia="zh-CN"/>
              </w:rPr>
              <w:t>车库排气管道</w:t>
            </w:r>
          </w:p>
        </w:tc>
        <w:tc>
          <w:tcPr>
            <w:tcW w:w="4643" w:type="dxa"/>
            <w:vAlign w:val="center"/>
          </w:tcPr>
          <w:p>
            <w:pPr>
              <w:adjustRightInd w:val="0"/>
              <w:snapToGrid w:val="0"/>
              <w:spacing w:line="360" w:lineRule="auto"/>
              <w:jc w:val="center"/>
              <w:rPr>
                <w:rFonts w:hint="eastAsia" w:eastAsia="宋体"/>
                <w:sz w:val="24"/>
                <w:szCs w:val="24"/>
                <w:vertAlign w:val="baseline"/>
                <w:lang w:eastAsia="zh-CN"/>
              </w:rPr>
            </w:pPr>
            <w:r>
              <w:rPr>
                <w:rFonts w:hint="eastAsia"/>
                <w:sz w:val="24"/>
                <w:szCs w:val="24"/>
                <w:vertAlign w:val="baseline"/>
                <w:lang w:eastAsia="zh-CN"/>
              </w:rPr>
              <w:t>柴油发电机排气管道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0" w:hRule="atLeast"/>
          <w:jc w:val="center"/>
        </w:trPr>
        <w:tc>
          <w:tcPr>
            <w:tcW w:w="4643" w:type="dxa"/>
            <w:vAlign w:val="center"/>
          </w:tcPr>
          <w:p>
            <w:pPr>
              <w:adjustRightInd w:val="0"/>
              <w:snapToGrid w:val="0"/>
              <w:spacing w:line="360" w:lineRule="auto"/>
              <w:jc w:val="both"/>
              <w:rPr>
                <w:rFonts w:hint="eastAsia"/>
                <w:sz w:val="28"/>
                <w:szCs w:val="28"/>
                <w:vertAlign w:val="baseline"/>
                <w:lang w:eastAsia="zh-CN"/>
              </w:rPr>
            </w:pPr>
            <w:r>
              <w:rPr>
                <w:rFonts w:hint="eastAsia"/>
                <w:sz w:val="28"/>
                <w:szCs w:val="28"/>
                <w:vertAlign w:val="baseline"/>
                <w:lang w:eastAsia="zh-CN"/>
              </w:rPr>
              <w:drawing>
                <wp:inline distT="0" distB="0" distL="114300" distR="114300">
                  <wp:extent cx="2765425" cy="2073910"/>
                  <wp:effectExtent l="0" t="0" r="15875" b="2540"/>
                  <wp:docPr id="12" name="图片 12" descr="IMG_3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IMG_3392"/>
                          <pic:cNvPicPr>
                            <a:picLocks noChangeAspect="1"/>
                          </pic:cNvPicPr>
                        </pic:nvPicPr>
                        <pic:blipFill>
                          <a:blip r:embed="rId18"/>
                          <a:stretch>
                            <a:fillRect/>
                          </a:stretch>
                        </pic:blipFill>
                        <pic:spPr>
                          <a:xfrm>
                            <a:off x="0" y="0"/>
                            <a:ext cx="2765425" cy="2073910"/>
                          </a:xfrm>
                          <a:prstGeom prst="rect">
                            <a:avLst/>
                          </a:prstGeom>
                        </pic:spPr>
                      </pic:pic>
                    </a:graphicData>
                  </a:graphic>
                </wp:inline>
              </w:drawing>
            </w:r>
          </w:p>
        </w:tc>
        <w:tc>
          <w:tcPr>
            <w:tcW w:w="4643" w:type="dxa"/>
            <w:vAlign w:val="center"/>
          </w:tcPr>
          <w:p>
            <w:pPr>
              <w:adjustRightInd w:val="0"/>
              <w:snapToGrid w:val="0"/>
              <w:spacing w:line="360" w:lineRule="auto"/>
              <w:jc w:val="both"/>
              <w:rPr>
                <w:rFonts w:hint="eastAsia"/>
                <w:sz w:val="28"/>
                <w:szCs w:val="28"/>
                <w:vertAlign w:val="baseline"/>
                <w:lang w:eastAsia="zh-CN"/>
              </w:rPr>
            </w:pPr>
            <w:r>
              <w:rPr>
                <w:rFonts w:hint="eastAsia"/>
                <w:sz w:val="28"/>
                <w:szCs w:val="28"/>
                <w:vertAlign w:val="baseline"/>
                <w:lang w:eastAsia="zh-CN"/>
              </w:rPr>
              <w:drawing>
                <wp:inline distT="0" distB="0" distL="114300" distR="114300">
                  <wp:extent cx="2765425" cy="2073910"/>
                  <wp:effectExtent l="0" t="0" r="15875" b="2540"/>
                  <wp:docPr id="14" name="图片 14" descr="IMG_3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IMG_3391"/>
                          <pic:cNvPicPr>
                            <a:picLocks noChangeAspect="1"/>
                          </pic:cNvPicPr>
                        </pic:nvPicPr>
                        <pic:blipFill>
                          <a:blip r:embed="rId19"/>
                          <a:stretch>
                            <a:fillRect/>
                          </a:stretch>
                        </pic:blipFill>
                        <pic:spPr>
                          <a:xfrm>
                            <a:off x="0" y="0"/>
                            <a:ext cx="2765425" cy="207391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643" w:type="dxa"/>
            <w:vAlign w:val="center"/>
          </w:tcPr>
          <w:p>
            <w:pPr>
              <w:adjustRightInd w:val="0"/>
              <w:snapToGrid w:val="0"/>
              <w:spacing w:line="360" w:lineRule="auto"/>
              <w:jc w:val="center"/>
              <w:rPr>
                <w:rFonts w:hint="eastAsia" w:ascii="Times New Roman" w:hAnsi="Times New Roman" w:eastAsia="宋体" w:cs="Times New Roman"/>
                <w:sz w:val="24"/>
                <w:szCs w:val="24"/>
                <w:vertAlign w:val="baseline"/>
                <w:lang w:eastAsia="zh-CN"/>
              </w:rPr>
            </w:pPr>
            <w:r>
              <w:rPr>
                <w:rFonts w:hint="eastAsia"/>
                <w:sz w:val="24"/>
                <w:szCs w:val="24"/>
                <w:vertAlign w:val="baseline"/>
                <w:lang w:eastAsia="zh-CN"/>
              </w:rPr>
              <w:t>柴油发电机排气管道</w:t>
            </w:r>
          </w:p>
        </w:tc>
        <w:tc>
          <w:tcPr>
            <w:tcW w:w="4643" w:type="dxa"/>
            <w:vAlign w:val="center"/>
          </w:tcPr>
          <w:p>
            <w:pPr>
              <w:adjustRightInd w:val="0"/>
              <w:snapToGrid w:val="0"/>
              <w:spacing w:line="360" w:lineRule="auto"/>
              <w:jc w:val="center"/>
              <w:rPr>
                <w:rFonts w:hint="eastAsia" w:ascii="Times New Roman" w:hAnsi="Times New Roman" w:eastAsia="宋体" w:cs="Times New Roman"/>
                <w:sz w:val="24"/>
                <w:szCs w:val="24"/>
                <w:vertAlign w:val="baseline"/>
                <w:lang w:eastAsia="zh-CN"/>
              </w:rPr>
            </w:pPr>
            <w:r>
              <w:rPr>
                <w:rFonts w:hint="eastAsia" w:ascii="Times New Roman" w:hAnsi="Times New Roman" w:eastAsia="宋体" w:cs="Times New Roman"/>
                <w:sz w:val="24"/>
                <w:szCs w:val="24"/>
                <w:vertAlign w:val="baseline"/>
                <w:lang w:eastAsia="zh-CN"/>
              </w:rPr>
              <w:t>配电房通风管道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643" w:type="dxa"/>
            <w:vAlign w:val="center"/>
          </w:tcPr>
          <w:p>
            <w:pPr>
              <w:adjustRightInd w:val="0"/>
              <w:snapToGrid w:val="0"/>
              <w:spacing w:line="360" w:lineRule="auto"/>
              <w:jc w:val="center"/>
              <w:rPr>
                <w:rFonts w:hint="eastAsia"/>
                <w:sz w:val="24"/>
                <w:szCs w:val="24"/>
                <w:vertAlign w:val="baseline"/>
                <w:lang w:eastAsia="zh-CN"/>
              </w:rPr>
            </w:pPr>
            <w:r>
              <w:rPr>
                <w:rFonts w:hint="eastAsia"/>
                <w:sz w:val="24"/>
                <w:szCs w:val="24"/>
                <w:vertAlign w:val="baseline"/>
                <w:lang w:eastAsia="zh-CN"/>
              </w:rPr>
              <w:drawing>
                <wp:inline distT="0" distB="0" distL="114300" distR="114300">
                  <wp:extent cx="2765425" cy="2073910"/>
                  <wp:effectExtent l="0" t="0" r="15875" b="2540"/>
                  <wp:docPr id="4" name="图片 4" descr="IMG_3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3403"/>
                          <pic:cNvPicPr>
                            <a:picLocks noChangeAspect="1"/>
                          </pic:cNvPicPr>
                        </pic:nvPicPr>
                        <pic:blipFill>
                          <a:blip r:embed="rId20"/>
                          <a:stretch>
                            <a:fillRect/>
                          </a:stretch>
                        </pic:blipFill>
                        <pic:spPr>
                          <a:xfrm>
                            <a:off x="0" y="0"/>
                            <a:ext cx="2765425" cy="2073910"/>
                          </a:xfrm>
                          <a:prstGeom prst="rect">
                            <a:avLst/>
                          </a:prstGeom>
                        </pic:spPr>
                      </pic:pic>
                    </a:graphicData>
                  </a:graphic>
                </wp:inline>
              </w:drawing>
            </w:r>
          </w:p>
        </w:tc>
        <w:tc>
          <w:tcPr>
            <w:tcW w:w="4643" w:type="dxa"/>
            <w:vAlign w:val="center"/>
          </w:tcPr>
          <w:p>
            <w:pPr>
              <w:adjustRightInd w:val="0"/>
              <w:snapToGrid w:val="0"/>
              <w:spacing w:line="360" w:lineRule="auto"/>
              <w:jc w:val="center"/>
              <w:rPr>
                <w:rFonts w:hint="eastAsia" w:ascii="Times New Roman" w:hAnsi="Times New Roman" w:eastAsia="宋体" w:cs="Times New Roman"/>
                <w:sz w:val="24"/>
                <w:szCs w:val="24"/>
                <w:vertAlign w:val="baseline"/>
                <w:lang w:eastAsia="zh-CN"/>
              </w:rPr>
            </w:pPr>
            <w:r>
              <w:rPr>
                <w:rFonts w:hint="eastAsia" w:ascii="Times New Roman" w:hAnsi="Times New Roman" w:eastAsia="宋体" w:cs="Times New Roman"/>
                <w:sz w:val="24"/>
                <w:szCs w:val="24"/>
                <w:vertAlign w:val="baseline"/>
                <w:lang w:eastAsia="zh-CN"/>
              </w:rPr>
              <w:drawing>
                <wp:inline distT="0" distB="0" distL="114300" distR="114300">
                  <wp:extent cx="2765425" cy="2073910"/>
                  <wp:effectExtent l="0" t="0" r="15875" b="2540"/>
                  <wp:docPr id="5" name="图片 5" descr="IMG_3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3397"/>
                          <pic:cNvPicPr>
                            <a:picLocks noChangeAspect="1"/>
                          </pic:cNvPicPr>
                        </pic:nvPicPr>
                        <pic:blipFill>
                          <a:blip r:embed="rId21"/>
                          <a:stretch>
                            <a:fillRect/>
                          </a:stretch>
                        </pic:blipFill>
                        <pic:spPr>
                          <a:xfrm>
                            <a:off x="0" y="0"/>
                            <a:ext cx="2765425" cy="207391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643" w:type="dxa"/>
            <w:vAlign w:val="center"/>
          </w:tcPr>
          <w:p>
            <w:pPr>
              <w:adjustRightInd w:val="0"/>
              <w:snapToGrid w:val="0"/>
              <w:spacing w:line="360" w:lineRule="auto"/>
              <w:jc w:val="center"/>
              <w:rPr>
                <w:rFonts w:hint="eastAsia"/>
                <w:sz w:val="24"/>
                <w:szCs w:val="24"/>
                <w:vertAlign w:val="baseline"/>
                <w:lang w:eastAsia="zh-CN"/>
              </w:rPr>
            </w:pPr>
            <w:r>
              <w:rPr>
                <w:rFonts w:hint="eastAsia"/>
                <w:sz w:val="24"/>
                <w:szCs w:val="24"/>
                <w:vertAlign w:val="baseline"/>
                <w:lang w:eastAsia="zh-CN"/>
              </w:rPr>
              <w:t>商业油烟管道排口</w:t>
            </w:r>
          </w:p>
        </w:tc>
        <w:tc>
          <w:tcPr>
            <w:tcW w:w="4643" w:type="dxa"/>
            <w:vAlign w:val="center"/>
          </w:tcPr>
          <w:p>
            <w:pPr>
              <w:adjustRightInd w:val="0"/>
              <w:snapToGrid w:val="0"/>
              <w:spacing w:line="360" w:lineRule="auto"/>
              <w:jc w:val="center"/>
              <w:rPr>
                <w:rFonts w:hint="eastAsia" w:ascii="Times New Roman" w:hAnsi="Times New Roman" w:eastAsia="宋体" w:cs="Times New Roman"/>
                <w:sz w:val="24"/>
                <w:szCs w:val="24"/>
                <w:vertAlign w:val="baseline"/>
                <w:lang w:eastAsia="zh-CN"/>
              </w:rPr>
            </w:pPr>
            <w:r>
              <w:rPr>
                <w:rFonts w:hint="eastAsia" w:cs="Times New Roman"/>
                <w:sz w:val="24"/>
                <w:szCs w:val="24"/>
                <w:vertAlign w:val="baseline"/>
                <w:lang w:eastAsia="zh-CN"/>
              </w:rPr>
              <w:t>商业油烟管道</w:t>
            </w:r>
          </w:p>
        </w:tc>
      </w:tr>
    </w:tbl>
    <w:p>
      <w:pPr>
        <w:spacing w:beforeLines="50" w:line="480" w:lineRule="auto"/>
        <w:jc w:val="center"/>
        <w:rPr>
          <w:b/>
          <w:sz w:val="28"/>
          <w:szCs w:val="28"/>
          <w:lang w:val="en-IE"/>
        </w:rPr>
      </w:pPr>
      <w:bookmarkStart w:id="169" w:name="_GoBack"/>
      <w:bookmarkEnd w:id="169"/>
      <w:r>
        <w:rPr>
          <w:rFonts w:hAnsi="宋体"/>
          <w:b/>
          <w:color w:val="000000"/>
          <w:sz w:val="24"/>
          <w:szCs w:val="24"/>
        </w:rPr>
        <w:t>图</w:t>
      </w:r>
      <w:r>
        <w:rPr>
          <w:rFonts w:hint="eastAsia" w:hAnsi="宋体"/>
          <w:b/>
          <w:color w:val="000000"/>
          <w:sz w:val="24"/>
          <w:szCs w:val="24"/>
        </w:rPr>
        <w:t>4</w:t>
      </w:r>
      <w:r>
        <w:rPr>
          <w:rFonts w:hAnsi="宋体"/>
          <w:b/>
          <w:color w:val="000000"/>
          <w:sz w:val="24"/>
          <w:szCs w:val="24"/>
        </w:rPr>
        <w:t>-</w:t>
      </w:r>
      <w:r>
        <w:rPr>
          <w:rFonts w:hint="eastAsia" w:hAnsi="宋体"/>
          <w:b/>
          <w:color w:val="000000"/>
          <w:sz w:val="24"/>
          <w:szCs w:val="24"/>
        </w:rPr>
        <w:t>3</w:t>
      </w:r>
      <w:r>
        <w:rPr>
          <w:rFonts w:hAnsi="宋体"/>
          <w:b/>
          <w:color w:val="000000"/>
          <w:sz w:val="24"/>
          <w:szCs w:val="24"/>
        </w:rPr>
        <w:t xml:space="preserve">   </w:t>
      </w:r>
      <w:r>
        <w:rPr>
          <w:rFonts w:hint="eastAsia" w:hAnsi="宋体"/>
          <w:b/>
          <w:color w:val="000000"/>
          <w:sz w:val="24"/>
          <w:szCs w:val="24"/>
        </w:rPr>
        <w:t>废气环保设施</w:t>
      </w:r>
    </w:p>
    <w:p>
      <w:pPr>
        <w:adjustRightInd w:val="0"/>
        <w:snapToGrid w:val="0"/>
        <w:spacing w:line="360" w:lineRule="auto"/>
        <w:rPr>
          <w:b/>
          <w:sz w:val="28"/>
          <w:szCs w:val="28"/>
          <w:lang w:val="en-IE"/>
        </w:rPr>
      </w:pPr>
      <w:r>
        <w:rPr>
          <w:rFonts w:hint="eastAsia"/>
          <w:b/>
          <w:sz w:val="28"/>
          <w:szCs w:val="28"/>
          <w:lang w:val="en-IE"/>
        </w:rPr>
        <w:t>4</w:t>
      </w:r>
      <w:r>
        <w:rPr>
          <w:b/>
          <w:sz w:val="28"/>
          <w:szCs w:val="28"/>
          <w:lang w:val="en-IE"/>
        </w:rPr>
        <w:t>.</w:t>
      </w:r>
      <w:r>
        <w:rPr>
          <w:rFonts w:hint="eastAsia"/>
          <w:b/>
          <w:sz w:val="28"/>
          <w:szCs w:val="28"/>
          <w:lang w:val="en-IE"/>
        </w:rPr>
        <w:t>1</w:t>
      </w:r>
      <w:r>
        <w:rPr>
          <w:b/>
          <w:sz w:val="28"/>
          <w:szCs w:val="28"/>
          <w:lang w:val="en-IE"/>
        </w:rPr>
        <w:t>.3  噪声</w:t>
      </w:r>
    </w:p>
    <w:p>
      <w:pPr>
        <w:widowControl w:val="0"/>
        <w:spacing w:after="0" w:line="500" w:lineRule="exact"/>
        <w:ind w:firstLine="480" w:firstLineChars="200"/>
        <w:jc w:val="both"/>
        <w:rPr>
          <w:rFonts w:hint="eastAsia" w:ascii="Times New Roman" w:hAnsi="Times New Roman" w:eastAsia="宋体" w:cs="Times New Roman"/>
          <w:color w:val="000000" w:themeColor="text1"/>
          <w:sz w:val="24"/>
          <w:szCs w:val="24"/>
          <w:lang w:eastAsia="zh-CN"/>
        </w:rPr>
      </w:pPr>
      <w:r>
        <w:rPr>
          <w:rFonts w:hint="eastAsia" w:ascii="Times New Roman" w:hAnsi="Times New Roman" w:eastAsia="宋体" w:cs="Times New Roman"/>
          <w:color w:val="000000" w:themeColor="text1"/>
          <w:sz w:val="24"/>
          <w:szCs w:val="24"/>
          <w:lang w:eastAsia="zh-CN"/>
        </w:rPr>
        <w:t>本项目噪声源主要来自风机、水泵等，采用建筑隔音、减震来降低噪声。本项目自身不使用中央空调和冷却塔，如进驻商业安装中央空调或冷却塔需另行办理环境保护相关手续。</w:t>
      </w:r>
    </w:p>
    <w:p>
      <w:pPr>
        <w:adjustRightInd w:val="0"/>
        <w:snapToGrid w:val="0"/>
        <w:spacing w:line="360" w:lineRule="auto"/>
        <w:rPr>
          <w:b/>
          <w:sz w:val="28"/>
          <w:szCs w:val="28"/>
          <w:lang w:val="en-IE"/>
        </w:rPr>
      </w:pPr>
      <w:r>
        <w:rPr>
          <w:rFonts w:hint="eastAsia"/>
          <w:b/>
          <w:sz w:val="28"/>
          <w:szCs w:val="28"/>
          <w:lang w:val="en-IE"/>
        </w:rPr>
        <w:t>4</w:t>
      </w:r>
      <w:r>
        <w:rPr>
          <w:b/>
          <w:sz w:val="28"/>
          <w:szCs w:val="28"/>
          <w:lang w:val="en-IE"/>
        </w:rPr>
        <w:t>.</w:t>
      </w:r>
      <w:r>
        <w:rPr>
          <w:rFonts w:hint="eastAsia"/>
          <w:b/>
          <w:sz w:val="28"/>
          <w:szCs w:val="28"/>
          <w:lang w:val="en-IE"/>
        </w:rPr>
        <w:t>1</w:t>
      </w:r>
      <w:r>
        <w:rPr>
          <w:b/>
          <w:sz w:val="28"/>
          <w:szCs w:val="28"/>
          <w:lang w:val="en-IE"/>
        </w:rPr>
        <w:t>.4  固体废物</w:t>
      </w:r>
    </w:p>
    <w:p>
      <w:pPr>
        <w:adjustRightInd w:val="0"/>
        <w:snapToGrid w:val="0"/>
        <w:spacing w:line="360" w:lineRule="auto"/>
        <w:ind w:firstLine="480" w:firstLineChars="200"/>
        <w:rPr>
          <w:rFonts w:hint="eastAsia" w:ascii="Times New Roman" w:hAnsi="Times New Roman" w:eastAsia="宋体" w:cs="Times New Roman"/>
          <w:color w:val="000000" w:themeColor="text1"/>
          <w:sz w:val="24"/>
          <w:szCs w:val="24"/>
          <w:lang w:eastAsia="zh-CN"/>
        </w:rPr>
      </w:pPr>
      <w:r>
        <w:rPr>
          <w:rFonts w:hint="eastAsia" w:ascii="Times New Roman" w:hAnsi="Times New Roman" w:eastAsia="宋体" w:cs="Times New Roman"/>
          <w:color w:val="000000" w:themeColor="text1"/>
          <w:sz w:val="24"/>
          <w:szCs w:val="24"/>
          <w:lang w:eastAsia="zh-CN"/>
        </w:rPr>
        <w:t>本项目产生的固体废物为生活垃圾、餐厨垃圾、商业垃圾以及水处理污泥。餐厨垃圾和商业垃圾由后期入驻的商业自行处置；生活垃圾由环卫部门收集后运城市生活垃圾处置场处理；污水处理站污泥由专业的污泥清掏公司处理。每栋楼的出入口设置垃圾分类收集桶一套。</w:t>
      </w:r>
    </w:p>
    <w:p>
      <w:pPr>
        <w:pStyle w:val="30"/>
        <w:jc w:val="center"/>
        <w:rPr>
          <w:rFonts w:hint="eastAsia" w:eastAsia="宋体"/>
          <w:lang w:eastAsia="zh-CN"/>
        </w:rPr>
      </w:pPr>
      <w:r>
        <w:rPr>
          <w:rFonts w:hint="eastAsia" w:eastAsia="宋体"/>
          <w:lang w:eastAsia="zh-CN"/>
        </w:rPr>
        <w:drawing>
          <wp:inline distT="0" distB="0" distL="114300" distR="114300">
            <wp:extent cx="3173095" cy="1053465"/>
            <wp:effectExtent l="0" t="0" r="8255" b="13335"/>
            <wp:docPr id="17" name="图片 17" descr="IMG_3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IMG_3389"/>
                    <pic:cNvPicPr>
                      <a:picLocks noChangeAspect="1"/>
                    </pic:cNvPicPr>
                  </pic:nvPicPr>
                  <pic:blipFill>
                    <a:blip r:embed="rId22"/>
                    <a:srcRect l="44674" t="35872" b="39637"/>
                    <a:stretch>
                      <a:fillRect/>
                    </a:stretch>
                  </pic:blipFill>
                  <pic:spPr>
                    <a:xfrm>
                      <a:off x="0" y="0"/>
                      <a:ext cx="3173095" cy="1053465"/>
                    </a:xfrm>
                    <a:prstGeom prst="rect">
                      <a:avLst/>
                    </a:prstGeom>
                  </pic:spPr>
                </pic:pic>
              </a:graphicData>
            </a:graphic>
          </wp:inline>
        </w:drawing>
      </w:r>
    </w:p>
    <w:p>
      <w:pPr>
        <w:spacing w:beforeLines="50"/>
        <w:jc w:val="center"/>
        <w:rPr>
          <w:sz w:val="24"/>
          <w:szCs w:val="24"/>
        </w:rPr>
      </w:pPr>
      <w:r>
        <w:rPr>
          <w:rFonts w:hAnsi="宋体"/>
          <w:b/>
          <w:color w:val="000000"/>
          <w:sz w:val="24"/>
          <w:szCs w:val="24"/>
        </w:rPr>
        <w:t>图</w:t>
      </w:r>
      <w:r>
        <w:rPr>
          <w:rFonts w:hint="eastAsia" w:hAnsi="宋体"/>
          <w:b/>
          <w:color w:val="000000"/>
          <w:sz w:val="24"/>
          <w:szCs w:val="24"/>
        </w:rPr>
        <w:t>4</w:t>
      </w:r>
      <w:r>
        <w:rPr>
          <w:rFonts w:hAnsi="宋体"/>
          <w:b/>
          <w:color w:val="000000"/>
          <w:sz w:val="24"/>
          <w:szCs w:val="24"/>
        </w:rPr>
        <w:t>-</w:t>
      </w:r>
      <w:r>
        <w:rPr>
          <w:rFonts w:hint="eastAsia" w:hAnsi="宋体"/>
          <w:b/>
          <w:color w:val="000000"/>
          <w:sz w:val="24"/>
          <w:szCs w:val="24"/>
          <w:lang w:val="en-US" w:eastAsia="zh-CN"/>
        </w:rPr>
        <w:t>4</w:t>
      </w:r>
      <w:r>
        <w:rPr>
          <w:rFonts w:hAnsi="宋体"/>
          <w:b/>
          <w:color w:val="000000"/>
          <w:sz w:val="24"/>
          <w:szCs w:val="24"/>
        </w:rPr>
        <w:t xml:space="preserve">   </w:t>
      </w:r>
      <w:r>
        <w:rPr>
          <w:rFonts w:hint="eastAsia" w:hAnsi="宋体"/>
          <w:b/>
          <w:color w:val="000000"/>
          <w:sz w:val="24"/>
          <w:szCs w:val="24"/>
          <w:lang w:eastAsia="zh-CN"/>
        </w:rPr>
        <w:t>垃圾桶</w:t>
      </w:r>
    </w:p>
    <w:p>
      <w:pPr>
        <w:pStyle w:val="56"/>
        <w:rPr>
          <w:rFonts w:cs="Times New Roman"/>
          <w:color w:val="auto"/>
          <w:sz w:val="32"/>
        </w:rPr>
      </w:pPr>
      <w:bookmarkStart w:id="73" w:name="_Toc3410"/>
      <w:r>
        <w:rPr>
          <w:rFonts w:hint="eastAsia" w:cs="Times New Roman"/>
          <w:color w:val="auto"/>
          <w:sz w:val="32"/>
        </w:rPr>
        <w:t>4.2其他环保设施</w:t>
      </w:r>
      <w:bookmarkEnd w:id="73"/>
    </w:p>
    <w:p>
      <w:pPr>
        <w:spacing w:line="440" w:lineRule="exact"/>
        <w:ind w:firstLine="480" w:firstLineChars="200"/>
        <w:jc w:val="left"/>
        <w:rPr>
          <w:rFonts w:hint="eastAsia" w:ascii="Times New Roman" w:hAnsi="Times New Roman" w:eastAsia="宋体" w:cs="Times New Roman"/>
          <w:color w:val="000000" w:themeColor="text1"/>
          <w:sz w:val="24"/>
          <w:szCs w:val="24"/>
          <w:lang w:eastAsia="zh-CN"/>
        </w:rPr>
      </w:pPr>
      <w:r>
        <w:rPr>
          <w:rFonts w:hint="eastAsia" w:ascii="Times New Roman" w:hAnsi="Times New Roman" w:eastAsia="宋体" w:cs="Times New Roman"/>
          <w:color w:val="000000" w:themeColor="text1"/>
          <w:sz w:val="24"/>
          <w:szCs w:val="24"/>
          <w:lang w:eastAsia="zh-CN"/>
        </w:rPr>
        <w:t>本项目绿化率为3</w:t>
      </w:r>
      <w:r>
        <w:rPr>
          <w:rFonts w:hint="eastAsia" w:ascii="Times New Roman" w:hAnsi="Times New Roman" w:eastAsia="宋体" w:cs="Times New Roman"/>
          <w:color w:val="000000" w:themeColor="text1"/>
          <w:sz w:val="24"/>
          <w:szCs w:val="24"/>
          <w:lang w:val="en-US" w:eastAsia="zh-CN"/>
        </w:rPr>
        <w:t>0</w:t>
      </w:r>
      <w:r>
        <w:rPr>
          <w:rFonts w:hint="eastAsia" w:ascii="Times New Roman" w:hAnsi="Times New Roman" w:eastAsia="宋体" w:cs="Times New Roman"/>
          <w:color w:val="000000" w:themeColor="text1"/>
          <w:sz w:val="24"/>
          <w:szCs w:val="24"/>
          <w:lang w:eastAsia="zh-CN"/>
        </w:rPr>
        <w:t>.</w:t>
      </w:r>
      <w:r>
        <w:rPr>
          <w:rFonts w:hint="eastAsia" w:ascii="Times New Roman" w:hAnsi="Times New Roman" w:eastAsia="宋体" w:cs="Times New Roman"/>
          <w:color w:val="000000" w:themeColor="text1"/>
          <w:sz w:val="24"/>
          <w:szCs w:val="24"/>
          <w:lang w:val="en-US" w:eastAsia="zh-CN"/>
        </w:rPr>
        <w:t>40</w:t>
      </w:r>
      <w:r>
        <w:rPr>
          <w:rFonts w:hint="eastAsia" w:ascii="Times New Roman" w:hAnsi="Times New Roman" w:eastAsia="宋体" w:cs="Times New Roman"/>
          <w:color w:val="000000" w:themeColor="text1"/>
          <w:sz w:val="24"/>
          <w:szCs w:val="24"/>
          <w:lang w:eastAsia="zh-CN"/>
        </w:rPr>
        <w:t>%。</w:t>
      </w:r>
      <w:r>
        <w:rPr>
          <w:rFonts w:hint="eastAsia"/>
          <w:color w:val="auto"/>
          <w:sz w:val="24"/>
          <w:szCs w:val="24"/>
        </w:rPr>
        <w:t>主要通过中心街两侧的放坡绿化和大中庭绿化景观、入口广场景观、局部节点景观、步行景观带以及大量绿化景观组成点、线、面结合的系统。景观的主要原素有绿化、广场、建筑小品、休闲步道等，并将其进行有机的组合，利用地形的高差，建筑空间的错落、围合，使其形成丰富多彩、富有山地特色的景观和环境。</w:t>
      </w:r>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43"/>
        <w:gridCol w:w="46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43" w:type="dxa"/>
          </w:tcPr>
          <w:p>
            <w:pPr>
              <w:pStyle w:val="30"/>
              <w:ind w:left="0" w:leftChars="0" w:firstLine="0" w:firstLineChars="0"/>
              <w:jc w:val="both"/>
              <w:rPr>
                <w:rFonts w:hint="eastAsia" w:eastAsia="宋体"/>
                <w:vertAlign w:val="baseline"/>
                <w:lang w:eastAsia="zh-CN"/>
              </w:rPr>
            </w:pPr>
            <w:r>
              <w:rPr>
                <w:rFonts w:hint="eastAsia" w:eastAsia="宋体"/>
                <w:vertAlign w:val="baseline"/>
                <w:lang w:eastAsia="zh-CN"/>
              </w:rPr>
              <w:drawing>
                <wp:inline distT="0" distB="0" distL="114300" distR="114300">
                  <wp:extent cx="2765425" cy="2073910"/>
                  <wp:effectExtent l="0" t="0" r="15875" b="2540"/>
                  <wp:docPr id="20" name="图片 20" descr="IMG_3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IMG_3387"/>
                          <pic:cNvPicPr>
                            <a:picLocks noChangeAspect="1"/>
                          </pic:cNvPicPr>
                        </pic:nvPicPr>
                        <pic:blipFill>
                          <a:blip r:embed="rId23"/>
                          <a:stretch>
                            <a:fillRect/>
                          </a:stretch>
                        </pic:blipFill>
                        <pic:spPr>
                          <a:xfrm>
                            <a:off x="0" y="0"/>
                            <a:ext cx="2765425" cy="2073910"/>
                          </a:xfrm>
                          <a:prstGeom prst="rect">
                            <a:avLst/>
                          </a:prstGeom>
                        </pic:spPr>
                      </pic:pic>
                    </a:graphicData>
                  </a:graphic>
                </wp:inline>
              </w:drawing>
            </w:r>
          </w:p>
        </w:tc>
        <w:tc>
          <w:tcPr>
            <w:tcW w:w="4643" w:type="dxa"/>
          </w:tcPr>
          <w:p>
            <w:pPr>
              <w:pStyle w:val="30"/>
              <w:ind w:left="0" w:leftChars="0" w:firstLine="0" w:firstLineChars="0"/>
              <w:jc w:val="both"/>
              <w:rPr>
                <w:rFonts w:hint="eastAsia" w:eastAsia="宋体"/>
                <w:vertAlign w:val="baseline"/>
                <w:lang w:eastAsia="zh-CN"/>
              </w:rPr>
            </w:pPr>
            <w:r>
              <w:rPr>
                <w:rFonts w:hint="eastAsia" w:eastAsia="宋体"/>
                <w:vertAlign w:val="baseline"/>
                <w:lang w:eastAsia="zh-CN"/>
              </w:rPr>
              <w:drawing>
                <wp:inline distT="0" distB="0" distL="114300" distR="114300">
                  <wp:extent cx="2765425" cy="2073910"/>
                  <wp:effectExtent l="0" t="0" r="15875" b="2540"/>
                  <wp:docPr id="21" name="图片 21" descr="IMG_3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IMG_3388"/>
                          <pic:cNvPicPr>
                            <a:picLocks noChangeAspect="1"/>
                          </pic:cNvPicPr>
                        </pic:nvPicPr>
                        <pic:blipFill>
                          <a:blip r:embed="rId24"/>
                          <a:stretch>
                            <a:fillRect/>
                          </a:stretch>
                        </pic:blipFill>
                        <pic:spPr>
                          <a:xfrm>
                            <a:off x="0" y="0"/>
                            <a:ext cx="2765425" cy="2073910"/>
                          </a:xfrm>
                          <a:prstGeom prst="rect">
                            <a:avLst/>
                          </a:prstGeom>
                        </pic:spPr>
                      </pic:pic>
                    </a:graphicData>
                  </a:graphic>
                </wp:inline>
              </w:drawing>
            </w:r>
          </w:p>
        </w:tc>
      </w:tr>
    </w:tbl>
    <w:p>
      <w:pPr>
        <w:pStyle w:val="56"/>
        <w:rPr>
          <w:rFonts w:cs="Times New Roman"/>
          <w:color w:val="auto"/>
          <w:sz w:val="32"/>
        </w:rPr>
      </w:pPr>
      <w:bookmarkStart w:id="74" w:name="_Toc26491"/>
      <w:r>
        <w:rPr>
          <w:rFonts w:hint="eastAsia" w:cs="Times New Roman"/>
          <w:color w:val="auto"/>
          <w:sz w:val="32"/>
        </w:rPr>
        <w:t>4.3环保设施投资及“三同时”落实情况</w:t>
      </w:r>
      <w:bookmarkEnd w:id="74"/>
    </w:p>
    <w:p>
      <w:pPr>
        <w:adjustRightInd w:val="0"/>
        <w:snapToGrid w:val="0"/>
        <w:spacing w:line="360" w:lineRule="auto"/>
        <w:ind w:firstLine="480" w:firstLineChars="200"/>
        <w:rPr>
          <w:rFonts w:hint="eastAsia" w:ascii="Times New Roman" w:hAnsi="Times New Roman" w:eastAsia="宋体" w:cs="Times New Roman"/>
          <w:color w:val="000000" w:themeColor="text1"/>
          <w:sz w:val="24"/>
          <w:szCs w:val="24"/>
          <w:lang w:eastAsia="zh-CN"/>
        </w:rPr>
      </w:pPr>
      <w:bookmarkStart w:id="75" w:name="_Toc305059566"/>
      <w:bookmarkStart w:id="76" w:name="_Toc362535749"/>
      <w:bookmarkStart w:id="77" w:name="_Toc341293110"/>
      <w:bookmarkStart w:id="78" w:name="_Toc341431727"/>
      <w:bookmarkStart w:id="79" w:name="_Toc361646653"/>
      <w:bookmarkStart w:id="80" w:name="_Toc332553920"/>
      <w:bookmarkStart w:id="81" w:name="_Toc341278425"/>
      <w:bookmarkStart w:id="82" w:name="_Toc361841101"/>
      <w:bookmarkStart w:id="83" w:name="_Toc321042419"/>
      <w:bookmarkStart w:id="84" w:name="_Toc341357474"/>
      <w:r>
        <w:rPr>
          <w:rFonts w:hint="eastAsia" w:ascii="Times New Roman" w:hAnsi="Times New Roman" w:eastAsia="宋体" w:cs="Times New Roman"/>
          <w:color w:val="000000" w:themeColor="text1"/>
          <w:sz w:val="24"/>
          <w:szCs w:val="24"/>
          <w:lang w:eastAsia="zh-CN"/>
        </w:rPr>
        <w:t>本项目做到了环保设施与主体工程同时设计、同时施工、同时投入运行，严格执行了环境保护“三同时”制度。</w:t>
      </w:r>
    </w:p>
    <w:p>
      <w:pPr>
        <w:adjustRightInd w:val="0"/>
        <w:snapToGrid w:val="0"/>
        <w:spacing w:line="360" w:lineRule="auto"/>
        <w:ind w:firstLine="480" w:firstLineChars="200"/>
        <w:rPr>
          <w:rFonts w:hint="eastAsia" w:ascii="Times New Roman" w:hAnsi="Times New Roman" w:eastAsia="宋体" w:cs="Times New Roman"/>
          <w:color w:val="000000" w:themeColor="text1"/>
          <w:sz w:val="24"/>
          <w:szCs w:val="24"/>
          <w:lang w:eastAsia="zh-CN"/>
        </w:rPr>
      </w:pPr>
      <w:r>
        <w:rPr>
          <w:rFonts w:hint="eastAsia" w:ascii="Times New Roman" w:hAnsi="Times New Roman" w:eastAsia="宋体" w:cs="Times New Roman"/>
          <w:color w:val="000000" w:themeColor="text1"/>
          <w:sz w:val="24"/>
          <w:szCs w:val="24"/>
          <w:lang w:eastAsia="zh-CN"/>
        </w:rPr>
        <w:t>工程实际环保投资情况见表4-1。</w:t>
      </w:r>
    </w:p>
    <w:p>
      <w:pPr>
        <w:spacing w:line="480" w:lineRule="auto"/>
        <w:jc w:val="center"/>
        <w:rPr>
          <w:b/>
          <w:bCs/>
          <w:sz w:val="24"/>
          <w:szCs w:val="24"/>
        </w:rPr>
      </w:pPr>
      <w:r>
        <w:rPr>
          <w:rFonts w:hint="eastAsia"/>
          <w:b/>
          <w:bCs/>
          <w:sz w:val="24"/>
          <w:szCs w:val="24"/>
        </w:rPr>
        <w:t>表4-1    实际环保投资一览表</w:t>
      </w:r>
    </w:p>
    <w:tbl>
      <w:tblPr>
        <w:tblStyle w:val="24"/>
        <w:tblW w:w="928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101"/>
        <w:gridCol w:w="5089"/>
        <w:gridCol w:w="309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1101" w:type="dxa"/>
            <w:vAlign w:val="center"/>
          </w:tcPr>
          <w:p>
            <w:pPr>
              <w:widowControl/>
              <w:jc w:val="center"/>
              <w:rPr>
                <w:szCs w:val="21"/>
              </w:rPr>
            </w:pPr>
            <w:r>
              <w:rPr>
                <w:rFonts w:hint="eastAsia"/>
                <w:szCs w:val="21"/>
              </w:rPr>
              <w:t>序号</w:t>
            </w:r>
          </w:p>
        </w:tc>
        <w:tc>
          <w:tcPr>
            <w:tcW w:w="5089" w:type="dxa"/>
            <w:vAlign w:val="center"/>
          </w:tcPr>
          <w:p>
            <w:pPr>
              <w:widowControl/>
              <w:jc w:val="center"/>
              <w:rPr>
                <w:szCs w:val="21"/>
              </w:rPr>
            </w:pPr>
            <w:r>
              <w:rPr>
                <w:rFonts w:hint="eastAsia"/>
                <w:szCs w:val="21"/>
              </w:rPr>
              <w:t>名称</w:t>
            </w:r>
          </w:p>
        </w:tc>
        <w:tc>
          <w:tcPr>
            <w:tcW w:w="3096" w:type="dxa"/>
            <w:vAlign w:val="center"/>
          </w:tcPr>
          <w:p>
            <w:pPr>
              <w:widowControl/>
              <w:jc w:val="center"/>
              <w:rPr>
                <w:szCs w:val="21"/>
              </w:rPr>
            </w:pPr>
            <w:r>
              <w:rPr>
                <w:rFonts w:hint="eastAsia"/>
                <w:szCs w:val="21"/>
              </w:rPr>
              <w:t>金额（万元）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1101" w:type="dxa"/>
            <w:vAlign w:val="center"/>
          </w:tcPr>
          <w:p>
            <w:pPr>
              <w:widowControl/>
              <w:jc w:val="center"/>
              <w:rPr>
                <w:szCs w:val="21"/>
              </w:rPr>
            </w:pPr>
            <w:r>
              <w:rPr>
                <w:rFonts w:hint="eastAsia"/>
                <w:szCs w:val="21"/>
              </w:rPr>
              <w:t>1</w:t>
            </w:r>
          </w:p>
        </w:tc>
        <w:tc>
          <w:tcPr>
            <w:tcW w:w="5089" w:type="dxa"/>
            <w:vAlign w:val="center"/>
          </w:tcPr>
          <w:p>
            <w:pPr>
              <w:widowControl/>
              <w:jc w:val="center"/>
              <w:rPr>
                <w:szCs w:val="21"/>
              </w:rPr>
            </w:pPr>
            <w:r>
              <w:rPr>
                <w:rFonts w:hint="eastAsia"/>
                <w:szCs w:val="21"/>
              </w:rPr>
              <w:t>生化池及雨污管网系统</w:t>
            </w:r>
          </w:p>
        </w:tc>
        <w:tc>
          <w:tcPr>
            <w:tcW w:w="3096" w:type="dxa"/>
            <w:vAlign w:val="center"/>
          </w:tcPr>
          <w:p>
            <w:pPr>
              <w:widowControl/>
              <w:jc w:val="center"/>
              <w:rPr>
                <w:rFonts w:hint="default" w:eastAsia="宋体"/>
                <w:szCs w:val="21"/>
                <w:lang w:val="en-US" w:eastAsia="zh-CN"/>
              </w:rPr>
            </w:pPr>
            <w:r>
              <w:rPr>
                <w:rFonts w:hint="eastAsia"/>
                <w:szCs w:val="21"/>
                <w:lang w:val="en-US" w:eastAsia="zh-CN"/>
              </w:rPr>
              <w:t>60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1101" w:type="dxa"/>
            <w:vAlign w:val="center"/>
          </w:tcPr>
          <w:p>
            <w:pPr>
              <w:widowControl/>
              <w:jc w:val="center"/>
              <w:rPr>
                <w:szCs w:val="21"/>
              </w:rPr>
            </w:pPr>
            <w:r>
              <w:rPr>
                <w:rFonts w:hint="eastAsia"/>
                <w:szCs w:val="21"/>
              </w:rPr>
              <w:t>2</w:t>
            </w:r>
          </w:p>
        </w:tc>
        <w:tc>
          <w:tcPr>
            <w:tcW w:w="5089" w:type="dxa"/>
            <w:vAlign w:val="center"/>
          </w:tcPr>
          <w:p>
            <w:pPr>
              <w:widowControl/>
              <w:jc w:val="center"/>
              <w:rPr>
                <w:szCs w:val="21"/>
              </w:rPr>
            </w:pPr>
            <w:r>
              <w:rPr>
                <w:rFonts w:hint="eastAsia"/>
                <w:szCs w:val="21"/>
              </w:rPr>
              <w:t>停车场抽排风系统</w:t>
            </w:r>
          </w:p>
        </w:tc>
        <w:tc>
          <w:tcPr>
            <w:tcW w:w="3096" w:type="dxa"/>
            <w:vAlign w:val="center"/>
          </w:tcPr>
          <w:p>
            <w:pPr>
              <w:widowControl/>
              <w:jc w:val="center"/>
              <w:rPr>
                <w:rFonts w:hint="default" w:eastAsia="宋体"/>
                <w:szCs w:val="21"/>
                <w:lang w:val="en-US" w:eastAsia="zh-CN"/>
              </w:rPr>
            </w:pPr>
            <w:r>
              <w:rPr>
                <w:rFonts w:hint="eastAsia"/>
                <w:szCs w:val="21"/>
                <w:lang w:val="en-US" w:eastAsia="zh-CN"/>
              </w:rPr>
              <w:t>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1101" w:type="dxa"/>
            <w:vAlign w:val="center"/>
          </w:tcPr>
          <w:p>
            <w:pPr>
              <w:widowControl/>
              <w:jc w:val="center"/>
              <w:rPr>
                <w:szCs w:val="21"/>
              </w:rPr>
            </w:pPr>
            <w:r>
              <w:rPr>
                <w:rFonts w:hint="eastAsia"/>
                <w:szCs w:val="21"/>
              </w:rPr>
              <w:t>3</w:t>
            </w:r>
          </w:p>
        </w:tc>
        <w:tc>
          <w:tcPr>
            <w:tcW w:w="5089" w:type="dxa"/>
            <w:vAlign w:val="center"/>
          </w:tcPr>
          <w:p>
            <w:pPr>
              <w:widowControl/>
              <w:jc w:val="center"/>
              <w:rPr>
                <w:szCs w:val="21"/>
              </w:rPr>
            </w:pPr>
            <w:r>
              <w:rPr>
                <w:rFonts w:hint="eastAsia"/>
                <w:szCs w:val="21"/>
              </w:rPr>
              <w:t>专用烟道</w:t>
            </w:r>
          </w:p>
        </w:tc>
        <w:tc>
          <w:tcPr>
            <w:tcW w:w="3096" w:type="dxa"/>
            <w:vAlign w:val="center"/>
          </w:tcPr>
          <w:p>
            <w:pPr>
              <w:widowControl/>
              <w:jc w:val="center"/>
              <w:rPr>
                <w:szCs w:val="21"/>
              </w:rPr>
            </w:pPr>
            <w:r>
              <w:rPr>
                <w:rFonts w:hint="eastAsia"/>
                <w:szCs w:val="21"/>
                <w:lang w:val="en-US" w:eastAsia="zh-CN"/>
              </w:rPr>
              <w:t>2</w:t>
            </w:r>
            <w:r>
              <w:rPr>
                <w:rFonts w:hint="eastAsia"/>
                <w:szCs w:val="21"/>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1101" w:type="dxa"/>
            <w:vAlign w:val="center"/>
          </w:tcPr>
          <w:p>
            <w:pPr>
              <w:widowControl/>
              <w:jc w:val="center"/>
              <w:rPr>
                <w:szCs w:val="21"/>
              </w:rPr>
            </w:pPr>
            <w:r>
              <w:rPr>
                <w:rFonts w:hint="eastAsia"/>
                <w:szCs w:val="21"/>
              </w:rPr>
              <w:t>4</w:t>
            </w:r>
          </w:p>
        </w:tc>
        <w:tc>
          <w:tcPr>
            <w:tcW w:w="5089" w:type="dxa"/>
            <w:vAlign w:val="center"/>
          </w:tcPr>
          <w:p>
            <w:pPr>
              <w:widowControl/>
              <w:jc w:val="center"/>
              <w:rPr>
                <w:szCs w:val="21"/>
              </w:rPr>
            </w:pPr>
            <w:r>
              <w:rPr>
                <w:rFonts w:hint="eastAsia"/>
                <w:szCs w:val="21"/>
              </w:rPr>
              <w:t>水泵发电机等减震措施</w:t>
            </w:r>
          </w:p>
        </w:tc>
        <w:tc>
          <w:tcPr>
            <w:tcW w:w="3096" w:type="dxa"/>
            <w:vAlign w:val="center"/>
          </w:tcPr>
          <w:p>
            <w:pPr>
              <w:widowControl/>
              <w:jc w:val="center"/>
              <w:rPr>
                <w:rFonts w:hint="default" w:eastAsia="宋体"/>
                <w:szCs w:val="21"/>
                <w:lang w:val="en-US" w:eastAsia="zh-CN"/>
              </w:rPr>
            </w:pPr>
            <w:r>
              <w:rPr>
                <w:rFonts w:hint="eastAsia"/>
                <w:szCs w:val="21"/>
                <w:lang w:val="en-US" w:eastAsia="zh-CN"/>
              </w:rPr>
              <w:t>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1101" w:type="dxa"/>
            <w:vAlign w:val="center"/>
          </w:tcPr>
          <w:p>
            <w:pPr>
              <w:widowControl/>
              <w:jc w:val="center"/>
              <w:rPr>
                <w:szCs w:val="21"/>
              </w:rPr>
            </w:pPr>
            <w:r>
              <w:rPr>
                <w:rFonts w:hint="eastAsia"/>
                <w:szCs w:val="21"/>
              </w:rPr>
              <w:t>5</w:t>
            </w:r>
          </w:p>
        </w:tc>
        <w:tc>
          <w:tcPr>
            <w:tcW w:w="5089" w:type="dxa"/>
            <w:vAlign w:val="center"/>
          </w:tcPr>
          <w:p>
            <w:pPr>
              <w:widowControl/>
              <w:jc w:val="center"/>
              <w:rPr>
                <w:szCs w:val="21"/>
              </w:rPr>
            </w:pPr>
            <w:r>
              <w:rPr>
                <w:rFonts w:hint="eastAsia"/>
                <w:szCs w:val="21"/>
              </w:rPr>
              <w:t>垃圾收集桶</w:t>
            </w:r>
          </w:p>
        </w:tc>
        <w:tc>
          <w:tcPr>
            <w:tcW w:w="3096" w:type="dxa"/>
            <w:vAlign w:val="center"/>
          </w:tcPr>
          <w:p>
            <w:pPr>
              <w:widowControl/>
              <w:jc w:val="center"/>
              <w:rPr>
                <w:rFonts w:hint="eastAsia" w:eastAsia="宋体"/>
                <w:szCs w:val="21"/>
                <w:lang w:eastAsia="zh-CN"/>
              </w:rPr>
            </w:pPr>
            <w:r>
              <w:rPr>
                <w:rFonts w:hint="eastAsia"/>
                <w:szCs w:val="21"/>
                <w:lang w:val="en-US" w:eastAsia="zh-CN"/>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1101" w:type="dxa"/>
            <w:vAlign w:val="center"/>
          </w:tcPr>
          <w:p>
            <w:pPr>
              <w:widowControl/>
              <w:tabs>
                <w:tab w:val="left" w:pos="630"/>
              </w:tabs>
              <w:jc w:val="center"/>
              <w:rPr>
                <w:szCs w:val="21"/>
              </w:rPr>
            </w:pPr>
            <w:r>
              <w:rPr>
                <w:rFonts w:hint="eastAsia"/>
                <w:szCs w:val="21"/>
              </w:rPr>
              <w:t>6</w:t>
            </w:r>
          </w:p>
        </w:tc>
        <w:tc>
          <w:tcPr>
            <w:tcW w:w="5089" w:type="dxa"/>
            <w:vAlign w:val="center"/>
          </w:tcPr>
          <w:p>
            <w:pPr>
              <w:widowControl/>
              <w:jc w:val="center"/>
              <w:rPr>
                <w:szCs w:val="21"/>
              </w:rPr>
            </w:pPr>
            <w:r>
              <w:rPr>
                <w:rFonts w:hint="eastAsia"/>
                <w:szCs w:val="21"/>
              </w:rPr>
              <w:t>绿化</w:t>
            </w:r>
          </w:p>
        </w:tc>
        <w:tc>
          <w:tcPr>
            <w:tcW w:w="3096" w:type="dxa"/>
            <w:vAlign w:val="center"/>
          </w:tcPr>
          <w:p>
            <w:pPr>
              <w:widowControl/>
              <w:jc w:val="center"/>
              <w:rPr>
                <w:rFonts w:hint="default" w:eastAsia="宋体"/>
                <w:szCs w:val="21"/>
                <w:lang w:val="en-US" w:eastAsia="zh-CN"/>
              </w:rPr>
            </w:pPr>
            <w:r>
              <w:rPr>
                <w:rFonts w:hint="eastAsia"/>
                <w:szCs w:val="21"/>
                <w:lang w:val="en-US" w:eastAsia="zh-CN"/>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1101" w:type="dxa"/>
            <w:vAlign w:val="center"/>
          </w:tcPr>
          <w:p>
            <w:pPr>
              <w:widowControl/>
              <w:tabs>
                <w:tab w:val="left" w:pos="630"/>
              </w:tabs>
              <w:jc w:val="center"/>
              <w:rPr>
                <w:szCs w:val="21"/>
              </w:rPr>
            </w:pPr>
            <w:r>
              <w:rPr>
                <w:rFonts w:hint="eastAsia"/>
                <w:szCs w:val="21"/>
              </w:rPr>
              <w:t>7</w:t>
            </w:r>
          </w:p>
        </w:tc>
        <w:tc>
          <w:tcPr>
            <w:tcW w:w="5089" w:type="dxa"/>
            <w:vAlign w:val="center"/>
          </w:tcPr>
          <w:p>
            <w:pPr>
              <w:widowControl/>
              <w:jc w:val="center"/>
              <w:rPr>
                <w:szCs w:val="21"/>
              </w:rPr>
            </w:pPr>
            <w:r>
              <w:rPr>
                <w:rFonts w:hint="eastAsia"/>
                <w:szCs w:val="21"/>
              </w:rPr>
              <w:t>合计</w:t>
            </w:r>
          </w:p>
        </w:tc>
        <w:tc>
          <w:tcPr>
            <w:tcW w:w="3096" w:type="dxa"/>
            <w:vAlign w:val="center"/>
          </w:tcPr>
          <w:p>
            <w:pPr>
              <w:widowControl/>
              <w:jc w:val="center"/>
              <w:rPr>
                <w:rFonts w:hint="default" w:eastAsia="宋体"/>
                <w:szCs w:val="21"/>
                <w:lang w:val="en-US" w:eastAsia="zh-CN"/>
              </w:rPr>
            </w:pPr>
            <w:r>
              <w:rPr>
                <w:rFonts w:hint="eastAsia"/>
                <w:szCs w:val="21"/>
                <w:lang w:val="en-US" w:eastAsia="zh-CN"/>
              </w:rPr>
              <w:t>161</w:t>
            </w:r>
          </w:p>
        </w:tc>
      </w:tr>
    </w:tbl>
    <w:p>
      <w:pPr>
        <w:widowControl/>
        <w:jc w:val="left"/>
        <w:rPr>
          <w:b/>
          <w:bCs/>
          <w:kern w:val="0"/>
          <w:sz w:val="36"/>
          <w:szCs w:val="20"/>
        </w:rPr>
      </w:pPr>
      <w:r>
        <w:rPr>
          <w:sz w:val="36"/>
        </w:rPr>
        <w:br w:type="page"/>
      </w:r>
    </w:p>
    <w:p>
      <w:pPr>
        <w:pStyle w:val="55"/>
        <w:spacing w:beforeLines="50"/>
        <w:rPr>
          <w:rFonts w:cs="Times New Roman"/>
          <w:sz w:val="36"/>
        </w:rPr>
      </w:pPr>
      <w:bookmarkStart w:id="85" w:name="_Toc2452"/>
      <w:r>
        <w:rPr>
          <w:rFonts w:hint="eastAsia" w:cs="Times New Roman"/>
          <w:sz w:val="36"/>
        </w:rPr>
        <w:t>5</w:t>
      </w:r>
      <w:r>
        <w:rPr>
          <w:rFonts w:cs="Times New Roman"/>
          <w:sz w:val="36"/>
        </w:rPr>
        <w:t xml:space="preserve"> </w:t>
      </w:r>
      <w:bookmarkEnd w:id="75"/>
      <w:bookmarkEnd w:id="76"/>
      <w:bookmarkEnd w:id="77"/>
      <w:bookmarkEnd w:id="78"/>
      <w:bookmarkEnd w:id="79"/>
      <w:bookmarkEnd w:id="80"/>
      <w:bookmarkEnd w:id="81"/>
      <w:bookmarkEnd w:id="82"/>
      <w:bookmarkEnd w:id="83"/>
      <w:bookmarkEnd w:id="84"/>
      <w:r>
        <w:rPr>
          <w:rFonts w:hint="eastAsia" w:cs="Times New Roman"/>
          <w:sz w:val="36"/>
        </w:rPr>
        <w:t>建设项目环评</w:t>
      </w:r>
      <w:r>
        <w:rPr>
          <w:rFonts w:hint="eastAsia" w:cs="Times New Roman"/>
          <w:sz w:val="36"/>
          <w:lang w:eastAsia="zh-CN"/>
        </w:rPr>
        <w:t>报告表</w:t>
      </w:r>
      <w:r>
        <w:rPr>
          <w:rFonts w:hint="eastAsia" w:cs="Times New Roman"/>
          <w:sz w:val="36"/>
        </w:rPr>
        <w:t>的主要结论及审批部门审批决定</w:t>
      </w:r>
      <w:bookmarkEnd w:id="85"/>
    </w:p>
    <w:p>
      <w:pPr>
        <w:pStyle w:val="56"/>
        <w:rPr>
          <w:rFonts w:cs="Times New Roman"/>
          <w:sz w:val="32"/>
        </w:rPr>
      </w:pPr>
      <w:bookmarkStart w:id="86" w:name="_Toc362535750"/>
      <w:bookmarkStart w:id="87" w:name="_Toc305059567"/>
      <w:bookmarkStart w:id="88" w:name="_Toc321042420"/>
      <w:bookmarkStart w:id="89" w:name="_Toc332553921"/>
      <w:bookmarkStart w:id="90" w:name="_Toc341278426"/>
      <w:bookmarkStart w:id="91" w:name="_Toc341293111"/>
      <w:bookmarkStart w:id="92" w:name="_Toc341357475"/>
      <w:bookmarkStart w:id="93" w:name="_Toc341431728"/>
      <w:bookmarkStart w:id="94" w:name="_Toc361646654"/>
      <w:bookmarkStart w:id="95" w:name="_Toc361841102"/>
      <w:bookmarkStart w:id="96" w:name="_Toc32374"/>
      <w:r>
        <w:rPr>
          <w:rFonts w:hint="eastAsia" w:cs="Times New Roman"/>
          <w:sz w:val="32"/>
        </w:rPr>
        <w:t>5</w:t>
      </w:r>
      <w:r>
        <w:rPr>
          <w:rFonts w:cs="Times New Roman"/>
          <w:sz w:val="32"/>
        </w:rPr>
        <w:t xml:space="preserve">.1 </w:t>
      </w:r>
      <w:bookmarkEnd w:id="86"/>
      <w:bookmarkEnd w:id="87"/>
      <w:bookmarkEnd w:id="88"/>
      <w:bookmarkEnd w:id="89"/>
      <w:bookmarkEnd w:id="90"/>
      <w:bookmarkEnd w:id="91"/>
      <w:bookmarkEnd w:id="92"/>
      <w:bookmarkEnd w:id="93"/>
      <w:bookmarkEnd w:id="94"/>
      <w:bookmarkEnd w:id="95"/>
      <w:r>
        <w:rPr>
          <w:rFonts w:hint="eastAsia" w:cs="Times New Roman"/>
          <w:sz w:val="32"/>
        </w:rPr>
        <w:t>建设项目环评</w:t>
      </w:r>
      <w:r>
        <w:rPr>
          <w:rFonts w:hint="eastAsia" w:cs="Times New Roman"/>
          <w:sz w:val="32"/>
          <w:lang w:eastAsia="zh-CN"/>
        </w:rPr>
        <w:t>报告表</w:t>
      </w:r>
      <w:r>
        <w:rPr>
          <w:rFonts w:hint="eastAsia" w:cs="Times New Roman"/>
          <w:sz w:val="32"/>
        </w:rPr>
        <w:t>的主要结论与建议</w:t>
      </w:r>
      <w:bookmarkEnd w:id="96"/>
    </w:p>
    <w:p>
      <w:pPr>
        <w:adjustRightInd w:val="0"/>
        <w:snapToGrid w:val="0"/>
        <w:spacing w:line="540" w:lineRule="exact"/>
        <w:rPr>
          <w:rFonts w:hint="eastAsia" w:eastAsia="宋体"/>
          <w:b/>
          <w:sz w:val="28"/>
          <w:szCs w:val="28"/>
          <w:lang w:val="en-IE" w:eastAsia="zh-CN"/>
        </w:rPr>
      </w:pPr>
      <w:r>
        <w:rPr>
          <w:rFonts w:hint="eastAsia"/>
          <w:b/>
          <w:sz w:val="28"/>
          <w:szCs w:val="28"/>
          <w:lang w:val="en-IE"/>
        </w:rPr>
        <w:t>5.1.1</w:t>
      </w:r>
      <w:r>
        <w:rPr>
          <w:rFonts w:hint="eastAsia"/>
          <w:b/>
          <w:sz w:val="28"/>
          <w:szCs w:val="28"/>
          <w:lang w:val="en-IE" w:eastAsia="zh-CN"/>
        </w:rPr>
        <w:t>项目概况</w:t>
      </w:r>
    </w:p>
    <w:p>
      <w:pPr>
        <w:pStyle w:val="75"/>
        <w:rPr>
          <w:rFonts w:hint="eastAsia" w:hAnsi="宋体"/>
          <w:bCs/>
          <w:sz w:val="28"/>
          <w:szCs w:val="28"/>
          <w:lang w:eastAsia="zh-CN"/>
        </w:rPr>
      </w:pPr>
      <w:r>
        <w:rPr>
          <w:rFonts w:hint="eastAsia"/>
          <w:b w:val="0"/>
          <w:bCs/>
          <w:color w:val="auto"/>
          <w:lang w:val="en-US"/>
        </w:rPr>
        <w:t>重庆市万州区鸿鸥地产发展有限公司</w:t>
      </w:r>
      <w:r>
        <w:rPr>
          <w:rFonts w:hint="eastAsia"/>
          <w:b w:val="0"/>
          <w:color w:val="auto"/>
        </w:rPr>
        <w:t>“</w:t>
      </w:r>
      <w:r>
        <w:rPr>
          <w:rFonts w:hint="eastAsia"/>
          <w:b w:val="0"/>
          <w:bCs/>
          <w:color w:val="auto"/>
          <w:lang w:val="en-US" w:eastAsia="zh-CN"/>
        </w:rPr>
        <w:t>山屿城项目</w:t>
      </w:r>
      <w:r>
        <w:rPr>
          <w:rFonts w:hint="eastAsia"/>
          <w:b w:val="0"/>
          <w:color w:val="auto"/>
        </w:rPr>
        <w:t>”位于</w:t>
      </w:r>
      <w:r>
        <w:rPr>
          <w:rFonts w:hint="eastAsia"/>
          <w:b w:val="0"/>
          <w:color w:val="auto"/>
          <w:lang w:val="en-US" w:eastAsia="zh-CN"/>
        </w:rPr>
        <w:t>重庆市万州区牌楼街道石峰村</w:t>
      </w:r>
      <w:r>
        <w:rPr>
          <w:rFonts w:hint="eastAsia"/>
          <w:b w:val="0"/>
          <w:bCs/>
          <w:color w:val="auto"/>
          <w:lang w:val="en-US"/>
        </w:rPr>
        <w:t>，项目</w:t>
      </w:r>
      <w:r>
        <w:rPr>
          <w:b w:val="0"/>
          <w:bCs/>
          <w:color w:val="auto"/>
          <w:lang w:val="en-US"/>
        </w:rPr>
        <w:t>总用地面积约</w:t>
      </w:r>
      <w:r>
        <w:rPr>
          <w:rFonts w:hint="eastAsia"/>
          <w:b w:val="0"/>
          <w:bCs/>
          <w:color w:val="auto"/>
          <w:lang w:val="en-US"/>
        </w:rPr>
        <w:t>101898.00</w:t>
      </w:r>
      <w:r>
        <w:rPr>
          <w:b w:val="0"/>
          <w:bCs/>
          <w:color w:val="auto"/>
          <w:lang w:val="en-US"/>
        </w:rPr>
        <w:t>m</w:t>
      </w:r>
      <w:r>
        <w:rPr>
          <w:b w:val="0"/>
          <w:bCs/>
          <w:color w:val="auto"/>
          <w:vertAlign w:val="superscript"/>
          <w:lang w:val="en-US"/>
        </w:rPr>
        <w:t>2</w:t>
      </w:r>
      <w:r>
        <w:rPr>
          <w:b w:val="0"/>
          <w:bCs/>
          <w:color w:val="auto"/>
          <w:lang w:val="en-US"/>
        </w:rPr>
        <w:t>，总建筑面积为</w:t>
      </w:r>
      <w:r>
        <w:rPr>
          <w:rFonts w:hint="eastAsia"/>
          <w:b w:val="0"/>
          <w:bCs/>
          <w:color w:val="auto"/>
          <w:lang w:val="en-US"/>
        </w:rPr>
        <w:t xml:space="preserve">338000 </w:t>
      </w:r>
      <w:r>
        <w:rPr>
          <w:b w:val="0"/>
          <w:bCs/>
          <w:color w:val="auto"/>
          <w:lang w:val="en-US"/>
        </w:rPr>
        <w:t>m</w:t>
      </w:r>
      <w:r>
        <w:rPr>
          <w:b w:val="0"/>
          <w:bCs/>
          <w:color w:val="auto"/>
          <w:vertAlign w:val="superscript"/>
          <w:lang w:val="en-US"/>
        </w:rPr>
        <w:t>2</w:t>
      </w:r>
      <w:r>
        <w:rPr>
          <w:rFonts w:hint="eastAsia"/>
          <w:b w:val="0"/>
          <w:bCs/>
          <w:color w:val="auto"/>
          <w:lang w:val="en-US"/>
        </w:rPr>
        <w:t>，</w:t>
      </w:r>
      <w:r>
        <w:rPr>
          <w:rFonts w:hint="eastAsia"/>
          <w:b w:val="0"/>
          <w:color w:val="auto"/>
          <w:lang w:val="en-US"/>
        </w:rPr>
        <w:t>建设10栋高层住宅楼、12栋多层住宅楼、1栋独栋商业楼、1处商业裙楼及配套设施，</w:t>
      </w:r>
      <w:r>
        <w:rPr>
          <w:rFonts w:hint="eastAsia"/>
          <w:b w:val="0"/>
          <w:bCs/>
          <w:color w:val="auto"/>
          <w:lang w:val="en-US"/>
        </w:rPr>
        <w:t>设计</w:t>
      </w:r>
      <w:r>
        <w:rPr>
          <w:b w:val="0"/>
          <w:bCs/>
          <w:color w:val="auto"/>
          <w:lang w:val="en-US"/>
        </w:rPr>
        <w:t>居住户数共计</w:t>
      </w:r>
      <w:r>
        <w:rPr>
          <w:rFonts w:hint="eastAsia"/>
          <w:b w:val="0"/>
          <w:bCs/>
          <w:color w:val="auto"/>
          <w:lang w:val="en-US"/>
        </w:rPr>
        <w:t>2406户</w:t>
      </w:r>
      <w:r>
        <w:rPr>
          <w:b w:val="0"/>
          <w:bCs/>
          <w:color w:val="auto"/>
          <w:lang w:val="en-US"/>
        </w:rPr>
        <w:t>，</w:t>
      </w:r>
      <w:r>
        <w:rPr>
          <w:rFonts w:hint="eastAsia"/>
          <w:b w:val="0"/>
          <w:bCs/>
          <w:color w:val="auto"/>
          <w:lang w:val="en-US"/>
        </w:rPr>
        <w:t>可</w:t>
      </w:r>
      <w:r>
        <w:rPr>
          <w:b w:val="0"/>
          <w:bCs/>
          <w:color w:val="auto"/>
          <w:lang w:val="en-US"/>
        </w:rPr>
        <w:t>居住约</w:t>
      </w:r>
      <w:r>
        <w:rPr>
          <w:rFonts w:hint="eastAsia"/>
          <w:b w:val="0"/>
          <w:bCs/>
          <w:color w:val="auto"/>
          <w:lang w:val="en-US"/>
        </w:rPr>
        <w:t>7699人，容积率为</w:t>
      </w:r>
      <w:r>
        <w:rPr>
          <w:b w:val="0"/>
          <w:bCs/>
          <w:color w:val="auto"/>
          <w:lang w:val="en-US"/>
        </w:rPr>
        <w:t>2.</w:t>
      </w:r>
      <w:r>
        <w:rPr>
          <w:rFonts w:hint="eastAsia"/>
          <w:b w:val="0"/>
          <w:bCs/>
          <w:color w:val="auto"/>
          <w:lang w:val="en-US"/>
        </w:rPr>
        <w:t>494%。</w:t>
      </w:r>
      <w:r>
        <w:rPr>
          <w:b w:val="0"/>
          <w:bCs/>
          <w:color w:val="auto"/>
          <w:lang w:val="en-US"/>
        </w:rPr>
        <w:t>项目总投资约</w:t>
      </w:r>
      <w:r>
        <w:rPr>
          <w:rFonts w:hint="eastAsia"/>
          <w:b w:val="0"/>
          <w:bCs/>
          <w:color w:val="auto"/>
          <w:lang w:val="en-US"/>
        </w:rPr>
        <w:t>13亿</w:t>
      </w:r>
      <w:r>
        <w:rPr>
          <w:b w:val="0"/>
          <w:bCs/>
          <w:color w:val="auto"/>
          <w:lang w:val="en-US"/>
        </w:rPr>
        <w:t>元，</w:t>
      </w:r>
      <w:r>
        <w:rPr>
          <w:rFonts w:hint="eastAsia"/>
          <w:b w:val="0"/>
          <w:bCs/>
          <w:color w:val="auto"/>
          <w:lang w:val="en-US"/>
        </w:rPr>
        <w:t>建设工期48个月。</w:t>
      </w:r>
    </w:p>
    <w:p>
      <w:pPr>
        <w:adjustRightInd w:val="0"/>
        <w:snapToGrid w:val="0"/>
        <w:spacing w:line="540" w:lineRule="exact"/>
        <w:rPr>
          <w:rFonts w:hint="eastAsia"/>
          <w:b/>
          <w:sz w:val="28"/>
          <w:szCs w:val="28"/>
          <w:lang w:val="en-IE" w:eastAsia="zh-CN"/>
        </w:rPr>
      </w:pPr>
      <w:r>
        <w:rPr>
          <w:rFonts w:hint="eastAsia"/>
          <w:b/>
          <w:sz w:val="28"/>
          <w:szCs w:val="28"/>
          <w:lang w:val="en-IE"/>
        </w:rPr>
        <w:t>5.1.</w:t>
      </w:r>
      <w:r>
        <w:rPr>
          <w:rFonts w:hint="eastAsia"/>
          <w:b/>
          <w:sz w:val="28"/>
          <w:szCs w:val="28"/>
          <w:lang w:val="en-US" w:eastAsia="zh-CN"/>
        </w:rPr>
        <w:t>2</w:t>
      </w:r>
      <w:r>
        <w:rPr>
          <w:rFonts w:hint="eastAsia" w:ascii="Times New Roman" w:hAnsi="Times New Roman" w:eastAsia="宋体" w:cs="Times New Roman"/>
          <w:b/>
          <w:sz w:val="28"/>
          <w:szCs w:val="28"/>
          <w:lang w:val="en-IE"/>
        </w:rPr>
        <w:t>规划及产业政策符合性</w:t>
      </w:r>
    </w:p>
    <w:p>
      <w:pPr>
        <w:pStyle w:val="75"/>
        <w:rPr>
          <w:rFonts w:hint="eastAsia"/>
          <w:b w:val="0"/>
          <w:color w:val="auto"/>
          <w:lang w:val="en-US"/>
        </w:rPr>
      </w:pPr>
      <w:r>
        <w:rPr>
          <w:b w:val="0"/>
          <w:color w:val="auto"/>
          <w:lang w:val="en-US"/>
        </w:rPr>
        <w:t>根据《产业结构调整指导目录(201</w:t>
      </w:r>
      <w:r>
        <w:rPr>
          <w:rFonts w:hint="eastAsia"/>
          <w:b w:val="0"/>
          <w:color w:val="auto"/>
          <w:lang w:val="en-US"/>
        </w:rPr>
        <w:t>3</w:t>
      </w:r>
      <w:r>
        <w:rPr>
          <w:b w:val="0"/>
          <w:color w:val="auto"/>
          <w:lang w:val="en-US"/>
        </w:rPr>
        <w:t>年</w:t>
      </w:r>
      <w:r>
        <w:rPr>
          <w:rFonts w:hint="eastAsia"/>
          <w:b w:val="0"/>
          <w:color w:val="auto"/>
          <w:lang w:val="en-US"/>
        </w:rPr>
        <w:t>修正</w:t>
      </w:r>
      <w:r>
        <w:rPr>
          <w:b w:val="0"/>
          <w:color w:val="auto"/>
          <w:lang w:val="en-US"/>
        </w:rPr>
        <w:t>)》(国家发展和改革委员会2011年第9号)</w:t>
      </w:r>
      <w:r>
        <w:rPr>
          <w:rFonts w:hint="eastAsia"/>
          <w:b w:val="0"/>
          <w:color w:val="auto"/>
          <w:lang w:val="en-US"/>
        </w:rPr>
        <w:t>，本</w:t>
      </w:r>
      <w:r>
        <w:rPr>
          <w:b w:val="0"/>
          <w:color w:val="auto"/>
          <w:lang w:val="en-US"/>
        </w:rPr>
        <w:t>项目</w:t>
      </w:r>
      <w:r>
        <w:rPr>
          <w:rFonts w:hint="eastAsia"/>
          <w:b w:val="0"/>
          <w:color w:val="auto"/>
          <w:lang w:val="en-US"/>
        </w:rPr>
        <w:t>不</w:t>
      </w:r>
      <w:r>
        <w:rPr>
          <w:b w:val="0"/>
          <w:color w:val="auto"/>
          <w:lang w:val="en-US"/>
        </w:rPr>
        <w:t>属于鼓励类、限制类和淘汰类，为国家产业政策允许类项目，因此本评价认为本项目建设符合产业政策。</w:t>
      </w:r>
    </w:p>
    <w:p>
      <w:pPr>
        <w:pStyle w:val="75"/>
        <w:rPr>
          <w:rFonts w:hint="eastAsia"/>
          <w:b w:val="0"/>
          <w:color w:val="auto"/>
          <w:lang w:val="en-US"/>
        </w:rPr>
      </w:pPr>
      <w:r>
        <w:rPr>
          <w:rFonts w:hint="eastAsia"/>
          <w:b w:val="0"/>
          <w:color w:val="auto"/>
          <w:lang w:val="en-US"/>
        </w:rPr>
        <w:t>根据重庆市万州区整体用地规划，本项目所在地块属于二类居住用地(R2)，因此，本项目规划符合土地利用总体要求。</w:t>
      </w:r>
    </w:p>
    <w:p>
      <w:pPr>
        <w:adjustRightInd w:val="0"/>
        <w:snapToGrid w:val="0"/>
        <w:spacing w:line="540" w:lineRule="exact"/>
        <w:rPr>
          <w:rFonts w:hint="eastAsia"/>
          <w:b/>
          <w:sz w:val="28"/>
          <w:szCs w:val="28"/>
          <w:lang w:val="en-IE" w:eastAsia="zh-CN"/>
        </w:rPr>
      </w:pPr>
      <w:r>
        <w:rPr>
          <w:rFonts w:hint="eastAsia"/>
          <w:b/>
          <w:sz w:val="28"/>
          <w:szCs w:val="28"/>
          <w:lang w:val="en-IE"/>
        </w:rPr>
        <w:t>5.1.</w:t>
      </w:r>
      <w:r>
        <w:rPr>
          <w:rFonts w:hint="eastAsia"/>
          <w:b/>
          <w:sz w:val="28"/>
          <w:szCs w:val="28"/>
          <w:lang w:val="en-US" w:eastAsia="zh-CN"/>
        </w:rPr>
        <w:t>3</w:t>
      </w:r>
      <w:r>
        <w:rPr>
          <w:rFonts w:hint="eastAsia"/>
          <w:b/>
          <w:sz w:val="28"/>
          <w:szCs w:val="28"/>
          <w:lang w:val="en-IE" w:eastAsia="zh-CN"/>
        </w:rPr>
        <w:t>选址合理性</w:t>
      </w:r>
    </w:p>
    <w:p>
      <w:pPr>
        <w:spacing w:line="440" w:lineRule="exact"/>
        <w:ind w:firstLine="480" w:firstLineChars="200"/>
        <w:rPr>
          <w:color w:val="auto"/>
          <w:sz w:val="24"/>
          <w:szCs w:val="24"/>
        </w:rPr>
      </w:pPr>
      <w:r>
        <w:rPr>
          <w:rFonts w:hint="eastAsia"/>
          <w:color w:val="auto"/>
          <w:sz w:val="24"/>
          <w:szCs w:val="24"/>
        </w:rPr>
        <w:t>本项目的建设符合万州区城市总体规划，通过采取相应措施后，本项目建设对环境的影响较小，外环境对本项目的不利影响也能得到减轻，项目选址合理。</w:t>
      </w:r>
    </w:p>
    <w:p>
      <w:pPr>
        <w:adjustRightInd w:val="0"/>
        <w:snapToGrid w:val="0"/>
        <w:spacing w:line="540" w:lineRule="exact"/>
        <w:rPr>
          <w:rFonts w:hint="eastAsia" w:ascii="Times New Roman" w:hAnsi="Times New Roman" w:eastAsia="宋体" w:cs="Times New Roman"/>
          <w:b/>
          <w:sz w:val="28"/>
          <w:szCs w:val="28"/>
          <w:lang w:val="en-IE" w:eastAsia="zh-CN"/>
        </w:rPr>
      </w:pPr>
      <w:r>
        <w:rPr>
          <w:rFonts w:hint="eastAsia" w:ascii="Times New Roman" w:hAnsi="Times New Roman" w:eastAsia="宋体" w:cs="Times New Roman"/>
          <w:b/>
          <w:sz w:val="28"/>
          <w:szCs w:val="28"/>
          <w:lang w:val="en-IE" w:eastAsia="zh-CN"/>
        </w:rPr>
        <w:t>5.1.</w:t>
      </w:r>
      <w:r>
        <w:rPr>
          <w:rFonts w:hint="eastAsia" w:ascii="Times New Roman" w:hAnsi="Times New Roman" w:eastAsia="宋体" w:cs="Times New Roman"/>
          <w:b/>
          <w:sz w:val="28"/>
          <w:szCs w:val="28"/>
          <w:lang w:val="en-US" w:eastAsia="zh-CN"/>
        </w:rPr>
        <w:t>4</w:t>
      </w:r>
      <w:r>
        <w:rPr>
          <w:rFonts w:hint="eastAsia" w:ascii="Times New Roman" w:hAnsi="Times New Roman" w:eastAsia="宋体" w:cs="Times New Roman"/>
          <w:b/>
          <w:sz w:val="28"/>
          <w:szCs w:val="28"/>
          <w:lang w:val="en-IE" w:eastAsia="zh-CN"/>
        </w:rPr>
        <w:t>工程区域环境质量现状</w:t>
      </w:r>
    </w:p>
    <w:p>
      <w:pPr>
        <w:spacing w:line="440" w:lineRule="exact"/>
        <w:ind w:firstLine="480" w:firstLineChars="200"/>
        <w:rPr>
          <w:color w:val="auto"/>
          <w:sz w:val="24"/>
          <w:szCs w:val="24"/>
        </w:rPr>
      </w:pPr>
      <w:r>
        <w:rPr>
          <w:rFonts w:hint="eastAsia"/>
          <w:color w:val="auto"/>
          <w:sz w:val="24"/>
          <w:szCs w:val="24"/>
        </w:rPr>
        <w:t>环境空气：项目所在区域的SO</w:t>
      </w:r>
      <w:r>
        <w:rPr>
          <w:color w:val="auto"/>
          <w:sz w:val="24"/>
          <w:szCs w:val="24"/>
          <w:vertAlign w:val="subscript"/>
        </w:rPr>
        <w:t>2</w:t>
      </w:r>
      <w:r>
        <w:rPr>
          <w:rFonts w:hint="eastAsia"/>
          <w:color w:val="auto"/>
          <w:sz w:val="24"/>
          <w:szCs w:val="24"/>
        </w:rPr>
        <w:t>、N</w:t>
      </w:r>
      <w:r>
        <w:rPr>
          <w:color w:val="auto"/>
          <w:sz w:val="24"/>
          <w:szCs w:val="24"/>
        </w:rPr>
        <w:t>O</w:t>
      </w:r>
      <w:r>
        <w:rPr>
          <w:rFonts w:hint="eastAsia"/>
          <w:color w:val="auto"/>
          <w:sz w:val="24"/>
          <w:szCs w:val="24"/>
          <w:vertAlign w:val="subscript"/>
        </w:rPr>
        <w:t>2</w:t>
      </w:r>
      <w:r>
        <w:rPr>
          <w:rFonts w:hint="eastAsia"/>
          <w:color w:val="auto"/>
          <w:sz w:val="24"/>
          <w:szCs w:val="24"/>
        </w:rPr>
        <w:t>、PM</w:t>
      </w:r>
      <w:r>
        <w:rPr>
          <w:color w:val="auto"/>
          <w:sz w:val="24"/>
          <w:szCs w:val="24"/>
          <w:vertAlign w:val="subscript"/>
        </w:rPr>
        <w:t>10</w:t>
      </w:r>
      <w:r>
        <w:rPr>
          <w:rFonts w:hint="eastAsia"/>
          <w:color w:val="auto"/>
          <w:sz w:val="24"/>
          <w:szCs w:val="24"/>
        </w:rPr>
        <w:t>、</w:t>
      </w:r>
      <w:r>
        <w:rPr>
          <w:color w:val="auto"/>
          <w:sz w:val="24"/>
          <w:szCs w:val="24"/>
        </w:rPr>
        <w:t>PM</w:t>
      </w:r>
      <w:r>
        <w:rPr>
          <w:color w:val="auto"/>
          <w:sz w:val="24"/>
          <w:szCs w:val="24"/>
          <w:vertAlign w:val="subscript"/>
        </w:rPr>
        <w:t>2.5</w:t>
      </w:r>
      <w:r>
        <w:rPr>
          <w:rFonts w:hint="eastAsia"/>
          <w:color w:val="auto"/>
          <w:sz w:val="24"/>
          <w:szCs w:val="24"/>
        </w:rPr>
        <w:t>满足《环境空气质量标准》</w:t>
      </w:r>
      <w:r>
        <w:rPr>
          <w:color w:val="auto"/>
          <w:sz w:val="24"/>
          <w:szCs w:val="24"/>
        </w:rPr>
        <w:t>(</w:t>
      </w:r>
      <w:r>
        <w:rPr>
          <w:rFonts w:hint="eastAsia"/>
          <w:color w:val="auto"/>
          <w:sz w:val="24"/>
          <w:szCs w:val="24"/>
        </w:rPr>
        <w:t>GB3095-2012)中的二级标准，环境空气质量较好。</w:t>
      </w:r>
    </w:p>
    <w:p>
      <w:pPr>
        <w:spacing w:line="440" w:lineRule="exact"/>
        <w:ind w:firstLine="480" w:firstLineChars="200"/>
        <w:rPr>
          <w:color w:val="auto"/>
          <w:sz w:val="24"/>
          <w:szCs w:val="24"/>
        </w:rPr>
      </w:pPr>
      <w:r>
        <w:rPr>
          <w:rFonts w:hint="eastAsia"/>
          <w:color w:val="auto"/>
          <w:sz w:val="24"/>
          <w:szCs w:val="24"/>
        </w:rPr>
        <w:t>地表水环境：长江晒网坝断面各监测因子均满足《地表水环境质量标准》</w:t>
      </w:r>
      <w:r>
        <w:rPr>
          <w:color w:val="auto"/>
          <w:sz w:val="24"/>
          <w:szCs w:val="24"/>
        </w:rPr>
        <w:t>(</w:t>
      </w:r>
      <w:r>
        <w:rPr>
          <w:rFonts w:hint="eastAsia"/>
          <w:color w:val="auto"/>
          <w:sz w:val="24"/>
          <w:szCs w:val="24"/>
        </w:rPr>
        <w:t>GB3838-2002)III类水域标准。</w:t>
      </w:r>
    </w:p>
    <w:p>
      <w:pPr>
        <w:spacing w:line="440" w:lineRule="exact"/>
        <w:ind w:firstLine="480" w:firstLineChars="200"/>
        <w:rPr>
          <w:rFonts w:hint="eastAsia"/>
          <w:color w:val="auto"/>
          <w:sz w:val="24"/>
          <w:szCs w:val="24"/>
        </w:rPr>
      </w:pPr>
      <w:r>
        <w:rPr>
          <w:rFonts w:hint="eastAsia"/>
          <w:color w:val="auto"/>
          <w:sz w:val="24"/>
          <w:szCs w:val="24"/>
        </w:rPr>
        <w:t>声环境</w:t>
      </w:r>
      <w:r>
        <w:rPr>
          <w:color w:val="auto"/>
          <w:sz w:val="24"/>
          <w:szCs w:val="24"/>
        </w:rPr>
        <w:t>：</w:t>
      </w:r>
      <w:r>
        <w:rPr>
          <w:rFonts w:hint="eastAsia"/>
          <w:color w:val="auto"/>
          <w:sz w:val="24"/>
          <w:szCs w:val="24"/>
        </w:rPr>
        <w:t>1#监测点昼间、夜间监测值均满足《声环境质量标准》(GB3096－2008)4a类标准值；2#监测点昼间、夜间均满足《声环境质量标准》(GB3096－2008)2类标准。</w:t>
      </w:r>
    </w:p>
    <w:p>
      <w:pPr>
        <w:pStyle w:val="75"/>
        <w:ind w:firstLine="0" w:firstLineChars="0"/>
        <w:rPr>
          <w:rFonts w:hint="eastAsia" w:ascii="Times New Roman" w:hAnsi="Times New Roman" w:eastAsia="宋体" w:cs="Times New Roman"/>
          <w:b/>
          <w:kern w:val="2"/>
          <w:sz w:val="28"/>
          <w:szCs w:val="28"/>
          <w:lang w:val="en-IE" w:eastAsia="zh-CN" w:bidi="ar-SA"/>
        </w:rPr>
      </w:pPr>
      <w:r>
        <w:rPr>
          <w:rFonts w:hint="eastAsia" w:ascii="Times New Roman" w:hAnsi="Times New Roman" w:eastAsia="宋体" w:cs="Times New Roman"/>
          <w:b/>
          <w:kern w:val="2"/>
          <w:sz w:val="28"/>
          <w:szCs w:val="28"/>
          <w:lang w:val="en-IE" w:eastAsia="zh-CN" w:bidi="ar-SA"/>
        </w:rPr>
        <w:t>5.1.</w:t>
      </w:r>
      <w:r>
        <w:rPr>
          <w:rFonts w:hint="eastAsia" w:ascii="Times New Roman" w:hAnsi="Times New Roman" w:eastAsia="宋体" w:cs="Times New Roman"/>
          <w:b/>
          <w:kern w:val="2"/>
          <w:sz w:val="28"/>
          <w:szCs w:val="28"/>
          <w:lang w:val="en-US" w:eastAsia="zh-CN" w:bidi="ar-SA"/>
        </w:rPr>
        <w:t>5</w:t>
      </w:r>
      <w:r>
        <w:rPr>
          <w:rFonts w:hint="eastAsia" w:ascii="Times New Roman" w:hAnsi="Times New Roman" w:eastAsia="宋体" w:cs="Times New Roman"/>
          <w:b/>
          <w:kern w:val="2"/>
          <w:sz w:val="28"/>
          <w:szCs w:val="28"/>
          <w:lang w:val="en-IE" w:eastAsia="zh-CN" w:bidi="ar-SA"/>
        </w:rPr>
        <w:t>环境保护措施及环境影响</w:t>
      </w:r>
    </w:p>
    <w:p>
      <w:pPr>
        <w:spacing w:line="440" w:lineRule="exact"/>
        <w:ind w:firstLine="480" w:firstLineChars="200"/>
        <w:rPr>
          <w:rFonts w:hint="eastAsia"/>
          <w:color w:val="auto"/>
          <w:sz w:val="24"/>
          <w:szCs w:val="24"/>
        </w:rPr>
      </w:pPr>
      <w:r>
        <w:rPr>
          <w:rFonts w:hint="eastAsia"/>
          <w:color w:val="auto"/>
          <w:sz w:val="24"/>
          <w:szCs w:val="24"/>
          <w:lang w:eastAsia="zh-CN"/>
        </w:rPr>
        <w:t>（</w:t>
      </w:r>
      <w:r>
        <w:rPr>
          <w:rFonts w:hint="eastAsia"/>
          <w:color w:val="auto"/>
          <w:sz w:val="24"/>
          <w:szCs w:val="24"/>
          <w:lang w:val="en-US" w:eastAsia="zh-CN"/>
        </w:rPr>
        <w:t>1</w:t>
      </w:r>
      <w:r>
        <w:rPr>
          <w:rFonts w:hint="eastAsia"/>
          <w:color w:val="auto"/>
          <w:sz w:val="24"/>
          <w:szCs w:val="24"/>
          <w:lang w:eastAsia="zh-CN"/>
        </w:rPr>
        <w:t>）</w:t>
      </w:r>
      <w:r>
        <w:rPr>
          <w:rFonts w:hint="eastAsia"/>
          <w:color w:val="auto"/>
          <w:sz w:val="24"/>
          <w:szCs w:val="24"/>
        </w:rPr>
        <w:t>施工期</w:t>
      </w:r>
    </w:p>
    <w:p>
      <w:pPr>
        <w:pStyle w:val="75"/>
        <w:rPr>
          <w:rFonts w:hint="eastAsia" w:ascii="Times New Roman" w:hAnsi="Times New Roman" w:eastAsia="宋体" w:cs="Times New Roman"/>
          <w:b w:val="0"/>
          <w:color w:val="auto"/>
          <w:lang w:val="en-US"/>
        </w:rPr>
      </w:pPr>
      <w:r>
        <w:rPr>
          <w:rFonts w:hint="eastAsia" w:ascii="Times New Roman" w:hAnsi="Times New Roman" w:eastAsia="宋体" w:cs="Times New Roman"/>
          <w:b w:val="0"/>
          <w:color w:val="auto"/>
          <w:lang w:val="en-US"/>
        </w:rPr>
        <w:t>施工期主要环境问题是机械噪声、扬尘、废水以及施工场地水土流失。施工期的少量生活污水和生活垃圾对环境的影响很小，对环境的影响主要表现在施工扬尘和施工噪声。昼间施工噪声对周边环境有偶发性轻微影响，夜间施工则影响较大，应禁止夜间高噪声施工。通过加强施工管理，拟定合理的施工计划和防范措施，严格按照《重庆市环境噪声污染防治管理办法》(重庆市人民政府令第270号)、《关于控制城市扬尘污染的指导意见》、《重庆市蓝天行动实施方案(2013-2017 年)》、《重庆市碧水行动实施方案(2013-2017 年)》、《重庆市宁静行动实施方案(2013-2017 年)》的要求进行施工作业，可将其影响降到最低程度。另外，因施工建设造成的项目场地开挖弃土结构松散都容易造成水土流失。严禁未经处理排放施工废水和施工生活污水。</w:t>
      </w:r>
    </w:p>
    <w:p>
      <w:pPr>
        <w:pStyle w:val="75"/>
        <w:rPr>
          <w:rFonts w:hint="eastAsia" w:ascii="Times New Roman" w:hAnsi="Times New Roman" w:eastAsia="宋体" w:cs="Times New Roman"/>
          <w:b w:val="0"/>
          <w:color w:val="auto"/>
          <w:lang w:val="en-US"/>
        </w:rPr>
      </w:pPr>
      <w:r>
        <w:rPr>
          <w:rFonts w:hint="eastAsia" w:ascii="Times New Roman" w:hAnsi="Times New Roman" w:eastAsia="宋体" w:cs="Times New Roman"/>
          <w:b w:val="0"/>
          <w:color w:val="auto"/>
          <w:lang w:val="en-US" w:eastAsia="zh-CN"/>
        </w:rPr>
        <w:t>（2）</w:t>
      </w:r>
      <w:r>
        <w:rPr>
          <w:rFonts w:hint="eastAsia" w:ascii="Times New Roman" w:hAnsi="Times New Roman" w:eastAsia="宋体" w:cs="Times New Roman"/>
          <w:b w:val="0"/>
          <w:color w:val="auto"/>
          <w:lang w:val="en-US"/>
        </w:rPr>
        <w:t>营运期</w:t>
      </w:r>
    </w:p>
    <w:p>
      <w:pPr>
        <w:pStyle w:val="75"/>
        <w:rPr>
          <w:rFonts w:hint="eastAsia" w:ascii="Times New Roman" w:hAnsi="Times New Roman" w:eastAsia="宋体" w:cs="Times New Roman"/>
          <w:b w:val="0"/>
          <w:color w:val="auto"/>
          <w:lang w:val="en-US"/>
        </w:rPr>
      </w:pPr>
      <w:r>
        <w:rPr>
          <w:rFonts w:hint="eastAsia" w:ascii="Times New Roman" w:hAnsi="Times New Roman" w:eastAsia="宋体" w:cs="Times New Roman"/>
          <w:b w:val="0"/>
          <w:color w:val="auto"/>
          <w:lang w:val="en-US"/>
        </w:rPr>
        <w:t>① 大气污染防治措施及环境影响</w:t>
      </w:r>
    </w:p>
    <w:p>
      <w:pPr>
        <w:pStyle w:val="75"/>
        <w:rPr>
          <w:rFonts w:hint="eastAsia" w:ascii="Times New Roman" w:hAnsi="Times New Roman" w:eastAsia="宋体" w:cs="Times New Roman"/>
          <w:b w:val="0"/>
          <w:color w:val="auto"/>
          <w:lang w:val="en-US"/>
        </w:rPr>
      </w:pPr>
      <w:r>
        <w:rPr>
          <w:rFonts w:hint="eastAsia" w:ascii="Times New Roman" w:hAnsi="Times New Roman" w:eastAsia="宋体" w:cs="Times New Roman"/>
          <w:b w:val="0"/>
          <w:color w:val="auto"/>
          <w:lang w:val="en-US"/>
        </w:rPr>
        <w:t>在运营期的废气主要为餐饮油烟、车库废气以及污水处理装置的臭气、柴油发电机废气。餐饮业油烟经油烟净化器处理后由预置的专用油烟排放管道引至屋顶高空排放，不得与居民楼共用排烟道；汽车尾气经机械通风对引至室外排放；污水处理装置臭气经专用导气管沿临近建筑升顶高空排放；备用柴油发电机废气经专用管道引至屋顶排放。所有排放口均避开易受影响的建筑和人群，对环境影响小。</w:t>
      </w:r>
    </w:p>
    <w:p>
      <w:pPr>
        <w:pStyle w:val="75"/>
        <w:rPr>
          <w:rFonts w:hint="eastAsia" w:ascii="Times New Roman" w:hAnsi="Times New Roman" w:eastAsia="宋体" w:cs="Times New Roman"/>
          <w:b w:val="0"/>
          <w:color w:val="auto"/>
          <w:lang w:val="en-US"/>
        </w:rPr>
      </w:pPr>
      <w:r>
        <w:rPr>
          <w:rFonts w:hint="eastAsia" w:ascii="Times New Roman" w:hAnsi="Times New Roman" w:eastAsia="宋体" w:cs="Times New Roman"/>
          <w:b w:val="0"/>
          <w:color w:val="auto"/>
          <w:lang w:val="en-US"/>
        </w:rPr>
        <w:t>② 地表水污染防治措施及环境影响</w:t>
      </w:r>
    </w:p>
    <w:p>
      <w:pPr>
        <w:pStyle w:val="75"/>
        <w:rPr>
          <w:rFonts w:hint="eastAsia" w:ascii="Times New Roman" w:hAnsi="Times New Roman" w:eastAsia="宋体" w:cs="Times New Roman"/>
          <w:b w:val="0"/>
          <w:color w:val="auto"/>
          <w:lang w:val="en-US"/>
        </w:rPr>
      </w:pPr>
      <w:r>
        <w:rPr>
          <w:rFonts w:hint="eastAsia" w:ascii="Times New Roman" w:hAnsi="Times New Roman" w:eastAsia="宋体" w:cs="Times New Roman"/>
          <w:b w:val="0"/>
          <w:color w:val="auto"/>
          <w:lang w:val="en-US"/>
        </w:rPr>
        <w:t>项目室外排水系统采用雨水、污水分流排水系统。项目建成投入使用后，废水排放主要为小区居民生活污水、商业用房的餐饮废水。项目商业用房中餐饮废水经隔油处理，再同项目商业用房产生的生活污水一并经生化池处理后，达到《污水综合排放标准》(GB8978-1996)三级标准；纯住宅生活污水一起经预处理后，达到《污水综合排放标准》(GB8978-1996)三级标准；最后项目污废水均排入市政污水管网进入明镜滩污水处理厂处理达《城镇污水处理厂污染物排放标准》(GB18918－2002)一级B标排入长江。</w:t>
      </w:r>
    </w:p>
    <w:p>
      <w:pPr>
        <w:pStyle w:val="75"/>
        <w:rPr>
          <w:rFonts w:hint="eastAsia" w:ascii="Times New Roman" w:hAnsi="Times New Roman" w:eastAsia="宋体" w:cs="Times New Roman"/>
          <w:b w:val="0"/>
          <w:color w:val="auto"/>
          <w:lang w:val="en-US"/>
        </w:rPr>
      </w:pPr>
      <w:r>
        <w:rPr>
          <w:rFonts w:hint="eastAsia" w:ascii="Times New Roman" w:hAnsi="Times New Roman" w:eastAsia="宋体" w:cs="Times New Roman"/>
          <w:b w:val="0"/>
          <w:color w:val="auto"/>
          <w:lang w:val="en-US"/>
        </w:rPr>
        <w:t>采取上述措施，营运期废水对地表水环境影响小，可接受。</w:t>
      </w:r>
    </w:p>
    <w:p>
      <w:pPr>
        <w:pStyle w:val="75"/>
        <w:rPr>
          <w:rFonts w:hint="eastAsia" w:ascii="Times New Roman" w:hAnsi="Times New Roman" w:eastAsia="宋体" w:cs="Times New Roman"/>
          <w:b w:val="0"/>
          <w:color w:val="auto"/>
          <w:lang w:val="en-US"/>
        </w:rPr>
      </w:pPr>
      <w:r>
        <w:rPr>
          <w:rFonts w:hint="eastAsia" w:ascii="Times New Roman" w:hAnsi="Times New Roman" w:eastAsia="宋体" w:cs="Times New Roman"/>
          <w:b w:val="0"/>
          <w:color w:val="auto"/>
          <w:lang w:val="en-US"/>
        </w:rPr>
        <w:t>③ 噪声污染防治措施及环境影响</w:t>
      </w:r>
    </w:p>
    <w:p>
      <w:pPr>
        <w:pStyle w:val="75"/>
        <w:rPr>
          <w:rFonts w:hint="eastAsia" w:ascii="Times New Roman" w:hAnsi="Times New Roman" w:eastAsia="宋体" w:cs="Times New Roman"/>
          <w:b w:val="0"/>
          <w:color w:val="auto"/>
          <w:lang w:val="en-US"/>
        </w:rPr>
      </w:pPr>
      <w:r>
        <w:rPr>
          <w:rFonts w:hint="eastAsia" w:ascii="Times New Roman" w:hAnsi="Times New Roman" w:eastAsia="宋体" w:cs="Times New Roman"/>
          <w:b w:val="0"/>
          <w:color w:val="auto"/>
          <w:lang w:val="en-US"/>
        </w:rPr>
        <w:t>项目投入使用后，柴油发电机、水泵、风机等工作产生的噪声，汽车的交通噪声，以及商铺营业的社会活动噪声等。本项目只是在临时停电时才启用噪声值较大的柴油发电机，并且柴油发电机位于地下车库负一层内，做隔声处理并在尾气排放口设两级消声器，减弱气动性噪声，对周边环境影响小。风机主要用于地下室的送排风、地下车库通风的加压送风系统，在进、排风系统安装消声装置，水泵位于地下车库采取隔声减振措施。在采用低噪声设备的同时在接管口安装缓冲管，以减少噪声对环境的影响。项目商业主要噪声来自人员的活动噪声，因此声源声功率级很低，通过墙体隔声和距离衰减后，对住宅影响很小。交通噪声可通过减速、禁鸣等措施减小其对环境的影响须通过严格管理加以控制。因此，预计本项目建成投入使用后，对区域声环境影响小。</w:t>
      </w:r>
      <w:r>
        <w:rPr>
          <w:rFonts w:ascii="Times New Roman" w:hAnsi="Times New Roman" w:eastAsia="宋体" w:cs="Times New Roman"/>
          <w:b w:val="0"/>
          <w:color w:val="auto"/>
          <w:lang w:val="en-US"/>
        </w:rPr>
        <w:t xml:space="preserve"> </w:t>
      </w:r>
    </w:p>
    <w:p>
      <w:pPr>
        <w:pStyle w:val="75"/>
        <w:rPr>
          <w:rFonts w:hint="eastAsia" w:ascii="Times New Roman" w:hAnsi="Times New Roman" w:eastAsia="宋体" w:cs="Times New Roman"/>
          <w:b w:val="0"/>
          <w:color w:val="auto"/>
          <w:lang w:val="en-US"/>
        </w:rPr>
      </w:pPr>
      <w:r>
        <w:rPr>
          <w:rFonts w:hint="eastAsia" w:ascii="Times New Roman" w:hAnsi="Times New Roman" w:eastAsia="宋体" w:cs="Times New Roman"/>
          <w:b w:val="0"/>
          <w:color w:val="auto"/>
          <w:lang w:val="en-US"/>
        </w:rPr>
        <w:t>④ 固废污染防治措施及环境影响</w:t>
      </w:r>
    </w:p>
    <w:p>
      <w:pPr>
        <w:pStyle w:val="75"/>
        <w:rPr>
          <w:rFonts w:hint="eastAsia" w:ascii="Times New Roman" w:hAnsi="Times New Roman" w:eastAsia="宋体" w:cs="Times New Roman"/>
          <w:b w:val="0"/>
          <w:color w:val="auto"/>
          <w:lang w:val="en-US"/>
        </w:rPr>
      </w:pPr>
      <w:r>
        <w:rPr>
          <w:rFonts w:hint="eastAsia" w:ascii="Times New Roman" w:hAnsi="Times New Roman" w:eastAsia="宋体" w:cs="Times New Roman"/>
          <w:b w:val="0"/>
          <w:color w:val="auto"/>
          <w:lang w:val="en-US"/>
        </w:rPr>
        <w:t>小区居民及商业用房产生的生活垃圾全部分类袋装化，每天由环卫部门收集运至万州区垃圾处理场统一处置；餐饮业产生的餐厨垃圾包括食物残余、食品加工废料以及油烟净化设备及隔油池中分离出的废油，交由有资质的单位处理；污泥委托专业公司负责污泥的清掏，交市政环卫部门处置。</w:t>
      </w:r>
    </w:p>
    <w:p>
      <w:pPr>
        <w:pStyle w:val="75"/>
        <w:rPr>
          <w:rFonts w:hint="eastAsia" w:ascii="Times New Roman" w:hAnsi="Times New Roman" w:eastAsia="宋体" w:cs="Times New Roman"/>
          <w:b w:val="0"/>
          <w:color w:val="auto"/>
          <w:lang w:val="en-US" w:eastAsia="zh-CN"/>
        </w:rPr>
      </w:pPr>
      <w:r>
        <w:rPr>
          <w:rFonts w:hint="eastAsia" w:ascii="Times New Roman" w:hAnsi="Times New Roman" w:eastAsia="宋体" w:cs="Times New Roman"/>
          <w:b w:val="0"/>
          <w:color w:val="auto"/>
          <w:lang w:val="en-US"/>
        </w:rPr>
        <w:t>采取上述措施后，营运期各类固废得到妥善处置，对环境影响可接受。</w:t>
      </w:r>
    </w:p>
    <w:p>
      <w:pPr>
        <w:adjustRightInd w:val="0"/>
        <w:snapToGrid w:val="0"/>
        <w:spacing w:line="540" w:lineRule="exact"/>
        <w:rPr>
          <w:rFonts w:hint="eastAsia" w:hAnsi="宋体"/>
          <w:bCs/>
          <w:sz w:val="28"/>
          <w:szCs w:val="28"/>
          <w:lang w:eastAsia="zh-CN"/>
        </w:rPr>
      </w:pPr>
      <w:r>
        <w:rPr>
          <w:rFonts w:hint="eastAsia"/>
          <w:b/>
          <w:sz w:val="28"/>
          <w:szCs w:val="28"/>
          <w:lang w:val="en-IE"/>
        </w:rPr>
        <w:t>5.1.</w:t>
      </w:r>
      <w:r>
        <w:rPr>
          <w:rFonts w:hint="eastAsia"/>
          <w:b/>
          <w:sz w:val="28"/>
          <w:szCs w:val="28"/>
          <w:lang w:val="en-US" w:eastAsia="zh-CN"/>
        </w:rPr>
        <w:t>6</w:t>
      </w:r>
      <w:r>
        <w:rPr>
          <w:rFonts w:hint="eastAsia"/>
          <w:b/>
          <w:sz w:val="28"/>
          <w:szCs w:val="28"/>
          <w:lang w:val="en-IE" w:eastAsia="zh-CN"/>
        </w:rPr>
        <w:t>总量控制</w:t>
      </w:r>
    </w:p>
    <w:p>
      <w:pPr>
        <w:tabs>
          <w:tab w:val="left" w:pos="3810"/>
        </w:tabs>
        <w:adjustRightInd w:val="0"/>
        <w:snapToGrid w:val="0"/>
        <w:spacing w:line="440" w:lineRule="exact"/>
        <w:ind w:firstLine="480" w:firstLineChars="200"/>
        <w:rPr>
          <w:rFonts w:hint="eastAsia"/>
          <w:bCs/>
          <w:color w:val="auto"/>
          <w:kern w:val="0"/>
          <w:sz w:val="24"/>
          <w:szCs w:val="21"/>
        </w:rPr>
      </w:pPr>
      <w:r>
        <w:rPr>
          <w:rFonts w:hint="eastAsia"/>
          <w:bCs/>
          <w:color w:val="auto"/>
          <w:kern w:val="0"/>
          <w:sz w:val="24"/>
          <w:szCs w:val="21"/>
        </w:rPr>
        <w:t>鉴于</w:t>
      </w:r>
      <w:r>
        <w:rPr>
          <w:bCs/>
          <w:color w:val="auto"/>
          <w:kern w:val="0"/>
          <w:sz w:val="24"/>
          <w:szCs w:val="21"/>
        </w:rPr>
        <w:t>本项目</w:t>
      </w:r>
      <w:r>
        <w:rPr>
          <w:rFonts w:hint="eastAsia"/>
          <w:bCs/>
          <w:color w:val="auto"/>
          <w:kern w:val="0"/>
          <w:sz w:val="24"/>
          <w:szCs w:val="21"/>
          <w:lang w:val="de-DE"/>
        </w:rPr>
        <w:t>是房地产类项目，不属于工业项目。本项目</w:t>
      </w:r>
      <w:r>
        <w:rPr>
          <w:rFonts w:hint="eastAsia"/>
          <w:bCs/>
          <w:color w:val="auto"/>
          <w:kern w:val="0"/>
          <w:sz w:val="24"/>
          <w:szCs w:val="21"/>
        </w:rPr>
        <w:t>外排废水经生化池处理后排入污水处理厂处理</w:t>
      </w:r>
      <w:r>
        <w:rPr>
          <w:bCs/>
          <w:color w:val="auto"/>
          <w:kern w:val="0"/>
          <w:sz w:val="24"/>
          <w:szCs w:val="21"/>
        </w:rPr>
        <w:t>达《污水综合排放标准》</w:t>
      </w:r>
      <w:r>
        <w:rPr>
          <w:rFonts w:hint="eastAsia"/>
          <w:bCs/>
          <w:color w:val="auto"/>
          <w:kern w:val="0"/>
          <w:sz w:val="24"/>
          <w:szCs w:val="21"/>
        </w:rPr>
        <w:t>(</w:t>
      </w:r>
      <w:r>
        <w:rPr>
          <w:bCs/>
          <w:color w:val="auto"/>
          <w:kern w:val="0"/>
          <w:sz w:val="24"/>
          <w:szCs w:val="21"/>
        </w:rPr>
        <w:t>GB8978</w:t>
      </w:r>
      <w:r>
        <w:rPr>
          <w:rFonts w:hint="eastAsia"/>
          <w:bCs/>
          <w:color w:val="auto"/>
          <w:kern w:val="0"/>
          <w:sz w:val="24"/>
          <w:szCs w:val="21"/>
        </w:rPr>
        <w:t>-</w:t>
      </w:r>
      <w:r>
        <w:rPr>
          <w:bCs/>
          <w:color w:val="auto"/>
          <w:kern w:val="0"/>
          <w:sz w:val="24"/>
          <w:szCs w:val="21"/>
        </w:rPr>
        <w:t>1996</w:t>
      </w:r>
      <w:r>
        <w:rPr>
          <w:rFonts w:hint="eastAsia"/>
          <w:bCs/>
          <w:color w:val="auto"/>
          <w:kern w:val="0"/>
          <w:sz w:val="24"/>
          <w:szCs w:val="21"/>
        </w:rPr>
        <w:t>)表4一</w:t>
      </w:r>
      <w:r>
        <w:rPr>
          <w:bCs/>
          <w:color w:val="auto"/>
          <w:kern w:val="0"/>
          <w:sz w:val="24"/>
          <w:szCs w:val="21"/>
        </w:rPr>
        <w:t>级</w:t>
      </w:r>
      <w:r>
        <w:rPr>
          <w:rFonts w:hint="eastAsia"/>
          <w:bCs/>
          <w:color w:val="auto"/>
          <w:kern w:val="0"/>
          <w:sz w:val="24"/>
          <w:szCs w:val="21"/>
        </w:rPr>
        <w:t>B</w:t>
      </w:r>
      <w:r>
        <w:rPr>
          <w:bCs/>
          <w:color w:val="auto"/>
          <w:kern w:val="0"/>
          <w:sz w:val="24"/>
          <w:szCs w:val="21"/>
        </w:rPr>
        <w:t>标准</w:t>
      </w:r>
      <w:r>
        <w:rPr>
          <w:rFonts w:hint="eastAsia"/>
          <w:bCs/>
          <w:color w:val="auto"/>
          <w:kern w:val="0"/>
          <w:sz w:val="24"/>
          <w:szCs w:val="21"/>
        </w:rPr>
        <w:t>后排入长江。因此，本项目废水不设总量控制指标，本项目自身污染物管理指标及排入环境的指标如下。</w:t>
      </w:r>
    </w:p>
    <w:p>
      <w:pPr>
        <w:tabs>
          <w:tab w:val="left" w:pos="3810"/>
        </w:tabs>
        <w:adjustRightInd w:val="0"/>
        <w:snapToGrid w:val="0"/>
        <w:spacing w:line="440" w:lineRule="exact"/>
        <w:ind w:firstLine="480" w:firstLineChars="200"/>
        <w:rPr>
          <w:bCs/>
          <w:color w:val="auto"/>
          <w:kern w:val="0"/>
          <w:sz w:val="24"/>
          <w:szCs w:val="21"/>
        </w:rPr>
      </w:pPr>
      <w:r>
        <w:rPr>
          <w:bCs/>
          <w:color w:val="auto"/>
          <w:kern w:val="0"/>
          <w:sz w:val="24"/>
          <w:szCs w:val="21"/>
        </w:rPr>
        <w:t>本项目自身污染物管理指标为：</w:t>
      </w:r>
    </w:p>
    <w:p>
      <w:pPr>
        <w:pStyle w:val="10"/>
        <w:tabs>
          <w:tab w:val="left" w:pos="2517"/>
        </w:tabs>
        <w:spacing w:line="440" w:lineRule="exact"/>
        <w:ind w:firstLine="420" w:firstLineChars="200"/>
        <w:jc w:val="left"/>
        <w:rPr>
          <w:rFonts w:hint="eastAsia"/>
          <w:color w:val="auto"/>
          <w:szCs w:val="24"/>
          <w:lang w:val="de-DE"/>
        </w:rPr>
      </w:pPr>
      <w:r>
        <w:rPr>
          <w:color w:val="auto"/>
          <w:szCs w:val="24"/>
          <w:lang w:val="de-DE"/>
        </w:rPr>
        <w:t>COD</w:t>
      </w:r>
      <w:r>
        <w:rPr>
          <w:rFonts w:hint="eastAsia"/>
          <w:color w:val="auto"/>
          <w:szCs w:val="24"/>
          <w:lang w:val="de-DE"/>
        </w:rPr>
        <w:t>：</w:t>
      </w:r>
      <w:r>
        <w:rPr>
          <w:rFonts w:hint="eastAsia"/>
          <w:color w:val="auto"/>
          <w:szCs w:val="24"/>
        </w:rPr>
        <w:t>240.59</w:t>
      </w:r>
      <w:r>
        <w:rPr>
          <w:color w:val="auto"/>
          <w:szCs w:val="24"/>
          <w:lang w:val="de-DE"/>
        </w:rPr>
        <w:t>t/a</w:t>
      </w:r>
      <w:r>
        <w:rPr>
          <w:rFonts w:hint="eastAsia"/>
          <w:color w:val="auto"/>
          <w:szCs w:val="24"/>
          <w:lang w:val="de-DE"/>
        </w:rPr>
        <w:t>，NH</w:t>
      </w:r>
      <w:r>
        <w:rPr>
          <w:rFonts w:hint="eastAsia"/>
          <w:color w:val="auto"/>
          <w:szCs w:val="24"/>
          <w:vertAlign w:val="subscript"/>
          <w:lang w:val="de-DE"/>
        </w:rPr>
        <w:t>3</w:t>
      </w:r>
      <w:r>
        <w:rPr>
          <w:rFonts w:hint="eastAsia"/>
          <w:color w:val="auto"/>
          <w:szCs w:val="24"/>
          <w:lang w:val="de-DE"/>
        </w:rPr>
        <w:t>-N：</w:t>
      </w:r>
      <w:r>
        <w:rPr>
          <w:rFonts w:hint="eastAsia"/>
          <w:color w:val="auto"/>
          <w:szCs w:val="21"/>
        </w:rPr>
        <w:t>45.58</w:t>
      </w:r>
      <w:r>
        <w:rPr>
          <w:rFonts w:hint="eastAsia"/>
          <w:color w:val="auto"/>
          <w:szCs w:val="24"/>
          <w:lang w:val="de-DE"/>
        </w:rPr>
        <w:t>t/a。</w:t>
      </w:r>
    </w:p>
    <w:p>
      <w:pPr>
        <w:tabs>
          <w:tab w:val="left" w:pos="3810"/>
        </w:tabs>
        <w:adjustRightInd w:val="0"/>
        <w:snapToGrid w:val="0"/>
        <w:spacing w:line="440" w:lineRule="exact"/>
        <w:ind w:firstLine="480" w:firstLineChars="200"/>
        <w:rPr>
          <w:rFonts w:hint="eastAsia"/>
          <w:bCs/>
          <w:color w:val="auto"/>
          <w:kern w:val="0"/>
          <w:sz w:val="24"/>
          <w:szCs w:val="21"/>
        </w:rPr>
      </w:pPr>
      <w:r>
        <w:rPr>
          <w:rFonts w:hint="eastAsia"/>
          <w:bCs/>
          <w:color w:val="auto"/>
          <w:kern w:val="0"/>
          <w:sz w:val="24"/>
          <w:szCs w:val="21"/>
        </w:rPr>
        <w:t>排入环境的指标为：</w:t>
      </w:r>
    </w:p>
    <w:p>
      <w:pPr>
        <w:pStyle w:val="10"/>
        <w:tabs>
          <w:tab w:val="left" w:pos="2517"/>
        </w:tabs>
        <w:spacing w:line="440" w:lineRule="exact"/>
        <w:ind w:firstLine="420" w:firstLineChars="200"/>
        <w:jc w:val="left"/>
        <w:rPr>
          <w:rFonts w:hint="eastAsia"/>
          <w:color w:val="auto"/>
          <w:szCs w:val="24"/>
          <w:lang w:val="de-DE"/>
        </w:rPr>
      </w:pPr>
      <w:r>
        <w:rPr>
          <w:color w:val="auto"/>
          <w:szCs w:val="24"/>
          <w:lang w:val="de-DE"/>
        </w:rPr>
        <w:t>COD</w:t>
      </w:r>
      <w:r>
        <w:rPr>
          <w:rFonts w:hint="eastAsia"/>
          <w:color w:val="auto"/>
          <w:szCs w:val="24"/>
          <w:lang w:val="de-DE"/>
        </w:rPr>
        <w:t>：</w:t>
      </w:r>
      <w:r>
        <w:rPr>
          <w:rFonts w:hint="eastAsia"/>
          <w:color w:val="auto"/>
          <w:szCs w:val="24"/>
        </w:rPr>
        <w:t>45.58</w:t>
      </w:r>
      <w:r>
        <w:rPr>
          <w:color w:val="auto"/>
          <w:szCs w:val="24"/>
          <w:lang w:val="de-DE"/>
        </w:rPr>
        <w:t>t/a</w:t>
      </w:r>
      <w:r>
        <w:rPr>
          <w:rFonts w:hint="eastAsia"/>
          <w:color w:val="auto"/>
          <w:szCs w:val="24"/>
          <w:lang w:val="de-DE"/>
        </w:rPr>
        <w:t>，NH</w:t>
      </w:r>
      <w:r>
        <w:rPr>
          <w:rFonts w:hint="eastAsia"/>
          <w:color w:val="auto"/>
          <w:szCs w:val="24"/>
          <w:vertAlign w:val="subscript"/>
          <w:lang w:val="de-DE"/>
        </w:rPr>
        <w:t>3</w:t>
      </w:r>
      <w:r>
        <w:rPr>
          <w:rFonts w:hint="eastAsia"/>
          <w:color w:val="auto"/>
          <w:szCs w:val="24"/>
          <w:lang w:val="de-DE"/>
        </w:rPr>
        <w:t>-N：</w:t>
      </w:r>
      <w:r>
        <w:rPr>
          <w:rFonts w:hint="eastAsia"/>
          <w:color w:val="auto"/>
          <w:szCs w:val="21"/>
        </w:rPr>
        <w:t>6.42</w:t>
      </w:r>
      <w:r>
        <w:rPr>
          <w:rFonts w:hint="eastAsia"/>
          <w:color w:val="auto"/>
          <w:szCs w:val="24"/>
          <w:lang w:val="de-DE"/>
        </w:rPr>
        <w:t>t/a。</w:t>
      </w:r>
    </w:p>
    <w:p>
      <w:pPr>
        <w:adjustRightInd w:val="0"/>
        <w:snapToGrid w:val="0"/>
        <w:spacing w:line="540" w:lineRule="exact"/>
        <w:rPr>
          <w:rFonts w:hint="eastAsia"/>
          <w:b/>
          <w:sz w:val="28"/>
          <w:szCs w:val="28"/>
          <w:lang w:val="en-IE" w:eastAsia="zh-CN"/>
        </w:rPr>
      </w:pPr>
      <w:r>
        <w:rPr>
          <w:rFonts w:hint="eastAsia"/>
          <w:b/>
          <w:sz w:val="28"/>
          <w:szCs w:val="28"/>
          <w:lang w:val="en-IE"/>
        </w:rPr>
        <w:t>5.1.</w:t>
      </w:r>
      <w:r>
        <w:rPr>
          <w:rFonts w:hint="eastAsia"/>
          <w:b/>
          <w:sz w:val="28"/>
          <w:szCs w:val="28"/>
          <w:lang w:val="en-US" w:eastAsia="zh-CN"/>
        </w:rPr>
        <w:t>7</w:t>
      </w:r>
      <w:r>
        <w:rPr>
          <w:rFonts w:hint="eastAsia"/>
          <w:b/>
          <w:sz w:val="28"/>
          <w:szCs w:val="28"/>
          <w:lang w:val="en-IE" w:eastAsia="zh-CN"/>
        </w:rPr>
        <w:t>综合结论</w:t>
      </w:r>
    </w:p>
    <w:p>
      <w:pPr>
        <w:spacing w:line="440" w:lineRule="exact"/>
        <w:ind w:firstLine="480" w:firstLineChars="200"/>
        <w:rPr>
          <w:rFonts w:hint="eastAsia"/>
          <w:color w:val="auto"/>
          <w:sz w:val="24"/>
          <w:szCs w:val="24"/>
        </w:rPr>
      </w:pPr>
      <w:r>
        <w:rPr>
          <w:rFonts w:hint="eastAsia"/>
          <w:bCs/>
          <w:color w:val="auto"/>
          <w:sz w:val="24"/>
          <w:szCs w:val="24"/>
        </w:rPr>
        <w:t>重庆市万州区鸿鸥地产发展有限公司“</w:t>
      </w:r>
      <w:r>
        <w:rPr>
          <w:rFonts w:hint="eastAsia"/>
          <w:bCs/>
          <w:color w:val="auto"/>
          <w:sz w:val="24"/>
          <w:szCs w:val="24"/>
          <w:lang w:eastAsia="zh-CN"/>
        </w:rPr>
        <w:t>山屿城项目</w:t>
      </w:r>
      <w:r>
        <w:rPr>
          <w:rFonts w:hint="eastAsia"/>
          <w:bCs/>
          <w:color w:val="auto"/>
          <w:sz w:val="24"/>
          <w:szCs w:val="24"/>
        </w:rPr>
        <w:t>”</w:t>
      </w:r>
      <w:r>
        <w:rPr>
          <w:rFonts w:hint="eastAsia"/>
          <w:color w:val="auto"/>
          <w:sz w:val="24"/>
          <w:szCs w:val="24"/>
          <w:lang w:val="de-DE"/>
        </w:rPr>
        <w:t>符合国家产业政策和相关规划，</w:t>
      </w:r>
      <w:r>
        <w:rPr>
          <w:color w:val="auto"/>
          <w:sz w:val="24"/>
          <w:szCs w:val="24"/>
        </w:rPr>
        <w:t>符合万州区城市规划和经济发展，其建设内容、土地利用、开发项目等符合重庆市有关要求；项目总体布局合理，建筑设计新颖，工程建设产生的各类污染物在采取污染防治措施后其不利影响能得到有效控制，外排污染物对环境影响小，能为</w:t>
      </w:r>
      <w:r>
        <w:rPr>
          <w:rFonts w:hint="eastAsia"/>
          <w:color w:val="auto"/>
          <w:sz w:val="24"/>
          <w:szCs w:val="24"/>
        </w:rPr>
        <w:t>环境所接受。从环境保护的角度分析，评价认为，本项目的建设可行。</w:t>
      </w:r>
    </w:p>
    <w:p>
      <w:pPr>
        <w:adjustRightInd w:val="0"/>
        <w:snapToGrid w:val="0"/>
        <w:spacing w:line="540" w:lineRule="exact"/>
        <w:rPr>
          <w:rFonts w:hint="eastAsia"/>
          <w:b/>
          <w:sz w:val="28"/>
          <w:szCs w:val="28"/>
          <w:lang w:val="en-IE" w:eastAsia="zh-CN"/>
        </w:rPr>
      </w:pPr>
      <w:r>
        <w:rPr>
          <w:rFonts w:hint="eastAsia"/>
          <w:b/>
          <w:sz w:val="28"/>
          <w:szCs w:val="28"/>
          <w:lang w:val="en-IE" w:eastAsia="zh-CN"/>
        </w:rPr>
        <w:t>5.</w:t>
      </w:r>
      <w:r>
        <w:rPr>
          <w:rFonts w:hint="eastAsia"/>
          <w:b/>
          <w:sz w:val="28"/>
          <w:szCs w:val="28"/>
          <w:lang w:val="en-US" w:eastAsia="zh-CN"/>
        </w:rPr>
        <w:t>1.8</w:t>
      </w:r>
      <w:r>
        <w:rPr>
          <w:rFonts w:hint="eastAsia"/>
          <w:b/>
          <w:sz w:val="28"/>
          <w:szCs w:val="28"/>
          <w:lang w:val="en-IE" w:eastAsia="zh-CN"/>
        </w:rPr>
        <w:t>建议</w:t>
      </w:r>
    </w:p>
    <w:p>
      <w:pPr>
        <w:tabs>
          <w:tab w:val="left" w:pos="3810"/>
        </w:tabs>
        <w:adjustRightInd w:val="0"/>
        <w:snapToGrid w:val="0"/>
        <w:spacing w:line="440" w:lineRule="exact"/>
        <w:ind w:firstLine="480" w:firstLineChars="200"/>
        <w:rPr>
          <w:rFonts w:hint="eastAsia" w:ascii="Times New Roman" w:hAnsi="Times New Roman" w:eastAsia="宋体" w:cs="Times New Roman"/>
          <w:bCs/>
          <w:color w:val="auto"/>
          <w:kern w:val="0"/>
          <w:sz w:val="24"/>
          <w:szCs w:val="21"/>
        </w:rPr>
      </w:pPr>
      <w:bookmarkStart w:id="97" w:name="_Toc305059568"/>
      <w:bookmarkStart w:id="98" w:name="_Toc341278427"/>
      <w:bookmarkStart w:id="99" w:name="_Toc341357476"/>
      <w:bookmarkStart w:id="100" w:name="_Toc341293112"/>
      <w:bookmarkStart w:id="101" w:name="_Toc341431729"/>
      <w:bookmarkStart w:id="102" w:name="_Toc332553922"/>
      <w:bookmarkStart w:id="103" w:name="_Toc321042421"/>
      <w:r>
        <w:rPr>
          <w:rFonts w:hint="eastAsia" w:ascii="Times New Roman" w:hAnsi="Times New Roman" w:eastAsia="宋体" w:cs="Times New Roman"/>
          <w:bCs/>
          <w:color w:val="auto"/>
          <w:kern w:val="0"/>
          <w:sz w:val="24"/>
          <w:szCs w:val="21"/>
          <w:lang w:eastAsia="zh-CN"/>
        </w:rPr>
        <w:t>（</w:t>
      </w:r>
      <w:r>
        <w:rPr>
          <w:rFonts w:hint="eastAsia" w:ascii="Times New Roman" w:hAnsi="Times New Roman" w:eastAsia="宋体" w:cs="Times New Roman"/>
          <w:bCs/>
          <w:color w:val="auto"/>
          <w:kern w:val="0"/>
          <w:sz w:val="24"/>
          <w:szCs w:val="21"/>
          <w:lang w:val="en-US" w:eastAsia="zh-CN"/>
        </w:rPr>
        <w:t>1</w:t>
      </w:r>
      <w:r>
        <w:rPr>
          <w:rFonts w:hint="eastAsia" w:ascii="Times New Roman" w:hAnsi="Times New Roman" w:eastAsia="宋体" w:cs="Times New Roman"/>
          <w:bCs/>
          <w:color w:val="auto"/>
          <w:kern w:val="0"/>
          <w:sz w:val="24"/>
          <w:szCs w:val="21"/>
          <w:lang w:eastAsia="zh-CN"/>
        </w:rPr>
        <w:t>）</w:t>
      </w:r>
      <w:r>
        <w:rPr>
          <w:rFonts w:hint="eastAsia" w:ascii="Times New Roman" w:hAnsi="Times New Roman" w:eastAsia="宋体" w:cs="Times New Roman"/>
          <w:bCs/>
          <w:color w:val="auto"/>
          <w:kern w:val="0"/>
          <w:sz w:val="24"/>
          <w:szCs w:val="21"/>
        </w:rPr>
        <w:t xml:space="preserve"> 必须强化施工期的各项管理工作，拟定出合理可行的施工计划和污染防治对策，尽可能缩短建筑周期，严格按照《建筑施工场界环境噪声排放标准》(GB12523-2011)和万州区环保局的要求进行施工作业。</w:t>
      </w:r>
    </w:p>
    <w:p>
      <w:pPr>
        <w:tabs>
          <w:tab w:val="left" w:pos="3810"/>
        </w:tabs>
        <w:adjustRightInd w:val="0"/>
        <w:snapToGrid w:val="0"/>
        <w:spacing w:line="440" w:lineRule="exact"/>
        <w:ind w:firstLine="480" w:firstLineChars="200"/>
        <w:rPr>
          <w:rFonts w:hint="eastAsia" w:ascii="Times New Roman" w:hAnsi="Times New Roman" w:eastAsia="宋体" w:cs="Times New Roman"/>
          <w:bCs/>
          <w:color w:val="auto"/>
          <w:kern w:val="0"/>
          <w:sz w:val="24"/>
          <w:szCs w:val="21"/>
        </w:rPr>
      </w:pPr>
      <w:r>
        <w:rPr>
          <w:rFonts w:hint="eastAsia" w:ascii="Times New Roman" w:hAnsi="Times New Roman" w:eastAsia="宋体" w:cs="Times New Roman"/>
          <w:bCs/>
          <w:color w:val="auto"/>
          <w:kern w:val="0"/>
          <w:sz w:val="24"/>
          <w:szCs w:val="21"/>
          <w:lang w:eastAsia="zh-CN"/>
        </w:rPr>
        <w:t>（</w:t>
      </w:r>
      <w:r>
        <w:rPr>
          <w:rFonts w:hint="eastAsia" w:ascii="Times New Roman" w:hAnsi="Times New Roman" w:eastAsia="宋体" w:cs="Times New Roman"/>
          <w:bCs/>
          <w:color w:val="auto"/>
          <w:kern w:val="0"/>
          <w:sz w:val="24"/>
          <w:szCs w:val="21"/>
          <w:lang w:val="en-US" w:eastAsia="zh-CN"/>
        </w:rPr>
        <w:t>2</w:t>
      </w:r>
      <w:r>
        <w:rPr>
          <w:rFonts w:hint="eastAsia" w:ascii="Times New Roman" w:hAnsi="Times New Roman" w:eastAsia="宋体" w:cs="Times New Roman"/>
          <w:bCs/>
          <w:color w:val="auto"/>
          <w:kern w:val="0"/>
          <w:sz w:val="24"/>
          <w:szCs w:val="21"/>
          <w:lang w:eastAsia="zh-CN"/>
        </w:rPr>
        <w:t>）</w:t>
      </w:r>
      <w:r>
        <w:rPr>
          <w:rFonts w:hint="eastAsia" w:ascii="Times New Roman" w:hAnsi="Times New Roman" w:eastAsia="宋体" w:cs="Times New Roman"/>
          <w:bCs/>
          <w:color w:val="auto"/>
          <w:kern w:val="0"/>
          <w:sz w:val="24"/>
          <w:szCs w:val="21"/>
        </w:rPr>
        <w:t>为了避免业主在入驻后发生环保投诉现象，建设方应在购房前向消费者明确污水处理设施及垃圾收集点附近住宅楼可能会产生臭气影响的问题以及在售房前</w:t>
      </w:r>
      <w:r>
        <w:rPr>
          <w:rFonts w:hint="eastAsia" w:ascii="Times New Roman" w:hAnsi="Times New Roman" w:eastAsia="宋体" w:cs="Times New Roman"/>
          <w:bCs/>
          <w:color w:val="auto"/>
          <w:kern w:val="0"/>
          <w:sz w:val="24"/>
          <w:szCs w:val="21"/>
          <w:lang w:eastAsia="zh-CN"/>
        </w:rPr>
        <w:t>（</w:t>
      </w:r>
      <w:r>
        <w:rPr>
          <w:rFonts w:hint="eastAsia" w:ascii="Times New Roman" w:hAnsi="Times New Roman" w:eastAsia="宋体" w:cs="Times New Roman"/>
          <w:bCs/>
          <w:color w:val="auto"/>
          <w:kern w:val="0"/>
          <w:sz w:val="24"/>
          <w:szCs w:val="21"/>
        </w:rPr>
        <w:t>即环境保护预验收时</w:t>
      </w:r>
      <w:r>
        <w:rPr>
          <w:rFonts w:hint="eastAsia" w:ascii="Times New Roman" w:hAnsi="Times New Roman" w:eastAsia="宋体" w:cs="Times New Roman"/>
          <w:bCs/>
          <w:color w:val="auto"/>
          <w:kern w:val="0"/>
          <w:sz w:val="24"/>
          <w:szCs w:val="21"/>
          <w:lang w:eastAsia="zh-CN"/>
        </w:rPr>
        <w:t>）</w:t>
      </w:r>
      <w:r>
        <w:rPr>
          <w:rFonts w:hint="eastAsia" w:ascii="Times New Roman" w:hAnsi="Times New Roman" w:eastAsia="宋体" w:cs="Times New Roman"/>
          <w:bCs/>
          <w:color w:val="auto"/>
          <w:kern w:val="0"/>
          <w:sz w:val="24"/>
          <w:szCs w:val="21"/>
        </w:rPr>
        <w:t>将有关部门认定的声环境状况监测报告予以公示，保证消费者的知情权和维护环境权益。</w:t>
      </w:r>
    </w:p>
    <w:p>
      <w:pPr>
        <w:tabs>
          <w:tab w:val="left" w:pos="3810"/>
        </w:tabs>
        <w:adjustRightInd w:val="0"/>
        <w:snapToGrid w:val="0"/>
        <w:spacing w:line="440" w:lineRule="exact"/>
        <w:ind w:firstLine="480" w:firstLineChars="200"/>
        <w:rPr>
          <w:rFonts w:hint="eastAsia" w:ascii="Times New Roman" w:hAnsi="Times New Roman" w:eastAsia="宋体" w:cs="Times New Roman"/>
          <w:bCs/>
          <w:color w:val="auto"/>
          <w:kern w:val="0"/>
          <w:sz w:val="24"/>
          <w:szCs w:val="21"/>
        </w:rPr>
      </w:pPr>
      <w:r>
        <w:rPr>
          <w:rFonts w:hint="eastAsia" w:ascii="Times New Roman" w:hAnsi="Times New Roman" w:eastAsia="宋体" w:cs="Times New Roman"/>
          <w:bCs/>
          <w:color w:val="auto"/>
          <w:kern w:val="0"/>
          <w:sz w:val="24"/>
          <w:szCs w:val="21"/>
          <w:lang w:eastAsia="zh-CN"/>
        </w:rPr>
        <w:t>（</w:t>
      </w:r>
      <w:r>
        <w:rPr>
          <w:rFonts w:hint="eastAsia" w:ascii="Times New Roman" w:hAnsi="Times New Roman" w:eastAsia="宋体" w:cs="Times New Roman"/>
          <w:bCs/>
          <w:color w:val="auto"/>
          <w:kern w:val="0"/>
          <w:sz w:val="24"/>
          <w:szCs w:val="21"/>
          <w:lang w:val="en-US" w:eastAsia="zh-CN"/>
        </w:rPr>
        <w:t>3</w:t>
      </w:r>
      <w:r>
        <w:rPr>
          <w:rFonts w:hint="eastAsia" w:ascii="Times New Roman" w:hAnsi="Times New Roman" w:eastAsia="宋体" w:cs="Times New Roman"/>
          <w:bCs/>
          <w:color w:val="auto"/>
          <w:kern w:val="0"/>
          <w:sz w:val="24"/>
          <w:szCs w:val="21"/>
          <w:lang w:eastAsia="zh-CN"/>
        </w:rPr>
        <w:t>）</w:t>
      </w:r>
      <w:r>
        <w:rPr>
          <w:rFonts w:hint="eastAsia" w:ascii="Times New Roman" w:hAnsi="Times New Roman" w:eastAsia="宋体" w:cs="Times New Roman"/>
          <w:bCs/>
          <w:color w:val="auto"/>
          <w:kern w:val="0"/>
          <w:sz w:val="24"/>
          <w:szCs w:val="21"/>
        </w:rPr>
        <w:t>项目售房公示时应将交通噪声等周边不利因素告知公众。</w:t>
      </w:r>
    </w:p>
    <w:p>
      <w:pPr>
        <w:pStyle w:val="56"/>
        <w:rPr>
          <w:rFonts w:cs="Times New Roman"/>
          <w:color w:val="auto"/>
          <w:sz w:val="32"/>
        </w:rPr>
      </w:pPr>
      <w:bookmarkStart w:id="104" w:name="_Toc1915"/>
      <w:r>
        <w:rPr>
          <w:rFonts w:cs="Times New Roman"/>
          <w:color w:val="auto"/>
          <w:sz w:val="32"/>
        </w:rPr>
        <w:t>5.2 环评批复要求</w:t>
      </w:r>
      <w:bookmarkEnd w:id="97"/>
      <w:bookmarkEnd w:id="98"/>
      <w:bookmarkEnd w:id="99"/>
      <w:bookmarkEnd w:id="100"/>
      <w:bookmarkEnd w:id="101"/>
      <w:bookmarkEnd w:id="102"/>
      <w:bookmarkEnd w:id="103"/>
      <w:bookmarkEnd w:id="104"/>
    </w:p>
    <w:p>
      <w:pPr>
        <w:tabs>
          <w:tab w:val="left" w:pos="3810"/>
        </w:tabs>
        <w:adjustRightInd w:val="0"/>
        <w:snapToGrid w:val="0"/>
        <w:spacing w:line="440" w:lineRule="exact"/>
        <w:ind w:firstLine="480" w:firstLineChars="200"/>
        <w:rPr>
          <w:rFonts w:hint="eastAsia" w:ascii="Times New Roman" w:hAnsi="Times New Roman" w:eastAsia="宋体" w:cs="Times New Roman"/>
          <w:bCs/>
          <w:color w:val="auto"/>
          <w:kern w:val="0"/>
          <w:sz w:val="24"/>
          <w:szCs w:val="21"/>
          <w:lang w:eastAsia="zh-CN"/>
        </w:rPr>
      </w:pPr>
      <w:r>
        <w:rPr>
          <w:rFonts w:hint="eastAsia" w:ascii="Times New Roman" w:hAnsi="Times New Roman" w:eastAsia="宋体" w:cs="Times New Roman"/>
          <w:bCs/>
          <w:color w:val="auto"/>
          <w:kern w:val="0"/>
          <w:sz w:val="24"/>
          <w:szCs w:val="21"/>
          <w:lang w:eastAsia="zh-CN"/>
        </w:rPr>
        <w:t>你单位报送的《鸿鸥山屿城环境影响报告表》及相关材料收悉。经研究，现审批如下：</w:t>
      </w:r>
    </w:p>
    <w:p>
      <w:pPr>
        <w:tabs>
          <w:tab w:val="left" w:pos="3810"/>
        </w:tabs>
        <w:adjustRightInd w:val="0"/>
        <w:snapToGrid w:val="0"/>
        <w:spacing w:line="440" w:lineRule="exact"/>
        <w:ind w:firstLine="480" w:firstLineChars="200"/>
        <w:rPr>
          <w:rFonts w:hint="eastAsia" w:ascii="Times New Roman" w:hAnsi="Times New Roman" w:eastAsia="宋体" w:cs="Times New Roman"/>
          <w:bCs/>
          <w:color w:val="auto"/>
          <w:kern w:val="0"/>
          <w:sz w:val="24"/>
          <w:szCs w:val="21"/>
          <w:lang w:eastAsia="zh-CN"/>
        </w:rPr>
      </w:pPr>
      <w:r>
        <w:rPr>
          <w:rFonts w:hint="eastAsia" w:ascii="Times New Roman" w:hAnsi="Times New Roman" w:eastAsia="宋体" w:cs="Times New Roman"/>
          <w:bCs/>
          <w:color w:val="auto"/>
          <w:kern w:val="0"/>
          <w:sz w:val="24"/>
          <w:szCs w:val="21"/>
          <w:lang w:eastAsia="zh-CN"/>
        </w:rPr>
        <w:t>一、根据《中华人民共和国环境影响评价法》等有关法律法规，我局原则同意《鸿鸥·山屿城环境影响报告表》结论和提出的环境保护措施。</w:t>
      </w:r>
    </w:p>
    <w:p>
      <w:pPr>
        <w:tabs>
          <w:tab w:val="left" w:pos="3810"/>
        </w:tabs>
        <w:adjustRightInd w:val="0"/>
        <w:snapToGrid w:val="0"/>
        <w:spacing w:line="440" w:lineRule="exact"/>
        <w:ind w:firstLine="480" w:firstLineChars="200"/>
        <w:rPr>
          <w:rFonts w:hint="eastAsia" w:ascii="Times New Roman" w:hAnsi="Times New Roman" w:eastAsia="宋体" w:cs="Times New Roman"/>
          <w:bCs/>
          <w:color w:val="auto"/>
          <w:kern w:val="0"/>
          <w:sz w:val="24"/>
          <w:szCs w:val="21"/>
          <w:lang w:eastAsia="zh-CN"/>
        </w:rPr>
      </w:pPr>
      <w:r>
        <w:rPr>
          <w:rFonts w:hint="eastAsia" w:ascii="Times New Roman" w:hAnsi="Times New Roman" w:eastAsia="宋体" w:cs="Times New Roman"/>
          <w:bCs/>
          <w:color w:val="auto"/>
          <w:kern w:val="0"/>
          <w:sz w:val="24"/>
          <w:szCs w:val="21"/>
          <w:lang w:eastAsia="zh-CN"/>
        </w:rPr>
        <w:t>二、项目建设内容和规模:该项目位于重庆市万州区牌楼街道石峰村，项目主要建设集居住、商业、配套用房和地下车库为一体的居住区，总用地面积约101898.00m</w:t>
      </w:r>
      <w:r>
        <w:rPr>
          <w:rFonts w:hint="eastAsia" w:ascii="Times New Roman" w:hAnsi="Times New Roman" w:eastAsia="宋体" w:cs="Times New Roman"/>
          <w:bCs/>
          <w:color w:val="auto"/>
          <w:kern w:val="0"/>
          <w:sz w:val="24"/>
          <w:szCs w:val="21"/>
          <w:vertAlign w:val="superscript"/>
          <w:lang w:val="en-US" w:eastAsia="zh-CN"/>
        </w:rPr>
        <w:t>2</w:t>
      </w:r>
      <w:r>
        <w:rPr>
          <w:rFonts w:hint="eastAsia" w:ascii="Times New Roman" w:hAnsi="Times New Roman" w:eastAsia="宋体" w:cs="Times New Roman"/>
          <w:bCs/>
          <w:color w:val="auto"/>
          <w:kern w:val="0"/>
          <w:sz w:val="24"/>
          <w:szCs w:val="21"/>
          <w:lang w:eastAsia="zh-CN"/>
        </w:rPr>
        <w:t>，总建筑面积为338000m</w:t>
      </w:r>
      <w:r>
        <w:rPr>
          <w:rFonts w:hint="eastAsia" w:ascii="Times New Roman" w:hAnsi="Times New Roman" w:eastAsia="宋体" w:cs="Times New Roman"/>
          <w:bCs/>
          <w:color w:val="auto"/>
          <w:kern w:val="0"/>
          <w:sz w:val="24"/>
          <w:szCs w:val="21"/>
          <w:vertAlign w:val="superscript"/>
          <w:lang w:val="en-US" w:eastAsia="zh-CN"/>
        </w:rPr>
        <w:t>2</w:t>
      </w:r>
      <w:r>
        <w:rPr>
          <w:rFonts w:hint="eastAsia" w:ascii="Times New Roman" w:hAnsi="Times New Roman" w:eastAsia="宋体" w:cs="Times New Roman"/>
          <w:bCs/>
          <w:color w:val="auto"/>
          <w:kern w:val="0"/>
          <w:sz w:val="24"/>
          <w:szCs w:val="21"/>
          <w:lang w:eastAsia="zh-CN"/>
        </w:rPr>
        <w:t>，包括10栋高层住宅楼、12栋多层住宅楼、1栋独栋商业楼、1处商业裙楼以及配套工程、公用工程和环保工程等，项目居住户数共计2406户，可居住约7699人。项目总投资约126000万元，其中环保投资200万元。</w:t>
      </w:r>
    </w:p>
    <w:p>
      <w:pPr>
        <w:tabs>
          <w:tab w:val="left" w:pos="3810"/>
        </w:tabs>
        <w:adjustRightInd w:val="0"/>
        <w:snapToGrid w:val="0"/>
        <w:spacing w:line="440" w:lineRule="exact"/>
        <w:ind w:firstLine="480" w:firstLineChars="200"/>
        <w:rPr>
          <w:rFonts w:hint="eastAsia" w:ascii="Times New Roman" w:hAnsi="Times New Roman" w:eastAsia="宋体" w:cs="Times New Roman"/>
          <w:bCs/>
          <w:color w:val="auto"/>
          <w:kern w:val="0"/>
          <w:sz w:val="24"/>
          <w:szCs w:val="21"/>
          <w:lang w:eastAsia="zh-CN"/>
        </w:rPr>
      </w:pPr>
      <w:r>
        <w:rPr>
          <w:rFonts w:hint="eastAsia" w:ascii="Times New Roman" w:hAnsi="Times New Roman" w:eastAsia="宋体" w:cs="Times New Roman"/>
          <w:bCs/>
          <w:color w:val="auto"/>
          <w:kern w:val="0"/>
          <w:sz w:val="24"/>
          <w:szCs w:val="21"/>
          <w:lang w:eastAsia="zh-CN"/>
        </w:rPr>
        <w:t>三、项目污染物排放标准及污染物排放总量控制指标：</w:t>
      </w:r>
    </w:p>
    <w:p>
      <w:pPr>
        <w:tabs>
          <w:tab w:val="left" w:pos="3810"/>
        </w:tabs>
        <w:adjustRightInd w:val="0"/>
        <w:snapToGrid w:val="0"/>
        <w:spacing w:line="440" w:lineRule="exact"/>
        <w:ind w:firstLine="480" w:firstLineChars="200"/>
        <w:rPr>
          <w:rFonts w:hint="eastAsia" w:ascii="Times New Roman" w:hAnsi="Times New Roman" w:eastAsia="宋体" w:cs="Times New Roman"/>
          <w:bCs/>
          <w:color w:val="auto"/>
          <w:kern w:val="0"/>
          <w:sz w:val="24"/>
          <w:szCs w:val="21"/>
          <w:lang w:eastAsia="zh-CN"/>
        </w:rPr>
      </w:pPr>
      <w:r>
        <w:rPr>
          <w:rFonts w:hint="eastAsia" w:ascii="Times New Roman" w:hAnsi="Times New Roman" w:eastAsia="宋体" w:cs="Times New Roman"/>
          <w:bCs/>
          <w:color w:val="auto"/>
          <w:kern w:val="0"/>
          <w:sz w:val="24"/>
          <w:szCs w:val="21"/>
          <w:lang w:eastAsia="zh-CN"/>
        </w:rPr>
        <w:t>（一）污染物排放标准。废气：执行《大气污染物综合排放标准》(DB50/418-2016)、《饮食业油烟排放标准(试行)》（GB18483-2001）；废水：执行《污水综合排放标准》（GB8978-1996）三级标准；噪声：执行《建筑施工场界环境噪声排放标准》（GB12523-2011）。若涉及其它污染物排放，执行现行标准。</w:t>
      </w:r>
    </w:p>
    <w:p>
      <w:pPr>
        <w:tabs>
          <w:tab w:val="left" w:pos="3810"/>
        </w:tabs>
        <w:adjustRightInd w:val="0"/>
        <w:snapToGrid w:val="0"/>
        <w:spacing w:line="440" w:lineRule="exact"/>
        <w:ind w:firstLine="480" w:firstLineChars="200"/>
        <w:rPr>
          <w:rFonts w:hint="eastAsia" w:ascii="Times New Roman" w:hAnsi="Times New Roman" w:eastAsia="宋体" w:cs="Times New Roman"/>
          <w:bCs/>
          <w:color w:val="auto"/>
          <w:kern w:val="0"/>
          <w:sz w:val="24"/>
          <w:szCs w:val="21"/>
          <w:lang w:eastAsia="zh-CN"/>
        </w:rPr>
      </w:pPr>
      <w:r>
        <w:rPr>
          <w:rFonts w:hint="eastAsia" w:ascii="Times New Roman" w:hAnsi="Times New Roman" w:eastAsia="宋体" w:cs="Times New Roman"/>
          <w:bCs/>
          <w:color w:val="auto"/>
          <w:kern w:val="0"/>
          <w:sz w:val="24"/>
          <w:szCs w:val="21"/>
          <w:lang w:eastAsia="zh-CN"/>
        </w:rPr>
        <w:t>（二）总量控制指标：按照《重庆市人民政府亦公厅关于印发重庆市进一步推进排污权（污水、废气、垃圾）有偿使用和交易工作实施方案的通知》(渝府办发〔 2014 〕 178号）等文件要求执行。</w:t>
      </w:r>
    </w:p>
    <w:p>
      <w:pPr>
        <w:tabs>
          <w:tab w:val="left" w:pos="3810"/>
        </w:tabs>
        <w:adjustRightInd w:val="0"/>
        <w:snapToGrid w:val="0"/>
        <w:spacing w:line="440" w:lineRule="exact"/>
        <w:ind w:firstLine="480" w:firstLineChars="200"/>
        <w:rPr>
          <w:rFonts w:hint="eastAsia" w:ascii="Times New Roman" w:hAnsi="Times New Roman" w:eastAsia="宋体" w:cs="Times New Roman"/>
          <w:bCs/>
          <w:color w:val="auto"/>
          <w:kern w:val="0"/>
          <w:sz w:val="24"/>
          <w:szCs w:val="21"/>
          <w:lang w:eastAsia="zh-CN"/>
        </w:rPr>
      </w:pPr>
      <w:r>
        <w:rPr>
          <w:rFonts w:hint="eastAsia" w:ascii="Times New Roman" w:hAnsi="Times New Roman" w:eastAsia="宋体" w:cs="Times New Roman"/>
          <w:bCs/>
          <w:color w:val="auto"/>
          <w:kern w:val="0"/>
          <w:sz w:val="24"/>
          <w:szCs w:val="21"/>
          <w:lang w:eastAsia="zh-CN"/>
        </w:rPr>
        <w:t>四、项目设计、建设和运营过程中，应严格执行各项环境标准，认真落实环境影响报告表提出的污染防治和生态保护措施，并重点做好以下工作：</w:t>
      </w:r>
    </w:p>
    <w:p>
      <w:pPr>
        <w:tabs>
          <w:tab w:val="left" w:pos="3810"/>
        </w:tabs>
        <w:adjustRightInd w:val="0"/>
        <w:snapToGrid w:val="0"/>
        <w:spacing w:line="440" w:lineRule="exact"/>
        <w:ind w:firstLine="480" w:firstLineChars="200"/>
        <w:rPr>
          <w:rFonts w:hint="eastAsia" w:ascii="Times New Roman" w:hAnsi="Times New Roman" w:eastAsia="宋体" w:cs="Times New Roman"/>
          <w:bCs/>
          <w:color w:val="auto"/>
          <w:kern w:val="0"/>
          <w:sz w:val="24"/>
          <w:szCs w:val="21"/>
          <w:lang w:eastAsia="zh-CN"/>
        </w:rPr>
      </w:pPr>
      <w:r>
        <w:rPr>
          <w:rFonts w:hint="eastAsia" w:ascii="Times New Roman" w:hAnsi="Times New Roman" w:eastAsia="宋体" w:cs="Times New Roman"/>
          <w:bCs/>
          <w:color w:val="auto"/>
          <w:kern w:val="0"/>
          <w:sz w:val="24"/>
          <w:szCs w:val="21"/>
          <w:lang w:eastAsia="zh-CN"/>
        </w:rPr>
        <w:t>（一）加强生态环境保护。严格落实各项水土保持措施，设置挡墙、排水沟、沉砂池等防治水土流失。施工结束后，加强绿化，及时予以生态恢复。</w:t>
      </w:r>
    </w:p>
    <w:p>
      <w:pPr>
        <w:tabs>
          <w:tab w:val="left" w:pos="3810"/>
        </w:tabs>
        <w:adjustRightInd w:val="0"/>
        <w:snapToGrid w:val="0"/>
        <w:spacing w:line="440" w:lineRule="exact"/>
        <w:ind w:firstLine="480" w:firstLineChars="200"/>
        <w:rPr>
          <w:rFonts w:hint="eastAsia" w:ascii="Times New Roman" w:hAnsi="Times New Roman" w:eastAsia="宋体" w:cs="Times New Roman"/>
          <w:bCs/>
          <w:color w:val="auto"/>
          <w:kern w:val="0"/>
          <w:sz w:val="24"/>
          <w:szCs w:val="21"/>
          <w:lang w:eastAsia="zh-CN"/>
        </w:rPr>
      </w:pPr>
      <w:r>
        <w:rPr>
          <w:rFonts w:hint="eastAsia" w:ascii="Times New Roman" w:hAnsi="Times New Roman" w:eastAsia="宋体" w:cs="Times New Roman"/>
          <w:bCs/>
          <w:color w:val="auto"/>
          <w:kern w:val="0"/>
          <w:sz w:val="24"/>
          <w:szCs w:val="21"/>
          <w:lang w:eastAsia="zh-CN"/>
        </w:rPr>
        <w:t>（二）落实废水处理措施。施工生产废水经隔油沉淀后回用，不外排；项目不设施工营地，施工生活污水依托租用房屋现有设施处理。运营期严格实行雨污分流。生活污水（餐饮废水预先隔油）经生化池处理达到《污水综合排放标准》（GB8978-1996）三级标准后排入明镜滩污水处理厂处理。你单位须委托有资质的污染治理公司对项目生活污水进行专项设计治理。</w:t>
      </w:r>
    </w:p>
    <w:p>
      <w:pPr>
        <w:tabs>
          <w:tab w:val="left" w:pos="3810"/>
        </w:tabs>
        <w:adjustRightInd w:val="0"/>
        <w:snapToGrid w:val="0"/>
        <w:spacing w:line="440" w:lineRule="exact"/>
        <w:ind w:firstLine="480" w:firstLineChars="200"/>
        <w:rPr>
          <w:rFonts w:hint="eastAsia" w:ascii="Times New Roman" w:hAnsi="Times New Roman" w:eastAsia="宋体" w:cs="Times New Roman"/>
          <w:bCs/>
          <w:color w:val="auto"/>
          <w:kern w:val="0"/>
          <w:sz w:val="24"/>
          <w:szCs w:val="21"/>
          <w:lang w:eastAsia="zh-CN"/>
        </w:rPr>
      </w:pPr>
      <w:r>
        <w:rPr>
          <w:rFonts w:hint="eastAsia" w:ascii="Times New Roman" w:hAnsi="Times New Roman" w:eastAsia="宋体" w:cs="Times New Roman"/>
          <w:bCs/>
          <w:color w:val="auto"/>
          <w:kern w:val="0"/>
          <w:sz w:val="24"/>
          <w:szCs w:val="21"/>
          <w:lang w:eastAsia="zh-CN"/>
        </w:rPr>
        <w:t>（三）强化大气污染防治。施工期，通过及时洒水喷淋、王化施工场地道路、设置车辆冲洗设施、易扬撒物料运输储存时进行密闭遮盖等措施，严格控制扬尘。运营期，餐饮油烟经油烟净化器处理达标后通过专用烟道高空排放；地下车库废气通过强制排风系统引至绿化处排放，利用植物吸收减轻对环境的影响。</w:t>
      </w:r>
    </w:p>
    <w:p>
      <w:pPr>
        <w:tabs>
          <w:tab w:val="left" w:pos="3810"/>
        </w:tabs>
        <w:adjustRightInd w:val="0"/>
        <w:snapToGrid w:val="0"/>
        <w:spacing w:line="440" w:lineRule="exact"/>
        <w:ind w:firstLine="480" w:firstLineChars="200"/>
        <w:rPr>
          <w:rFonts w:hint="eastAsia" w:ascii="Times New Roman" w:hAnsi="Times New Roman" w:eastAsia="宋体" w:cs="Times New Roman"/>
          <w:bCs/>
          <w:color w:val="auto"/>
          <w:kern w:val="0"/>
          <w:sz w:val="24"/>
          <w:szCs w:val="21"/>
          <w:lang w:eastAsia="zh-CN"/>
        </w:rPr>
      </w:pPr>
      <w:r>
        <w:rPr>
          <w:rFonts w:hint="eastAsia" w:ascii="Times New Roman" w:hAnsi="Times New Roman" w:eastAsia="宋体" w:cs="Times New Roman"/>
          <w:bCs/>
          <w:color w:val="auto"/>
          <w:kern w:val="0"/>
          <w:sz w:val="24"/>
          <w:szCs w:val="21"/>
          <w:lang w:eastAsia="zh-CN"/>
        </w:rPr>
        <w:t>禁止在居民住宅楼、未配套设立专用烟道的商住综合楼以及商住综合楼内与居住层相邻的商业楼层内新建、改建、扩建产生油烟、异味、废气的餐饮服务、加工服务等项目。</w:t>
      </w:r>
    </w:p>
    <w:p>
      <w:pPr>
        <w:tabs>
          <w:tab w:val="left" w:pos="3810"/>
        </w:tabs>
        <w:adjustRightInd w:val="0"/>
        <w:snapToGrid w:val="0"/>
        <w:spacing w:line="440" w:lineRule="exact"/>
        <w:ind w:firstLine="480" w:firstLineChars="200"/>
        <w:rPr>
          <w:rFonts w:hint="eastAsia" w:ascii="Times New Roman" w:hAnsi="Times New Roman" w:eastAsia="宋体" w:cs="Times New Roman"/>
          <w:bCs/>
          <w:color w:val="auto"/>
          <w:kern w:val="0"/>
          <w:sz w:val="24"/>
          <w:szCs w:val="21"/>
          <w:lang w:eastAsia="zh-CN"/>
        </w:rPr>
      </w:pPr>
      <w:r>
        <w:rPr>
          <w:rFonts w:hint="eastAsia" w:ascii="Times New Roman" w:hAnsi="Times New Roman" w:eastAsia="宋体" w:cs="Times New Roman"/>
          <w:bCs/>
          <w:color w:val="auto"/>
          <w:kern w:val="0"/>
          <w:sz w:val="24"/>
          <w:szCs w:val="21"/>
          <w:lang w:eastAsia="zh-CN"/>
        </w:rPr>
        <w:t>（四）做好噪声防治工作。施工期，选用低噪声、低振动备和工艺，合理布局施工场地，高噪声机具远离居民并设置隔声屏障；合理安排施工时间，严格控制夜间（22时至次日6时）施工。施工场界噪声应符合《建筑施工场界环境噪声排放标准》（</w:t>
      </w:r>
      <w:r>
        <w:rPr>
          <w:rFonts w:hint="eastAsia" w:ascii="Times New Roman" w:hAnsi="Times New Roman" w:eastAsia="宋体" w:cs="Times New Roman"/>
          <w:bCs/>
          <w:color w:val="auto"/>
          <w:kern w:val="0"/>
          <w:sz w:val="24"/>
          <w:szCs w:val="21"/>
          <w:lang w:val="en-US" w:eastAsia="zh-CN"/>
        </w:rPr>
        <w:t>G</w:t>
      </w:r>
      <w:r>
        <w:rPr>
          <w:rFonts w:hint="eastAsia" w:ascii="Times New Roman" w:hAnsi="Times New Roman" w:eastAsia="宋体" w:cs="Times New Roman"/>
          <w:bCs/>
          <w:color w:val="auto"/>
          <w:kern w:val="0"/>
          <w:sz w:val="24"/>
          <w:szCs w:val="21"/>
          <w:lang w:eastAsia="zh-CN"/>
        </w:rPr>
        <w:t>B12523-2011）相关要求。运营期，风机、水泵、柴油发电机等高噪声设备布置于地下层，采取建筑隔声、基础减振、消声等措施防治噪声污染。</w:t>
      </w:r>
    </w:p>
    <w:p>
      <w:pPr>
        <w:tabs>
          <w:tab w:val="left" w:pos="3810"/>
        </w:tabs>
        <w:adjustRightInd w:val="0"/>
        <w:snapToGrid w:val="0"/>
        <w:spacing w:line="440" w:lineRule="exact"/>
        <w:ind w:firstLine="480" w:firstLineChars="200"/>
        <w:rPr>
          <w:rFonts w:hint="eastAsia" w:ascii="Times New Roman" w:hAnsi="Times New Roman" w:eastAsia="宋体" w:cs="Times New Roman"/>
          <w:bCs/>
          <w:color w:val="auto"/>
          <w:kern w:val="0"/>
          <w:sz w:val="24"/>
          <w:szCs w:val="21"/>
          <w:lang w:eastAsia="zh-CN"/>
        </w:rPr>
      </w:pPr>
      <w:r>
        <w:rPr>
          <w:rFonts w:hint="eastAsia" w:ascii="Times New Roman" w:hAnsi="Times New Roman" w:eastAsia="宋体" w:cs="Times New Roman"/>
          <w:bCs/>
          <w:color w:val="auto"/>
          <w:kern w:val="0"/>
          <w:sz w:val="24"/>
          <w:szCs w:val="21"/>
          <w:lang w:eastAsia="zh-CN"/>
        </w:rPr>
        <w:t>（五）妥善处理固体废物。实行分类收集和处置,做到“资源化、减量化、无害化”。施工弃渣规范运至市政部门指定堆场；施工生活垃圾集中收集后交环卫部门处置。运营期生活垃圾及生化池污泥，交由环卫部门统一处置;餐厨垃圾委托具有相应处理资质的单位处置。</w:t>
      </w:r>
    </w:p>
    <w:p>
      <w:pPr>
        <w:tabs>
          <w:tab w:val="left" w:pos="3810"/>
        </w:tabs>
        <w:adjustRightInd w:val="0"/>
        <w:snapToGrid w:val="0"/>
        <w:spacing w:line="440" w:lineRule="exact"/>
        <w:ind w:firstLine="480" w:firstLineChars="200"/>
        <w:rPr>
          <w:rFonts w:hint="eastAsia" w:ascii="Times New Roman" w:hAnsi="Times New Roman" w:eastAsia="宋体" w:cs="Times New Roman"/>
          <w:bCs/>
          <w:color w:val="auto"/>
          <w:kern w:val="0"/>
          <w:sz w:val="24"/>
          <w:szCs w:val="21"/>
          <w:lang w:eastAsia="zh-CN"/>
        </w:rPr>
      </w:pPr>
      <w:r>
        <w:rPr>
          <w:rFonts w:hint="eastAsia" w:ascii="Times New Roman" w:hAnsi="Times New Roman" w:eastAsia="宋体" w:cs="Times New Roman"/>
          <w:bCs/>
          <w:color w:val="auto"/>
          <w:kern w:val="0"/>
          <w:sz w:val="24"/>
          <w:szCs w:val="21"/>
          <w:lang w:eastAsia="zh-CN"/>
        </w:rPr>
        <w:t>（六）你单位应在预售房至销售结束期间公示该项目 《重庆市商品住宅受外界噪声污染情况公示表入《重庆市商品住宅建设项目宜居环境指数预评定公示表》。</w:t>
      </w:r>
    </w:p>
    <w:p>
      <w:pPr>
        <w:tabs>
          <w:tab w:val="left" w:pos="3810"/>
        </w:tabs>
        <w:adjustRightInd w:val="0"/>
        <w:snapToGrid w:val="0"/>
        <w:spacing w:line="440" w:lineRule="exact"/>
        <w:ind w:firstLine="480" w:firstLineChars="200"/>
        <w:rPr>
          <w:rFonts w:hint="eastAsia" w:ascii="Times New Roman" w:hAnsi="Times New Roman" w:eastAsia="宋体" w:cs="Times New Roman"/>
          <w:bCs/>
          <w:color w:val="auto"/>
          <w:kern w:val="0"/>
          <w:sz w:val="24"/>
          <w:szCs w:val="21"/>
          <w:lang w:eastAsia="zh-CN"/>
        </w:rPr>
      </w:pPr>
      <w:r>
        <w:rPr>
          <w:rFonts w:hint="eastAsia" w:ascii="Times New Roman" w:hAnsi="Times New Roman" w:eastAsia="宋体" w:cs="Times New Roman"/>
          <w:bCs/>
          <w:color w:val="auto"/>
          <w:kern w:val="0"/>
          <w:sz w:val="24"/>
          <w:szCs w:val="21"/>
          <w:lang w:eastAsia="zh-CN"/>
        </w:rPr>
        <w:t>（七）在项目施工和运营过程中，应定期公开环境信息，接受社会监督。建立畅通的公众参与渠道,加强与周边公众的沟通，及时解决公众合理的环境诉求，妥善处理环保投诉和纠纷。</w:t>
      </w:r>
    </w:p>
    <w:p>
      <w:pPr>
        <w:tabs>
          <w:tab w:val="left" w:pos="3810"/>
        </w:tabs>
        <w:adjustRightInd w:val="0"/>
        <w:snapToGrid w:val="0"/>
        <w:spacing w:line="440" w:lineRule="exact"/>
        <w:ind w:firstLine="480" w:firstLineChars="200"/>
        <w:rPr>
          <w:rFonts w:hint="eastAsia" w:ascii="Times New Roman" w:hAnsi="Times New Roman" w:eastAsia="宋体" w:cs="Times New Roman"/>
          <w:bCs/>
          <w:color w:val="auto"/>
          <w:kern w:val="0"/>
          <w:sz w:val="24"/>
          <w:szCs w:val="21"/>
          <w:lang w:eastAsia="zh-CN"/>
        </w:rPr>
      </w:pPr>
      <w:r>
        <w:rPr>
          <w:rFonts w:hint="eastAsia" w:ascii="Times New Roman" w:hAnsi="Times New Roman" w:eastAsia="宋体" w:cs="Times New Roman"/>
          <w:bCs/>
          <w:color w:val="auto"/>
          <w:kern w:val="0"/>
          <w:sz w:val="24"/>
          <w:szCs w:val="21"/>
          <w:lang w:eastAsia="zh-CN"/>
        </w:rPr>
        <w:t>五、在项目施工和运营过程中，应定期公开环境信息，接受社会监督。建立畅通的公众参与渠道,及时解决公众合理的环境诉求，妥善处理环保投诉和纠纷。</w:t>
      </w:r>
    </w:p>
    <w:p>
      <w:pPr>
        <w:tabs>
          <w:tab w:val="left" w:pos="3810"/>
        </w:tabs>
        <w:adjustRightInd w:val="0"/>
        <w:snapToGrid w:val="0"/>
        <w:spacing w:line="440" w:lineRule="exact"/>
        <w:ind w:firstLine="480" w:firstLineChars="200"/>
        <w:rPr>
          <w:rFonts w:hint="eastAsia" w:ascii="Times New Roman" w:hAnsi="Times New Roman" w:eastAsia="宋体" w:cs="Times New Roman"/>
          <w:bCs/>
          <w:color w:val="auto"/>
          <w:kern w:val="0"/>
          <w:sz w:val="24"/>
          <w:szCs w:val="21"/>
          <w:lang w:eastAsia="zh-CN"/>
        </w:rPr>
      </w:pPr>
      <w:r>
        <w:rPr>
          <w:rFonts w:hint="eastAsia" w:ascii="Times New Roman" w:hAnsi="Times New Roman" w:eastAsia="宋体" w:cs="Times New Roman"/>
          <w:bCs/>
          <w:color w:val="auto"/>
          <w:kern w:val="0"/>
          <w:sz w:val="24"/>
          <w:szCs w:val="21"/>
          <w:lang w:eastAsia="zh-CN"/>
        </w:rPr>
        <w:t>六、项目建设必须严格执行环境保护设施与主体工程同时设计、同时施工、同时投产使用的环境保护“三同时”制度。项目建成后,须按规定程序开展环境保护设施竣工验收，经验收合格，方可投入生产或者使用。</w:t>
      </w:r>
    </w:p>
    <w:p>
      <w:pPr>
        <w:tabs>
          <w:tab w:val="left" w:pos="3810"/>
        </w:tabs>
        <w:adjustRightInd w:val="0"/>
        <w:snapToGrid w:val="0"/>
        <w:spacing w:line="440" w:lineRule="exact"/>
        <w:ind w:firstLine="480" w:firstLineChars="200"/>
        <w:rPr>
          <w:rFonts w:hint="eastAsia" w:ascii="Times New Roman" w:hAnsi="Times New Roman" w:eastAsia="宋体" w:cs="Times New Roman"/>
          <w:bCs/>
          <w:color w:val="auto"/>
          <w:kern w:val="0"/>
          <w:sz w:val="24"/>
          <w:szCs w:val="21"/>
          <w:lang w:eastAsia="zh-CN"/>
        </w:rPr>
      </w:pPr>
      <w:r>
        <w:rPr>
          <w:rFonts w:hint="eastAsia" w:ascii="Times New Roman" w:hAnsi="Times New Roman" w:eastAsia="宋体" w:cs="Times New Roman"/>
          <w:bCs/>
          <w:color w:val="auto"/>
          <w:kern w:val="0"/>
          <w:sz w:val="24"/>
          <w:szCs w:val="21"/>
          <w:lang w:eastAsia="zh-CN"/>
        </w:rPr>
        <w:t>七、若项目的性质、规模、地点、采用的生产工艺或者防治污染、防止生态破坏的措施发生重大变动，你单位应当重新报批该项目的环境影响评价文件。</w:t>
      </w:r>
    </w:p>
    <w:p>
      <w:pPr>
        <w:tabs>
          <w:tab w:val="left" w:pos="3810"/>
        </w:tabs>
        <w:adjustRightInd w:val="0"/>
        <w:snapToGrid w:val="0"/>
        <w:spacing w:line="440" w:lineRule="exact"/>
        <w:ind w:firstLine="480" w:firstLineChars="200"/>
        <w:rPr>
          <w:rFonts w:hint="eastAsia" w:ascii="Times New Roman" w:hAnsi="Times New Roman" w:eastAsia="宋体" w:cs="Times New Roman"/>
          <w:bCs/>
          <w:color w:val="auto"/>
          <w:kern w:val="0"/>
          <w:sz w:val="24"/>
          <w:szCs w:val="21"/>
          <w:lang w:eastAsia="zh-CN"/>
        </w:rPr>
      </w:pPr>
      <w:r>
        <w:rPr>
          <w:rFonts w:hint="eastAsia" w:ascii="Times New Roman" w:hAnsi="Times New Roman" w:eastAsia="宋体" w:cs="Times New Roman"/>
          <w:bCs/>
          <w:color w:val="auto"/>
          <w:kern w:val="0"/>
          <w:sz w:val="24"/>
          <w:szCs w:val="21"/>
          <w:lang w:eastAsia="zh-CN"/>
        </w:rPr>
        <w:t>详见附件</w:t>
      </w:r>
      <w:r>
        <w:rPr>
          <w:rFonts w:hint="eastAsia" w:ascii="Times New Roman" w:hAnsi="Times New Roman" w:eastAsia="宋体" w:cs="Times New Roman"/>
          <w:bCs/>
          <w:color w:val="auto"/>
          <w:kern w:val="0"/>
          <w:sz w:val="24"/>
          <w:szCs w:val="21"/>
          <w:lang w:val="en-US" w:eastAsia="zh-CN"/>
        </w:rPr>
        <w:t>1。</w:t>
      </w:r>
      <w:bookmarkStart w:id="105" w:name="_Toc332660949"/>
      <w:bookmarkStart w:id="106" w:name="_Toc333588657"/>
      <w:bookmarkStart w:id="107" w:name="_Toc333501405"/>
      <w:bookmarkStart w:id="108" w:name="_Toc333501116"/>
      <w:bookmarkStart w:id="109" w:name="_Toc305059573"/>
      <w:bookmarkStart w:id="110" w:name="_Toc321042426"/>
      <w:bookmarkStart w:id="111" w:name="_Toc332553927"/>
      <w:bookmarkStart w:id="112" w:name="_Toc312829620"/>
    </w:p>
    <w:p>
      <w:pPr>
        <w:pStyle w:val="55"/>
        <w:spacing w:line="360" w:lineRule="auto"/>
        <w:rPr>
          <w:rFonts w:cs="Times New Roman"/>
          <w:sz w:val="36"/>
        </w:rPr>
      </w:pPr>
      <w:bookmarkStart w:id="113" w:name="_Toc2525"/>
      <w:r>
        <w:rPr>
          <w:rFonts w:hint="eastAsia" w:cs="Times New Roman"/>
          <w:sz w:val="36"/>
        </w:rPr>
        <w:t>6</w:t>
      </w:r>
      <w:r>
        <w:rPr>
          <w:rFonts w:cs="Times New Roman"/>
          <w:sz w:val="36"/>
        </w:rPr>
        <w:t xml:space="preserve"> </w:t>
      </w:r>
      <w:r>
        <w:rPr>
          <w:rFonts w:hint="eastAsia" w:cs="Times New Roman"/>
          <w:sz w:val="36"/>
        </w:rPr>
        <w:t>验收执行</w:t>
      </w:r>
      <w:r>
        <w:rPr>
          <w:rFonts w:cs="Times New Roman"/>
          <w:sz w:val="36"/>
        </w:rPr>
        <w:t>标准</w:t>
      </w:r>
      <w:bookmarkEnd w:id="105"/>
      <w:bookmarkEnd w:id="106"/>
      <w:bookmarkEnd w:id="107"/>
      <w:bookmarkEnd w:id="108"/>
      <w:bookmarkEnd w:id="109"/>
      <w:bookmarkEnd w:id="110"/>
      <w:bookmarkEnd w:id="111"/>
      <w:bookmarkEnd w:id="113"/>
    </w:p>
    <w:p>
      <w:pPr>
        <w:pStyle w:val="56"/>
        <w:rPr>
          <w:rFonts w:cs="Times New Roman"/>
          <w:sz w:val="32"/>
        </w:rPr>
      </w:pPr>
      <w:bookmarkStart w:id="114" w:name="_Toc321042427"/>
      <w:bookmarkStart w:id="115" w:name="_Toc305059574"/>
      <w:bookmarkStart w:id="116" w:name="_Toc332553928"/>
      <w:bookmarkStart w:id="117" w:name="_Toc341431735"/>
      <w:bookmarkStart w:id="118" w:name="_Toc341278433"/>
      <w:bookmarkStart w:id="119" w:name="_Toc341357482"/>
      <w:bookmarkStart w:id="120" w:name="_Toc341293118"/>
      <w:bookmarkStart w:id="121" w:name="_Toc27924"/>
      <w:bookmarkStart w:id="122" w:name="_Toc333501120"/>
      <w:bookmarkStart w:id="123" w:name="_Toc333501409"/>
      <w:bookmarkStart w:id="124" w:name="_Toc333588661"/>
      <w:r>
        <w:rPr>
          <w:rFonts w:hint="eastAsia" w:cs="Times New Roman"/>
          <w:sz w:val="32"/>
        </w:rPr>
        <w:t>6</w:t>
      </w:r>
      <w:r>
        <w:rPr>
          <w:rFonts w:cs="Times New Roman"/>
          <w:sz w:val="32"/>
        </w:rPr>
        <w:t>.1 废</w:t>
      </w:r>
      <w:bookmarkEnd w:id="114"/>
      <w:bookmarkEnd w:id="115"/>
      <w:bookmarkEnd w:id="116"/>
      <w:r>
        <w:rPr>
          <w:rFonts w:cs="Times New Roman"/>
          <w:sz w:val="32"/>
        </w:rPr>
        <w:t>水</w:t>
      </w:r>
      <w:bookmarkEnd w:id="117"/>
      <w:bookmarkEnd w:id="118"/>
      <w:bookmarkEnd w:id="119"/>
      <w:bookmarkEnd w:id="120"/>
      <w:bookmarkEnd w:id="121"/>
    </w:p>
    <w:p>
      <w:pPr>
        <w:spacing w:line="540" w:lineRule="exact"/>
        <w:ind w:firstLine="470" w:firstLineChars="196"/>
        <w:rPr>
          <w:sz w:val="24"/>
          <w:szCs w:val="24"/>
        </w:rPr>
      </w:pPr>
      <w:r>
        <w:rPr>
          <w:sz w:val="24"/>
          <w:szCs w:val="24"/>
        </w:rPr>
        <w:t>废水执行</w:t>
      </w:r>
      <w:r>
        <w:rPr>
          <w:bCs/>
          <w:sz w:val="24"/>
          <w:szCs w:val="24"/>
        </w:rPr>
        <w:t>《污水综合排放标准》（GB8978-1996）</w:t>
      </w:r>
      <w:r>
        <w:rPr>
          <w:rFonts w:hint="eastAsia"/>
          <w:bCs/>
          <w:sz w:val="24"/>
          <w:szCs w:val="24"/>
        </w:rPr>
        <w:t>三</w:t>
      </w:r>
      <w:r>
        <w:rPr>
          <w:bCs/>
          <w:sz w:val="24"/>
          <w:szCs w:val="24"/>
        </w:rPr>
        <w:t>级标准</w:t>
      </w:r>
      <w:r>
        <w:rPr>
          <w:sz w:val="24"/>
          <w:szCs w:val="24"/>
        </w:rPr>
        <w:t>，标准值如下</w:t>
      </w:r>
      <w:r>
        <w:rPr>
          <w:rFonts w:hint="eastAsia"/>
          <w:sz w:val="24"/>
          <w:szCs w:val="24"/>
          <w:lang w:eastAsia="zh-CN"/>
        </w:rPr>
        <w:t>表</w:t>
      </w:r>
      <w:r>
        <w:rPr>
          <w:rFonts w:hint="eastAsia"/>
          <w:sz w:val="24"/>
          <w:szCs w:val="24"/>
          <w:lang w:val="en-US" w:eastAsia="zh-CN"/>
        </w:rPr>
        <w:t>6-1</w:t>
      </w:r>
      <w:r>
        <w:rPr>
          <w:sz w:val="24"/>
          <w:szCs w:val="24"/>
        </w:rPr>
        <w:t>：</w:t>
      </w:r>
    </w:p>
    <w:tbl>
      <w:tblPr>
        <w:tblStyle w:val="23"/>
        <w:tblW w:w="9286"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14"/>
        <w:gridCol w:w="3300"/>
        <w:gridCol w:w="1291"/>
        <w:gridCol w:w="308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97" w:hRule="exact"/>
          <w:jc w:val="center"/>
        </w:trPr>
        <w:tc>
          <w:tcPr>
            <w:tcW w:w="1614" w:type="dxa"/>
            <w:vAlign w:val="center"/>
          </w:tcPr>
          <w:p>
            <w:pPr>
              <w:ind w:right="17"/>
              <w:jc w:val="center"/>
              <w:rPr>
                <w:sz w:val="24"/>
                <w:szCs w:val="24"/>
              </w:rPr>
            </w:pPr>
            <w:r>
              <w:rPr>
                <w:sz w:val="24"/>
                <w:szCs w:val="24"/>
              </w:rPr>
              <w:t>序号</w:t>
            </w:r>
          </w:p>
        </w:tc>
        <w:tc>
          <w:tcPr>
            <w:tcW w:w="3300" w:type="dxa"/>
            <w:vAlign w:val="center"/>
          </w:tcPr>
          <w:p>
            <w:pPr>
              <w:ind w:right="17"/>
              <w:jc w:val="center"/>
              <w:rPr>
                <w:sz w:val="24"/>
                <w:szCs w:val="24"/>
              </w:rPr>
            </w:pPr>
            <w:r>
              <w:rPr>
                <w:sz w:val="24"/>
                <w:szCs w:val="24"/>
              </w:rPr>
              <w:t>污染物</w:t>
            </w:r>
          </w:p>
        </w:tc>
        <w:tc>
          <w:tcPr>
            <w:tcW w:w="1291" w:type="dxa"/>
            <w:vAlign w:val="center"/>
          </w:tcPr>
          <w:p>
            <w:pPr>
              <w:ind w:right="17"/>
              <w:jc w:val="center"/>
              <w:rPr>
                <w:sz w:val="24"/>
                <w:szCs w:val="24"/>
              </w:rPr>
            </w:pPr>
            <w:r>
              <w:rPr>
                <w:sz w:val="24"/>
                <w:szCs w:val="24"/>
              </w:rPr>
              <w:t>单位</w:t>
            </w:r>
          </w:p>
        </w:tc>
        <w:tc>
          <w:tcPr>
            <w:tcW w:w="3081" w:type="dxa"/>
            <w:vAlign w:val="center"/>
          </w:tcPr>
          <w:p>
            <w:pPr>
              <w:ind w:right="17"/>
              <w:jc w:val="center"/>
              <w:rPr>
                <w:sz w:val="24"/>
                <w:szCs w:val="24"/>
              </w:rPr>
            </w:pPr>
            <w:r>
              <w:rPr>
                <w:sz w:val="24"/>
                <w:szCs w:val="24"/>
              </w:rPr>
              <w:t>标准值</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97" w:hRule="exact"/>
          <w:jc w:val="center"/>
        </w:trPr>
        <w:tc>
          <w:tcPr>
            <w:tcW w:w="1614" w:type="dxa"/>
            <w:vAlign w:val="center"/>
          </w:tcPr>
          <w:p>
            <w:pPr>
              <w:ind w:right="17"/>
              <w:jc w:val="center"/>
              <w:rPr>
                <w:sz w:val="24"/>
                <w:szCs w:val="24"/>
              </w:rPr>
            </w:pPr>
            <w:r>
              <w:rPr>
                <w:sz w:val="24"/>
                <w:szCs w:val="24"/>
              </w:rPr>
              <w:t>1</w:t>
            </w:r>
          </w:p>
        </w:tc>
        <w:tc>
          <w:tcPr>
            <w:tcW w:w="3300" w:type="dxa"/>
            <w:vAlign w:val="center"/>
          </w:tcPr>
          <w:p>
            <w:pPr>
              <w:ind w:right="17"/>
              <w:jc w:val="center"/>
              <w:rPr>
                <w:sz w:val="24"/>
                <w:szCs w:val="24"/>
              </w:rPr>
            </w:pPr>
            <w:r>
              <w:rPr>
                <w:sz w:val="24"/>
                <w:szCs w:val="24"/>
              </w:rPr>
              <w:t>pH</w:t>
            </w:r>
          </w:p>
        </w:tc>
        <w:tc>
          <w:tcPr>
            <w:tcW w:w="1291" w:type="dxa"/>
            <w:vAlign w:val="center"/>
          </w:tcPr>
          <w:p>
            <w:pPr>
              <w:ind w:right="17"/>
              <w:jc w:val="center"/>
              <w:rPr>
                <w:sz w:val="24"/>
                <w:szCs w:val="24"/>
              </w:rPr>
            </w:pPr>
            <w:r>
              <w:rPr>
                <w:sz w:val="24"/>
                <w:szCs w:val="24"/>
              </w:rPr>
              <w:t>-</w:t>
            </w:r>
          </w:p>
        </w:tc>
        <w:tc>
          <w:tcPr>
            <w:tcW w:w="3081" w:type="dxa"/>
            <w:vAlign w:val="center"/>
          </w:tcPr>
          <w:p>
            <w:pPr>
              <w:ind w:right="17"/>
              <w:jc w:val="center"/>
              <w:rPr>
                <w:sz w:val="24"/>
                <w:szCs w:val="24"/>
              </w:rPr>
            </w:pPr>
            <w:r>
              <w:rPr>
                <w:sz w:val="24"/>
                <w:szCs w:val="24"/>
              </w:rPr>
              <w:t>6-9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97" w:hRule="exact"/>
          <w:jc w:val="center"/>
        </w:trPr>
        <w:tc>
          <w:tcPr>
            <w:tcW w:w="1614" w:type="dxa"/>
            <w:vAlign w:val="center"/>
          </w:tcPr>
          <w:p>
            <w:pPr>
              <w:ind w:right="17"/>
              <w:jc w:val="center"/>
              <w:rPr>
                <w:sz w:val="24"/>
                <w:szCs w:val="24"/>
              </w:rPr>
            </w:pPr>
            <w:r>
              <w:rPr>
                <w:sz w:val="24"/>
                <w:szCs w:val="24"/>
              </w:rPr>
              <w:t>2</w:t>
            </w:r>
          </w:p>
        </w:tc>
        <w:tc>
          <w:tcPr>
            <w:tcW w:w="3300" w:type="dxa"/>
            <w:vAlign w:val="center"/>
          </w:tcPr>
          <w:p>
            <w:pPr>
              <w:ind w:right="17"/>
              <w:jc w:val="center"/>
              <w:rPr>
                <w:sz w:val="24"/>
                <w:szCs w:val="24"/>
              </w:rPr>
            </w:pPr>
            <w:r>
              <w:rPr>
                <w:sz w:val="24"/>
                <w:szCs w:val="24"/>
              </w:rPr>
              <w:t>SS</w:t>
            </w:r>
          </w:p>
        </w:tc>
        <w:tc>
          <w:tcPr>
            <w:tcW w:w="1291" w:type="dxa"/>
            <w:vAlign w:val="center"/>
          </w:tcPr>
          <w:p>
            <w:pPr>
              <w:ind w:right="17"/>
              <w:jc w:val="center"/>
              <w:rPr>
                <w:sz w:val="24"/>
                <w:szCs w:val="24"/>
              </w:rPr>
            </w:pPr>
            <w:r>
              <w:rPr>
                <w:sz w:val="24"/>
                <w:szCs w:val="24"/>
              </w:rPr>
              <w:t>mg/L</w:t>
            </w:r>
          </w:p>
        </w:tc>
        <w:tc>
          <w:tcPr>
            <w:tcW w:w="3081" w:type="dxa"/>
            <w:vAlign w:val="center"/>
          </w:tcPr>
          <w:p>
            <w:pPr>
              <w:ind w:right="17"/>
              <w:jc w:val="center"/>
              <w:rPr>
                <w:sz w:val="24"/>
                <w:szCs w:val="24"/>
              </w:rPr>
            </w:pPr>
            <w:r>
              <w:rPr>
                <w:rFonts w:hint="eastAsia"/>
                <w:sz w:val="24"/>
                <w:szCs w:val="24"/>
              </w:rPr>
              <w:t>400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97" w:hRule="exact"/>
          <w:jc w:val="center"/>
        </w:trPr>
        <w:tc>
          <w:tcPr>
            <w:tcW w:w="1614" w:type="dxa"/>
            <w:vAlign w:val="center"/>
          </w:tcPr>
          <w:p>
            <w:pPr>
              <w:ind w:right="17"/>
              <w:jc w:val="center"/>
              <w:rPr>
                <w:sz w:val="24"/>
                <w:szCs w:val="24"/>
              </w:rPr>
            </w:pPr>
            <w:r>
              <w:rPr>
                <w:sz w:val="24"/>
                <w:szCs w:val="24"/>
              </w:rPr>
              <w:t>3</w:t>
            </w:r>
          </w:p>
        </w:tc>
        <w:tc>
          <w:tcPr>
            <w:tcW w:w="3300" w:type="dxa"/>
            <w:vAlign w:val="center"/>
          </w:tcPr>
          <w:p>
            <w:pPr>
              <w:ind w:right="17"/>
              <w:jc w:val="center"/>
              <w:rPr>
                <w:sz w:val="24"/>
                <w:szCs w:val="24"/>
              </w:rPr>
            </w:pPr>
            <w:r>
              <w:rPr>
                <w:sz w:val="24"/>
                <w:szCs w:val="24"/>
              </w:rPr>
              <w:t>COD</w:t>
            </w:r>
          </w:p>
        </w:tc>
        <w:tc>
          <w:tcPr>
            <w:tcW w:w="1291" w:type="dxa"/>
            <w:vAlign w:val="center"/>
          </w:tcPr>
          <w:p>
            <w:pPr>
              <w:ind w:right="17"/>
              <w:jc w:val="center"/>
              <w:rPr>
                <w:sz w:val="24"/>
                <w:szCs w:val="24"/>
              </w:rPr>
            </w:pPr>
            <w:r>
              <w:rPr>
                <w:sz w:val="24"/>
                <w:szCs w:val="24"/>
              </w:rPr>
              <w:t>mg/L</w:t>
            </w:r>
          </w:p>
        </w:tc>
        <w:tc>
          <w:tcPr>
            <w:tcW w:w="3081" w:type="dxa"/>
            <w:vAlign w:val="center"/>
          </w:tcPr>
          <w:p>
            <w:pPr>
              <w:ind w:right="17"/>
              <w:jc w:val="center"/>
              <w:rPr>
                <w:sz w:val="24"/>
                <w:szCs w:val="24"/>
              </w:rPr>
            </w:pPr>
            <w:r>
              <w:rPr>
                <w:rFonts w:hint="eastAsia"/>
                <w:sz w:val="24"/>
                <w:szCs w:val="24"/>
              </w:rPr>
              <w:t>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97" w:hRule="exact"/>
          <w:jc w:val="center"/>
        </w:trPr>
        <w:tc>
          <w:tcPr>
            <w:tcW w:w="1614" w:type="dxa"/>
            <w:vAlign w:val="center"/>
          </w:tcPr>
          <w:p>
            <w:pPr>
              <w:ind w:right="17"/>
              <w:jc w:val="center"/>
              <w:rPr>
                <w:sz w:val="24"/>
                <w:szCs w:val="24"/>
              </w:rPr>
            </w:pPr>
            <w:r>
              <w:rPr>
                <w:rFonts w:hint="eastAsia"/>
                <w:sz w:val="24"/>
                <w:szCs w:val="24"/>
              </w:rPr>
              <w:t>4</w:t>
            </w:r>
          </w:p>
        </w:tc>
        <w:tc>
          <w:tcPr>
            <w:tcW w:w="3300" w:type="dxa"/>
            <w:vAlign w:val="center"/>
          </w:tcPr>
          <w:p>
            <w:pPr>
              <w:ind w:right="17"/>
              <w:jc w:val="center"/>
              <w:rPr>
                <w:sz w:val="24"/>
                <w:szCs w:val="24"/>
              </w:rPr>
            </w:pPr>
            <w:r>
              <w:rPr>
                <w:sz w:val="24"/>
                <w:szCs w:val="24"/>
              </w:rPr>
              <w:t>NH</w:t>
            </w:r>
            <w:r>
              <w:rPr>
                <w:sz w:val="24"/>
                <w:szCs w:val="24"/>
                <w:vertAlign w:val="subscript"/>
              </w:rPr>
              <w:t>3</w:t>
            </w:r>
            <w:r>
              <w:rPr>
                <w:sz w:val="24"/>
                <w:szCs w:val="24"/>
              </w:rPr>
              <w:t>-N</w:t>
            </w:r>
          </w:p>
        </w:tc>
        <w:tc>
          <w:tcPr>
            <w:tcW w:w="1291" w:type="dxa"/>
            <w:vAlign w:val="center"/>
          </w:tcPr>
          <w:p>
            <w:pPr>
              <w:ind w:right="17"/>
              <w:jc w:val="center"/>
              <w:rPr>
                <w:sz w:val="24"/>
                <w:szCs w:val="24"/>
              </w:rPr>
            </w:pPr>
            <w:r>
              <w:rPr>
                <w:sz w:val="24"/>
                <w:szCs w:val="24"/>
              </w:rPr>
              <w:t>mg/L</w:t>
            </w:r>
          </w:p>
        </w:tc>
        <w:tc>
          <w:tcPr>
            <w:tcW w:w="3081" w:type="dxa"/>
            <w:vAlign w:val="center"/>
          </w:tcPr>
          <w:p>
            <w:pPr>
              <w:ind w:right="17"/>
              <w:jc w:val="center"/>
              <w:rPr>
                <w:sz w:val="24"/>
                <w:szCs w:val="24"/>
              </w:rPr>
            </w:pPr>
            <w:r>
              <w:rPr>
                <w:sz w:val="24"/>
                <w:szCs w:val="24"/>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97" w:hRule="exact"/>
          <w:jc w:val="center"/>
        </w:trPr>
        <w:tc>
          <w:tcPr>
            <w:tcW w:w="1614" w:type="dxa"/>
            <w:vAlign w:val="center"/>
          </w:tcPr>
          <w:p>
            <w:pPr>
              <w:ind w:right="17"/>
              <w:jc w:val="center"/>
              <w:rPr>
                <w:sz w:val="24"/>
                <w:szCs w:val="24"/>
              </w:rPr>
            </w:pPr>
            <w:r>
              <w:rPr>
                <w:sz w:val="24"/>
                <w:szCs w:val="24"/>
              </w:rPr>
              <w:t>5</w:t>
            </w:r>
          </w:p>
        </w:tc>
        <w:tc>
          <w:tcPr>
            <w:tcW w:w="3300" w:type="dxa"/>
            <w:vAlign w:val="center"/>
          </w:tcPr>
          <w:p>
            <w:pPr>
              <w:ind w:right="17"/>
              <w:jc w:val="center"/>
              <w:rPr>
                <w:sz w:val="24"/>
                <w:szCs w:val="24"/>
              </w:rPr>
            </w:pPr>
            <w:r>
              <w:rPr>
                <w:rFonts w:hint="eastAsia"/>
                <w:sz w:val="24"/>
                <w:szCs w:val="24"/>
              </w:rPr>
              <w:t>BOD</w:t>
            </w:r>
            <w:r>
              <w:rPr>
                <w:rFonts w:hint="eastAsia"/>
                <w:sz w:val="24"/>
                <w:szCs w:val="24"/>
                <w:vertAlign w:val="subscript"/>
              </w:rPr>
              <w:t>5</w:t>
            </w:r>
          </w:p>
        </w:tc>
        <w:tc>
          <w:tcPr>
            <w:tcW w:w="1291" w:type="dxa"/>
            <w:vAlign w:val="center"/>
          </w:tcPr>
          <w:p>
            <w:pPr>
              <w:ind w:right="17"/>
              <w:jc w:val="center"/>
              <w:rPr>
                <w:sz w:val="24"/>
                <w:szCs w:val="24"/>
              </w:rPr>
            </w:pPr>
            <w:r>
              <w:rPr>
                <w:sz w:val="24"/>
                <w:szCs w:val="24"/>
              </w:rPr>
              <w:t>mg/L</w:t>
            </w:r>
          </w:p>
        </w:tc>
        <w:tc>
          <w:tcPr>
            <w:tcW w:w="3081" w:type="dxa"/>
            <w:vAlign w:val="center"/>
          </w:tcPr>
          <w:p>
            <w:pPr>
              <w:ind w:right="17"/>
              <w:jc w:val="center"/>
              <w:rPr>
                <w:sz w:val="24"/>
                <w:szCs w:val="24"/>
              </w:rPr>
            </w:pPr>
            <w:r>
              <w:rPr>
                <w:rFonts w:hint="eastAsia"/>
                <w:sz w:val="24"/>
                <w:szCs w:val="24"/>
              </w:rPr>
              <w:t>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97" w:hRule="exact"/>
          <w:jc w:val="center"/>
        </w:trPr>
        <w:tc>
          <w:tcPr>
            <w:tcW w:w="1614" w:type="dxa"/>
            <w:vAlign w:val="center"/>
          </w:tcPr>
          <w:p>
            <w:pPr>
              <w:ind w:right="17"/>
              <w:jc w:val="center"/>
              <w:rPr>
                <w:sz w:val="24"/>
                <w:szCs w:val="24"/>
              </w:rPr>
            </w:pPr>
            <w:r>
              <w:rPr>
                <w:rFonts w:hint="eastAsia"/>
                <w:sz w:val="24"/>
                <w:szCs w:val="24"/>
              </w:rPr>
              <w:t>6</w:t>
            </w:r>
          </w:p>
        </w:tc>
        <w:tc>
          <w:tcPr>
            <w:tcW w:w="3300" w:type="dxa"/>
            <w:vAlign w:val="center"/>
          </w:tcPr>
          <w:p>
            <w:pPr>
              <w:ind w:right="17"/>
              <w:jc w:val="center"/>
              <w:rPr>
                <w:sz w:val="24"/>
                <w:szCs w:val="24"/>
              </w:rPr>
            </w:pPr>
            <w:r>
              <w:rPr>
                <w:sz w:val="24"/>
                <w:szCs w:val="24"/>
              </w:rPr>
              <w:t>动植物油</w:t>
            </w:r>
          </w:p>
        </w:tc>
        <w:tc>
          <w:tcPr>
            <w:tcW w:w="1291" w:type="dxa"/>
            <w:vAlign w:val="center"/>
          </w:tcPr>
          <w:p>
            <w:pPr>
              <w:ind w:right="17"/>
              <w:jc w:val="center"/>
              <w:rPr>
                <w:sz w:val="24"/>
                <w:szCs w:val="24"/>
              </w:rPr>
            </w:pPr>
            <w:r>
              <w:rPr>
                <w:sz w:val="24"/>
                <w:szCs w:val="24"/>
              </w:rPr>
              <w:t>mg/L</w:t>
            </w:r>
          </w:p>
        </w:tc>
        <w:tc>
          <w:tcPr>
            <w:tcW w:w="3081" w:type="dxa"/>
            <w:vAlign w:val="center"/>
          </w:tcPr>
          <w:p>
            <w:pPr>
              <w:ind w:right="17"/>
              <w:jc w:val="center"/>
              <w:rPr>
                <w:sz w:val="24"/>
                <w:szCs w:val="24"/>
              </w:rPr>
            </w:pPr>
            <w:r>
              <w:rPr>
                <w:rFonts w:hint="eastAsia"/>
                <w:sz w:val="24"/>
                <w:szCs w:val="24"/>
              </w:rPr>
              <w:t>100</w:t>
            </w:r>
          </w:p>
        </w:tc>
      </w:tr>
    </w:tbl>
    <w:p>
      <w:pPr>
        <w:pStyle w:val="56"/>
        <w:rPr>
          <w:rFonts w:cs="Times New Roman"/>
          <w:sz w:val="32"/>
        </w:rPr>
      </w:pPr>
      <w:bookmarkStart w:id="125" w:name="_Toc31816"/>
      <w:r>
        <w:rPr>
          <w:rFonts w:hint="eastAsia" w:cs="Times New Roman"/>
          <w:sz w:val="32"/>
        </w:rPr>
        <w:t>6</w:t>
      </w:r>
      <w:r>
        <w:rPr>
          <w:rFonts w:cs="Times New Roman"/>
          <w:sz w:val="32"/>
        </w:rPr>
        <w:t>.</w:t>
      </w:r>
      <w:r>
        <w:rPr>
          <w:rFonts w:hint="eastAsia" w:cs="Times New Roman"/>
          <w:sz w:val="32"/>
        </w:rPr>
        <w:t>2</w:t>
      </w:r>
      <w:r>
        <w:rPr>
          <w:rFonts w:cs="Times New Roman"/>
          <w:sz w:val="32"/>
        </w:rPr>
        <w:t xml:space="preserve"> </w:t>
      </w:r>
      <w:r>
        <w:rPr>
          <w:rFonts w:hint="eastAsia" w:cs="Times New Roman"/>
          <w:sz w:val="32"/>
        </w:rPr>
        <w:t>废气</w:t>
      </w:r>
      <w:bookmarkEnd w:id="125"/>
    </w:p>
    <w:p>
      <w:pPr>
        <w:spacing w:line="540" w:lineRule="exact"/>
        <w:ind w:firstLine="470" w:firstLineChars="196"/>
        <w:rPr>
          <w:rFonts w:hint="eastAsia"/>
          <w:b/>
          <w:bCs/>
          <w:kern w:val="0"/>
          <w:sz w:val="28"/>
          <w:szCs w:val="28"/>
        </w:rPr>
      </w:pPr>
      <w:bookmarkStart w:id="126" w:name="_Toc332553930"/>
      <w:bookmarkStart w:id="127" w:name="_Toc305059576"/>
      <w:bookmarkStart w:id="128" w:name="_Toc341293120"/>
      <w:bookmarkStart w:id="129" w:name="_Toc341431737"/>
      <w:bookmarkStart w:id="130" w:name="_Toc321042429"/>
      <w:bookmarkStart w:id="131" w:name="_Toc341357484"/>
      <w:bookmarkStart w:id="132" w:name="_Toc341278435"/>
      <w:r>
        <w:rPr>
          <w:rFonts w:hint="eastAsia"/>
          <w:sz w:val="24"/>
          <w:szCs w:val="24"/>
        </w:rPr>
        <w:t>餐饮业执行《重庆市餐饮业大气污染物排放标准》（DB50/859-2018），详见表 6-2、表 6-3。</w:t>
      </w:r>
      <w:r>
        <w:rPr>
          <w:rFonts w:hint="eastAsia"/>
          <w:sz w:val="28"/>
          <w:szCs w:val="18"/>
        </w:rPr>
        <w:t xml:space="preserve"> </w:t>
      </w:r>
      <w:r>
        <w:rPr>
          <w:rFonts w:hint="eastAsia"/>
          <w:b/>
          <w:bCs/>
          <w:kern w:val="0"/>
          <w:sz w:val="28"/>
          <w:szCs w:val="28"/>
        </w:rPr>
        <w:t xml:space="preserve">  </w:t>
      </w:r>
    </w:p>
    <w:p>
      <w:pPr>
        <w:pStyle w:val="56"/>
        <w:rPr>
          <w:rFonts w:cs="Times New Roman"/>
          <w:sz w:val="32"/>
        </w:rPr>
      </w:pPr>
      <w:bookmarkStart w:id="133" w:name="_Toc31828"/>
      <w:r>
        <w:drawing>
          <wp:inline distT="0" distB="0" distL="114300" distR="114300">
            <wp:extent cx="5899785" cy="2887980"/>
            <wp:effectExtent l="0" t="0" r="5715" b="762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25">
                      <a:lum bright="-12000" contrast="24000"/>
                    </a:blip>
                    <a:stretch>
                      <a:fillRect/>
                    </a:stretch>
                  </pic:blipFill>
                  <pic:spPr>
                    <a:xfrm>
                      <a:off x="0" y="0"/>
                      <a:ext cx="5899785" cy="2887980"/>
                    </a:xfrm>
                    <a:prstGeom prst="rect">
                      <a:avLst/>
                    </a:prstGeom>
                    <a:noFill/>
                    <a:ln>
                      <a:noFill/>
                    </a:ln>
                  </pic:spPr>
                </pic:pic>
              </a:graphicData>
            </a:graphic>
          </wp:inline>
        </w:drawing>
      </w:r>
      <w:r>
        <w:rPr>
          <w:rFonts w:hint="eastAsia" w:cs="Times New Roman"/>
          <w:sz w:val="32"/>
        </w:rPr>
        <w:t>6</w:t>
      </w:r>
      <w:r>
        <w:rPr>
          <w:rFonts w:cs="Times New Roman"/>
          <w:sz w:val="32"/>
        </w:rPr>
        <w:t>.3 噪声</w:t>
      </w:r>
      <w:bookmarkEnd w:id="126"/>
      <w:bookmarkEnd w:id="127"/>
      <w:bookmarkEnd w:id="128"/>
      <w:bookmarkEnd w:id="129"/>
      <w:bookmarkEnd w:id="130"/>
      <w:bookmarkEnd w:id="131"/>
      <w:bookmarkEnd w:id="132"/>
      <w:bookmarkEnd w:id="133"/>
    </w:p>
    <w:p>
      <w:pPr>
        <w:spacing w:line="540" w:lineRule="exact"/>
        <w:ind w:firstLine="480" w:firstLineChars="200"/>
        <w:rPr>
          <w:sz w:val="24"/>
          <w:szCs w:val="24"/>
        </w:rPr>
      </w:pPr>
      <w:r>
        <w:rPr>
          <w:sz w:val="24"/>
          <w:szCs w:val="24"/>
        </w:rPr>
        <w:t>噪声执行《</w:t>
      </w:r>
      <w:r>
        <w:rPr>
          <w:rFonts w:hint="eastAsia"/>
          <w:sz w:val="24"/>
          <w:szCs w:val="24"/>
        </w:rPr>
        <w:t>社会生活</w:t>
      </w:r>
      <w:r>
        <w:rPr>
          <w:sz w:val="24"/>
          <w:szCs w:val="24"/>
        </w:rPr>
        <w:t>环境噪声排放标准》（GB</w:t>
      </w:r>
      <w:r>
        <w:rPr>
          <w:rFonts w:hint="eastAsia"/>
          <w:sz w:val="24"/>
          <w:szCs w:val="24"/>
        </w:rPr>
        <w:t>22337</w:t>
      </w:r>
      <w:r>
        <w:rPr>
          <w:sz w:val="24"/>
          <w:szCs w:val="24"/>
        </w:rPr>
        <w:t>-2008）表1中2类标准，标准值如下</w:t>
      </w:r>
      <w:r>
        <w:rPr>
          <w:rFonts w:hint="eastAsia"/>
          <w:sz w:val="24"/>
          <w:szCs w:val="24"/>
          <w:lang w:eastAsia="zh-CN"/>
        </w:rPr>
        <w:t>表</w:t>
      </w:r>
      <w:r>
        <w:rPr>
          <w:rFonts w:hint="eastAsia"/>
          <w:sz w:val="24"/>
          <w:szCs w:val="24"/>
          <w:lang w:val="en-US" w:eastAsia="zh-CN"/>
        </w:rPr>
        <w:t>6-3</w:t>
      </w:r>
      <w:r>
        <w:rPr>
          <w:sz w:val="24"/>
          <w:szCs w:val="24"/>
        </w:rPr>
        <w:t>：</w:t>
      </w:r>
    </w:p>
    <w:tbl>
      <w:tblPr>
        <w:tblStyle w:val="23"/>
        <w:tblW w:w="928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6"/>
        <w:gridCol w:w="1025"/>
        <w:gridCol w:w="3344"/>
        <w:gridCol w:w="33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551" w:type="dxa"/>
            <w:gridSpan w:val="2"/>
            <w:vAlign w:val="center"/>
          </w:tcPr>
          <w:p>
            <w:pPr>
              <w:jc w:val="center"/>
              <w:rPr>
                <w:color w:val="000000"/>
                <w:szCs w:val="21"/>
              </w:rPr>
            </w:pPr>
            <w:r>
              <w:rPr>
                <w:color w:val="000000"/>
                <w:szCs w:val="21"/>
              </w:rPr>
              <w:t>时段</w:t>
            </w:r>
          </w:p>
        </w:tc>
        <w:tc>
          <w:tcPr>
            <w:tcW w:w="3344" w:type="dxa"/>
            <w:vAlign w:val="center"/>
          </w:tcPr>
          <w:p>
            <w:pPr>
              <w:jc w:val="center"/>
              <w:rPr>
                <w:color w:val="000000"/>
                <w:szCs w:val="21"/>
              </w:rPr>
            </w:pPr>
            <w:r>
              <w:rPr>
                <w:color w:val="000000"/>
                <w:szCs w:val="21"/>
              </w:rPr>
              <w:t>昼间</w:t>
            </w:r>
          </w:p>
        </w:tc>
        <w:tc>
          <w:tcPr>
            <w:tcW w:w="3389" w:type="dxa"/>
            <w:vAlign w:val="center"/>
          </w:tcPr>
          <w:p>
            <w:pPr>
              <w:jc w:val="center"/>
              <w:rPr>
                <w:color w:val="000000"/>
                <w:szCs w:val="21"/>
              </w:rPr>
            </w:pPr>
            <w:r>
              <w:rPr>
                <w:color w:val="000000"/>
                <w:szCs w:val="21"/>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26" w:type="dxa"/>
            <w:vAlign w:val="center"/>
          </w:tcPr>
          <w:p>
            <w:pPr>
              <w:jc w:val="center"/>
              <w:rPr>
                <w:color w:val="000000"/>
                <w:szCs w:val="21"/>
              </w:rPr>
            </w:pPr>
            <w:r>
              <w:rPr>
                <w:color w:val="000000"/>
                <w:szCs w:val="21"/>
              </w:rPr>
              <w:t>标准值dB(A)</w:t>
            </w:r>
          </w:p>
        </w:tc>
        <w:tc>
          <w:tcPr>
            <w:tcW w:w="1025" w:type="dxa"/>
            <w:vAlign w:val="center"/>
          </w:tcPr>
          <w:p>
            <w:pPr>
              <w:jc w:val="center"/>
              <w:rPr>
                <w:color w:val="000000"/>
                <w:szCs w:val="21"/>
              </w:rPr>
            </w:pPr>
            <w:r>
              <w:rPr>
                <w:rFonts w:hint="eastAsia"/>
                <w:color w:val="000000"/>
                <w:szCs w:val="21"/>
              </w:rPr>
              <w:t>2类</w:t>
            </w:r>
          </w:p>
        </w:tc>
        <w:tc>
          <w:tcPr>
            <w:tcW w:w="3344" w:type="dxa"/>
            <w:vAlign w:val="center"/>
          </w:tcPr>
          <w:p>
            <w:pPr>
              <w:jc w:val="center"/>
              <w:rPr>
                <w:color w:val="000000"/>
                <w:szCs w:val="21"/>
              </w:rPr>
            </w:pPr>
            <w:r>
              <w:rPr>
                <w:color w:val="000000"/>
                <w:szCs w:val="21"/>
              </w:rPr>
              <w:t>60</w:t>
            </w:r>
          </w:p>
        </w:tc>
        <w:tc>
          <w:tcPr>
            <w:tcW w:w="3389" w:type="dxa"/>
            <w:vAlign w:val="center"/>
          </w:tcPr>
          <w:p>
            <w:pPr>
              <w:jc w:val="center"/>
              <w:rPr>
                <w:color w:val="000000"/>
                <w:szCs w:val="21"/>
              </w:rPr>
            </w:pPr>
            <w:r>
              <w:rPr>
                <w:color w:val="000000"/>
                <w:szCs w:val="21"/>
              </w:rPr>
              <w:t>50</w:t>
            </w:r>
          </w:p>
        </w:tc>
      </w:tr>
    </w:tbl>
    <w:p>
      <w:pPr>
        <w:pStyle w:val="56"/>
        <w:rPr>
          <w:rFonts w:cs="Times New Roman"/>
          <w:sz w:val="32"/>
        </w:rPr>
      </w:pPr>
      <w:bookmarkStart w:id="134" w:name="_Toc10922"/>
      <w:r>
        <w:rPr>
          <w:rFonts w:hint="eastAsia" w:cs="Times New Roman"/>
          <w:sz w:val="32"/>
        </w:rPr>
        <w:t>6</w:t>
      </w:r>
      <w:r>
        <w:rPr>
          <w:rFonts w:cs="Times New Roman"/>
          <w:sz w:val="32"/>
        </w:rPr>
        <w:t>.</w:t>
      </w:r>
      <w:r>
        <w:rPr>
          <w:rFonts w:hint="eastAsia" w:cs="Times New Roman"/>
          <w:sz w:val="32"/>
        </w:rPr>
        <w:t>4</w:t>
      </w:r>
      <w:r>
        <w:rPr>
          <w:rFonts w:cs="Times New Roman"/>
          <w:sz w:val="32"/>
        </w:rPr>
        <w:t xml:space="preserve"> </w:t>
      </w:r>
      <w:r>
        <w:rPr>
          <w:rFonts w:hint="eastAsia" w:cs="Times New Roman"/>
          <w:sz w:val="32"/>
        </w:rPr>
        <w:t>固体废物</w:t>
      </w:r>
      <w:bookmarkEnd w:id="134"/>
    </w:p>
    <w:p>
      <w:pPr>
        <w:spacing w:line="540" w:lineRule="exact"/>
        <w:ind w:firstLine="480" w:firstLineChars="200"/>
        <w:rPr>
          <w:sz w:val="24"/>
          <w:szCs w:val="24"/>
        </w:rPr>
      </w:pPr>
      <w:r>
        <w:rPr>
          <w:rFonts w:hint="eastAsia"/>
          <w:sz w:val="24"/>
          <w:szCs w:val="24"/>
        </w:rPr>
        <w:t>执行《生活垃圾填埋污染控制标准》（GB16889-2008）；《一般工业固体废物储存、处置场污染控制标准（GB18599-2001）》（2013年修订）</w:t>
      </w:r>
      <w:r>
        <w:rPr>
          <w:rFonts w:hint="eastAsia"/>
          <w:sz w:val="24"/>
          <w:szCs w:val="24"/>
          <w:lang w:eastAsia="zh-CN"/>
        </w:rPr>
        <w:t>；商业用房餐饮业厨余垃圾执行《重庆市餐厨垃圾管理办法》（重庆市人民政府令第 226 号）</w:t>
      </w:r>
      <w:r>
        <w:rPr>
          <w:rFonts w:hint="eastAsia"/>
          <w:sz w:val="24"/>
          <w:szCs w:val="24"/>
        </w:rPr>
        <w:t>。</w:t>
      </w:r>
    </w:p>
    <w:bookmarkEnd w:id="112"/>
    <w:bookmarkEnd w:id="122"/>
    <w:bookmarkEnd w:id="123"/>
    <w:bookmarkEnd w:id="124"/>
    <w:p>
      <w:pPr>
        <w:pStyle w:val="56"/>
        <w:rPr>
          <w:sz w:val="28"/>
          <w:szCs w:val="28"/>
        </w:rPr>
      </w:pPr>
      <w:bookmarkStart w:id="135" w:name="_Toc312829623"/>
      <w:bookmarkStart w:id="136" w:name="_Toc333501123"/>
      <w:bookmarkStart w:id="137" w:name="_Toc333501412"/>
      <w:bookmarkStart w:id="138" w:name="_Toc333588664"/>
    </w:p>
    <w:p>
      <w:pPr>
        <w:widowControl/>
        <w:jc w:val="left"/>
        <w:rPr>
          <w:sz w:val="28"/>
          <w:szCs w:val="28"/>
        </w:rPr>
      </w:pPr>
      <w:r>
        <w:rPr>
          <w:sz w:val="28"/>
          <w:szCs w:val="28"/>
        </w:rPr>
        <w:br w:type="page"/>
      </w:r>
    </w:p>
    <w:p>
      <w:pPr>
        <w:pStyle w:val="55"/>
        <w:spacing w:line="360" w:lineRule="auto"/>
        <w:rPr>
          <w:rFonts w:cs="Times New Roman"/>
          <w:sz w:val="36"/>
        </w:rPr>
      </w:pPr>
      <w:bookmarkStart w:id="139" w:name="_Toc11751"/>
      <w:r>
        <w:rPr>
          <w:rFonts w:hint="eastAsia" w:cs="Times New Roman"/>
          <w:sz w:val="36"/>
        </w:rPr>
        <w:t>7验收监测内容</w:t>
      </w:r>
      <w:bookmarkEnd w:id="139"/>
      <w:bookmarkStart w:id="140" w:name="_Toc510439636"/>
    </w:p>
    <w:bookmarkEnd w:id="135"/>
    <w:bookmarkEnd w:id="136"/>
    <w:bookmarkEnd w:id="137"/>
    <w:bookmarkEnd w:id="138"/>
    <w:bookmarkEnd w:id="140"/>
    <w:p>
      <w:pPr>
        <w:pStyle w:val="56"/>
        <w:rPr>
          <w:rFonts w:hint="eastAsia" w:cs="Times New Roman"/>
          <w:sz w:val="32"/>
          <w:lang w:val="en-US" w:eastAsia="zh-CN"/>
        </w:rPr>
      </w:pPr>
      <w:bookmarkStart w:id="141" w:name="_Toc27744"/>
      <w:r>
        <w:rPr>
          <w:rFonts w:hint="eastAsia" w:cs="Times New Roman"/>
          <w:sz w:val="32"/>
          <w:lang w:val="en-US" w:eastAsia="zh-CN"/>
        </w:rPr>
        <w:t>7.1  废水</w:t>
      </w:r>
      <w:bookmarkEnd w:id="141"/>
    </w:p>
    <w:p>
      <w:pPr>
        <w:adjustRightInd w:val="0"/>
        <w:snapToGrid w:val="0"/>
        <w:spacing w:line="540" w:lineRule="exact"/>
        <w:ind w:firstLine="480" w:firstLineChars="200"/>
        <w:rPr>
          <w:rFonts w:hint="eastAsia" w:hAnsi="宋体"/>
          <w:bCs/>
          <w:sz w:val="24"/>
          <w:szCs w:val="24"/>
          <w:lang w:eastAsia="zh-CN"/>
        </w:rPr>
      </w:pPr>
      <w:r>
        <w:rPr>
          <w:rFonts w:hint="eastAsia" w:ascii="Times New Roman" w:hAnsi="Times New Roman" w:eastAsia="宋体" w:cs="Times New Roman"/>
          <w:b w:val="0"/>
          <w:bCs w:val="0"/>
          <w:kern w:val="2"/>
          <w:sz w:val="24"/>
          <w:szCs w:val="24"/>
          <w:lang w:val="en-US" w:eastAsia="zh-CN" w:bidi="ar-SA"/>
        </w:rPr>
        <w:t>项目生活污水及经过隔油处理后的餐饮废水经项目生化池</w:t>
      </w:r>
      <w:r>
        <w:rPr>
          <w:rFonts w:hint="eastAsia" w:hAnsi="宋体"/>
          <w:bCs/>
          <w:sz w:val="24"/>
          <w:szCs w:val="24"/>
          <w:lang w:eastAsia="zh-CN"/>
        </w:rPr>
        <w:t>处理达</w:t>
      </w:r>
      <w:r>
        <w:rPr>
          <w:rFonts w:hint="eastAsia" w:hAnsi="宋体"/>
          <w:bCs/>
          <w:sz w:val="24"/>
          <w:szCs w:val="24"/>
        </w:rPr>
        <w:t>《污水综合排放标准》</w:t>
      </w:r>
      <w:r>
        <w:rPr>
          <w:rFonts w:hint="eastAsia" w:hAnsi="宋体"/>
          <w:bCs/>
          <w:sz w:val="24"/>
          <w:szCs w:val="24"/>
          <w:lang w:val="en-US" w:eastAsia="zh-CN"/>
        </w:rPr>
        <w:t>（G</w:t>
      </w:r>
      <w:r>
        <w:rPr>
          <w:rFonts w:hint="eastAsia" w:hAnsi="宋体"/>
          <w:bCs/>
          <w:sz w:val="24"/>
          <w:szCs w:val="24"/>
        </w:rPr>
        <w:t>B8</w:t>
      </w:r>
      <w:r>
        <w:rPr>
          <w:rFonts w:hint="eastAsia" w:hAnsi="宋体"/>
          <w:bCs/>
          <w:sz w:val="24"/>
          <w:szCs w:val="24"/>
          <w:lang w:val="en-US" w:eastAsia="zh-CN"/>
        </w:rPr>
        <w:t>978-</w:t>
      </w:r>
      <w:r>
        <w:rPr>
          <w:rFonts w:hint="eastAsia" w:hAnsi="宋体"/>
          <w:bCs/>
          <w:sz w:val="24"/>
          <w:szCs w:val="24"/>
        </w:rPr>
        <w:t>199</w:t>
      </w:r>
      <w:r>
        <w:rPr>
          <w:rFonts w:hint="eastAsia" w:hAnsi="宋体"/>
          <w:bCs/>
          <w:sz w:val="24"/>
          <w:szCs w:val="24"/>
          <w:lang w:val="en-US" w:eastAsia="zh-CN"/>
        </w:rPr>
        <w:t>6）</w:t>
      </w:r>
      <w:r>
        <w:rPr>
          <w:rFonts w:hint="eastAsia" w:hAnsi="宋体"/>
          <w:bCs/>
          <w:sz w:val="24"/>
          <w:szCs w:val="24"/>
        </w:rPr>
        <w:t>中</w:t>
      </w:r>
      <w:r>
        <w:rPr>
          <w:rFonts w:hint="eastAsia" w:hAnsi="宋体"/>
          <w:bCs/>
          <w:sz w:val="24"/>
          <w:szCs w:val="24"/>
          <w:lang w:eastAsia="zh-CN"/>
        </w:rPr>
        <w:t>三</w:t>
      </w:r>
      <w:r>
        <w:rPr>
          <w:rFonts w:hint="eastAsia" w:hAnsi="宋体"/>
          <w:bCs/>
          <w:sz w:val="24"/>
          <w:szCs w:val="24"/>
        </w:rPr>
        <w:t>级排放标准后排入市政</w:t>
      </w:r>
      <w:r>
        <w:rPr>
          <w:rFonts w:hint="eastAsia" w:hAnsi="宋体"/>
          <w:bCs/>
          <w:sz w:val="24"/>
          <w:szCs w:val="24"/>
          <w:lang w:eastAsia="zh-CN"/>
        </w:rPr>
        <w:t>污</w:t>
      </w:r>
      <w:r>
        <w:rPr>
          <w:rFonts w:hint="eastAsia" w:hAnsi="宋体"/>
          <w:bCs/>
          <w:sz w:val="24"/>
          <w:szCs w:val="24"/>
        </w:rPr>
        <w:t>水管网，再进入</w:t>
      </w:r>
      <w:r>
        <w:rPr>
          <w:rFonts w:hint="eastAsia" w:hAnsi="宋体"/>
          <w:bCs/>
          <w:sz w:val="24"/>
          <w:szCs w:val="24"/>
          <w:lang w:eastAsia="zh-CN"/>
        </w:rPr>
        <w:t>明镜滩污水处理厂</w:t>
      </w:r>
      <w:r>
        <w:rPr>
          <w:rFonts w:hint="eastAsia" w:hAnsi="宋体"/>
          <w:bCs/>
          <w:sz w:val="24"/>
          <w:szCs w:val="24"/>
        </w:rPr>
        <w:t>深化处理</w:t>
      </w:r>
      <w:r>
        <w:rPr>
          <w:rFonts w:hint="eastAsia" w:hAnsi="宋体"/>
          <w:bCs/>
          <w:sz w:val="24"/>
          <w:szCs w:val="24"/>
          <w:lang w:eastAsia="zh-CN"/>
        </w:rPr>
        <w:t>后排</w:t>
      </w:r>
      <w:r>
        <w:rPr>
          <w:rFonts w:hint="eastAsia" w:hAnsi="宋体"/>
          <w:bCs/>
          <w:sz w:val="24"/>
          <w:szCs w:val="24"/>
        </w:rPr>
        <w:t>入</w:t>
      </w:r>
      <w:r>
        <w:rPr>
          <w:rFonts w:hint="eastAsia" w:hAnsi="宋体"/>
          <w:bCs/>
          <w:sz w:val="24"/>
          <w:szCs w:val="24"/>
          <w:lang w:eastAsia="zh-CN"/>
        </w:rPr>
        <w:t>长江。</w:t>
      </w:r>
    </w:p>
    <w:p>
      <w:pPr>
        <w:pStyle w:val="56"/>
        <w:rPr>
          <w:rFonts w:hint="eastAsia" w:cs="Times New Roman"/>
          <w:sz w:val="32"/>
          <w:lang w:val="en-US" w:eastAsia="zh-CN"/>
        </w:rPr>
      </w:pPr>
      <w:bookmarkStart w:id="142" w:name="_Toc16279"/>
      <w:r>
        <w:rPr>
          <w:rFonts w:hint="eastAsia" w:cs="Times New Roman"/>
          <w:sz w:val="32"/>
          <w:lang w:val="en-US" w:eastAsia="zh-CN"/>
        </w:rPr>
        <w:t>7.2  废气</w:t>
      </w:r>
      <w:bookmarkEnd w:id="142"/>
    </w:p>
    <w:p>
      <w:pPr>
        <w:adjustRightInd w:val="0"/>
        <w:snapToGrid w:val="0"/>
        <w:spacing w:line="540" w:lineRule="exact"/>
        <w:ind w:firstLine="480" w:firstLineChars="200"/>
        <w:rPr>
          <w:rFonts w:hint="eastAsia" w:ascii="Times New Roman" w:hAnsi="Times New Roman" w:eastAsia="宋体" w:cs="Times New Roman"/>
          <w:b w:val="0"/>
          <w:bCs w:val="0"/>
          <w:kern w:val="2"/>
          <w:sz w:val="24"/>
          <w:szCs w:val="24"/>
          <w:lang w:val="en-US" w:eastAsia="zh-CN" w:bidi="ar-SA"/>
        </w:rPr>
      </w:pPr>
      <w:r>
        <w:rPr>
          <w:rFonts w:hint="eastAsia" w:ascii="Times New Roman" w:hAnsi="Times New Roman" w:eastAsia="宋体" w:cs="Times New Roman"/>
          <w:b w:val="0"/>
          <w:bCs w:val="0"/>
          <w:kern w:val="2"/>
          <w:sz w:val="24"/>
          <w:szCs w:val="24"/>
          <w:lang w:val="en-US" w:eastAsia="zh-CN" w:bidi="ar-SA"/>
        </w:rPr>
        <w:t>项目内油烟废气以及生化池产生的废气均有专用管道进行排放，且能满足排放要求；柴油发电机废气经专用烟道引至裙楼楼顶排放；地下车库废气自然通风排放至室外，且排放口设置在绿化带内，朝向避开居民住宅和人行通道，排放口高出地面 2m，其周围设置了乔灌木，且满足排放要求</w:t>
      </w:r>
      <w:r>
        <w:rPr>
          <w:rFonts w:hint="eastAsia" w:cs="Times New Roman"/>
          <w:b w:val="0"/>
          <w:bCs w:val="0"/>
          <w:kern w:val="2"/>
          <w:sz w:val="24"/>
          <w:szCs w:val="24"/>
          <w:lang w:val="en-US" w:eastAsia="zh-CN" w:bidi="ar-SA"/>
        </w:rPr>
        <w:t>。</w:t>
      </w:r>
    </w:p>
    <w:p>
      <w:pPr>
        <w:pStyle w:val="56"/>
        <w:rPr>
          <w:rFonts w:hint="eastAsia" w:cs="Times New Roman"/>
          <w:sz w:val="32"/>
          <w:lang w:val="en-US" w:eastAsia="zh-CN"/>
        </w:rPr>
      </w:pPr>
      <w:bookmarkStart w:id="143" w:name="_Toc9345"/>
      <w:r>
        <w:rPr>
          <w:rFonts w:hint="eastAsia" w:cs="Times New Roman"/>
          <w:sz w:val="32"/>
          <w:lang w:val="en-US" w:eastAsia="zh-CN"/>
        </w:rPr>
        <w:t>7.3  固体废物</w:t>
      </w:r>
      <w:bookmarkEnd w:id="143"/>
    </w:p>
    <w:p>
      <w:pPr>
        <w:adjustRightInd w:val="0"/>
        <w:snapToGrid w:val="0"/>
        <w:spacing w:line="540" w:lineRule="exact"/>
        <w:ind w:firstLine="480" w:firstLineChars="200"/>
        <w:rPr>
          <w:rFonts w:hint="eastAsia" w:ascii="Times New Roman" w:hAnsi="Times New Roman" w:eastAsia="宋体" w:cs="Times New Roman"/>
          <w:b w:val="0"/>
          <w:bCs w:val="0"/>
          <w:kern w:val="2"/>
          <w:sz w:val="24"/>
          <w:szCs w:val="24"/>
          <w:lang w:val="en-US" w:eastAsia="zh-CN" w:bidi="ar-SA"/>
        </w:rPr>
      </w:pPr>
      <w:r>
        <w:rPr>
          <w:rFonts w:hint="eastAsia" w:ascii="Times New Roman" w:hAnsi="Times New Roman" w:eastAsia="宋体" w:cs="Times New Roman"/>
          <w:b w:val="0"/>
          <w:bCs w:val="0"/>
          <w:kern w:val="2"/>
          <w:sz w:val="24"/>
          <w:szCs w:val="24"/>
          <w:lang w:val="en-US" w:eastAsia="zh-CN" w:bidi="ar-SA"/>
        </w:rPr>
        <w:t>项目可依托市政垃圾收集点，不单独设置了垃圾收集点，由城市环卫统一清运处置。</w:t>
      </w:r>
    </w:p>
    <w:p>
      <w:pPr>
        <w:pStyle w:val="56"/>
        <w:rPr>
          <w:rFonts w:hint="eastAsia" w:cs="Times New Roman"/>
          <w:sz w:val="32"/>
          <w:lang w:val="en-US" w:eastAsia="zh-CN"/>
        </w:rPr>
      </w:pPr>
      <w:bookmarkStart w:id="144" w:name="_Toc31427"/>
      <w:r>
        <w:rPr>
          <w:rFonts w:hint="eastAsia" w:cs="Times New Roman"/>
          <w:sz w:val="32"/>
          <w:lang w:val="en-US" w:eastAsia="zh-CN"/>
        </w:rPr>
        <w:t>7.4  噪声</w:t>
      </w:r>
      <w:bookmarkEnd w:id="144"/>
    </w:p>
    <w:p>
      <w:pPr>
        <w:widowControl/>
        <w:spacing w:line="540" w:lineRule="exact"/>
        <w:ind w:firstLine="480" w:firstLineChars="200"/>
        <w:jc w:val="left"/>
        <w:rPr>
          <w:rFonts w:hint="eastAsia" w:ascii="Times New Roman" w:hAnsi="Times New Roman" w:eastAsia="宋体" w:cs="Times New Roman"/>
          <w:b w:val="0"/>
          <w:bCs w:val="0"/>
          <w:color w:val="000000" w:themeColor="text1"/>
          <w:kern w:val="2"/>
          <w:sz w:val="24"/>
          <w:szCs w:val="24"/>
          <w:lang w:val="en-US" w:eastAsia="zh-CN" w:bidi="ar-SA"/>
        </w:rPr>
      </w:pPr>
      <w:r>
        <w:rPr>
          <w:rFonts w:hint="eastAsia" w:ascii="Times New Roman" w:hAnsi="Times New Roman" w:eastAsia="宋体" w:cs="Times New Roman"/>
          <w:b w:val="0"/>
          <w:bCs w:val="0"/>
          <w:color w:val="000000" w:themeColor="text1"/>
          <w:kern w:val="2"/>
          <w:sz w:val="24"/>
          <w:szCs w:val="24"/>
          <w:lang w:val="en-US" w:eastAsia="zh-CN" w:bidi="ar-SA"/>
        </w:rPr>
        <w:t>项目发电机采用减振措施，车辆少，采用限速、限鸣等措施，项目周围设置围墙、绿化带以及高效隔声门窗阻隔外部交通噪声</w:t>
      </w:r>
    </w:p>
    <w:p>
      <w:pPr>
        <w:widowControl/>
        <w:spacing w:line="540" w:lineRule="exact"/>
        <w:ind w:firstLine="480" w:firstLineChars="200"/>
        <w:jc w:val="left"/>
        <w:rPr>
          <w:rFonts w:hint="eastAsia" w:ascii="Times New Roman" w:hAnsi="Times New Roman" w:eastAsia="宋体" w:cs="Times New Roman"/>
          <w:b w:val="0"/>
          <w:bCs w:val="0"/>
          <w:color w:val="auto"/>
          <w:kern w:val="2"/>
          <w:sz w:val="24"/>
          <w:szCs w:val="24"/>
          <w:lang w:val="en-US" w:eastAsia="zh-CN" w:bidi="ar-SA"/>
        </w:rPr>
      </w:pPr>
      <w:r>
        <w:rPr>
          <w:rFonts w:hint="eastAsia" w:ascii="Times New Roman" w:hAnsi="Times New Roman" w:eastAsia="宋体" w:cs="Times New Roman"/>
          <w:b w:val="0"/>
          <w:bCs w:val="0"/>
          <w:color w:val="auto"/>
          <w:kern w:val="2"/>
          <w:sz w:val="24"/>
          <w:szCs w:val="24"/>
          <w:lang w:val="en-US" w:eastAsia="zh-CN" w:bidi="ar-SA"/>
        </w:rPr>
        <w:t>经调查，项目验收期间无污水、废气排放，无噪声源。根据渝环发〔2013〕88号要求相关要求：“（一）对满足以下条件且以排放生活污水为主的房地产项目，不再进行环境保护设施设计备案、试生产审批及竣工验收监测，项目建成后经现场检查满足环评要求的，直接办理环保竣工验收手续。</w:t>
      </w:r>
    </w:p>
    <w:p>
      <w:pPr>
        <w:widowControl/>
        <w:spacing w:line="540" w:lineRule="exact"/>
        <w:ind w:firstLine="560" w:firstLineChars="200"/>
        <w:jc w:val="left"/>
        <w:rPr>
          <w:rFonts w:hint="eastAsia" w:ascii="Times New Roman" w:hAnsi="Times New Roman" w:eastAsia="宋体" w:cs="Times New Roman"/>
          <w:b w:val="0"/>
          <w:bCs w:val="0"/>
          <w:color w:val="auto"/>
          <w:kern w:val="2"/>
          <w:sz w:val="28"/>
          <w:szCs w:val="28"/>
          <w:lang w:val="en-US" w:eastAsia="zh-CN" w:bidi="ar-SA"/>
        </w:rPr>
      </w:pPr>
      <w:r>
        <w:rPr>
          <w:rFonts w:hint="eastAsia" w:ascii="Times New Roman" w:hAnsi="Times New Roman" w:eastAsia="宋体" w:cs="Times New Roman"/>
          <w:b w:val="0"/>
          <w:bCs w:val="0"/>
          <w:color w:val="auto"/>
          <w:kern w:val="2"/>
          <w:sz w:val="28"/>
          <w:szCs w:val="28"/>
          <w:lang w:val="en-US" w:eastAsia="zh-CN" w:bidi="ar-SA"/>
        </w:rPr>
        <w:br w:type="page"/>
      </w:r>
    </w:p>
    <w:p>
      <w:pPr>
        <w:pStyle w:val="55"/>
        <w:spacing w:line="360" w:lineRule="auto"/>
        <w:rPr>
          <w:rFonts w:cs="Times New Roman"/>
          <w:sz w:val="36"/>
        </w:rPr>
      </w:pPr>
      <w:bookmarkStart w:id="145" w:name="_Toc18159"/>
      <w:r>
        <w:rPr>
          <w:rFonts w:hint="eastAsia" w:cs="Times New Roman"/>
          <w:sz w:val="36"/>
          <w:lang w:val="en-US" w:eastAsia="zh-CN"/>
        </w:rPr>
        <w:t>8</w:t>
      </w:r>
      <w:r>
        <w:rPr>
          <w:rFonts w:hint="eastAsia" w:cs="Times New Roman"/>
          <w:sz w:val="36"/>
        </w:rPr>
        <w:t>环境管理检查结果</w:t>
      </w:r>
      <w:bookmarkEnd w:id="145"/>
    </w:p>
    <w:p>
      <w:pPr>
        <w:pStyle w:val="56"/>
        <w:rPr>
          <w:rFonts w:cs="Times New Roman"/>
          <w:color w:val="auto"/>
          <w:sz w:val="32"/>
        </w:rPr>
      </w:pPr>
      <w:bookmarkStart w:id="146" w:name="_Toc333501413"/>
      <w:bookmarkStart w:id="147" w:name="_Toc333588665"/>
      <w:bookmarkStart w:id="148" w:name="_Toc333501124"/>
      <w:bookmarkStart w:id="149" w:name="_Toc312829624"/>
      <w:bookmarkStart w:id="150" w:name="_Toc7104"/>
      <w:r>
        <w:rPr>
          <w:rFonts w:hint="eastAsia" w:cs="Times New Roman"/>
          <w:color w:val="auto"/>
          <w:sz w:val="32"/>
          <w:lang w:val="en-US" w:eastAsia="zh-CN"/>
        </w:rPr>
        <w:t>8</w:t>
      </w:r>
      <w:r>
        <w:rPr>
          <w:rFonts w:cs="Times New Roman"/>
          <w:color w:val="auto"/>
          <w:sz w:val="32"/>
        </w:rPr>
        <w:t>.1</w:t>
      </w:r>
      <w:bookmarkEnd w:id="146"/>
      <w:bookmarkEnd w:id="147"/>
      <w:bookmarkEnd w:id="148"/>
      <w:bookmarkEnd w:id="149"/>
      <w:r>
        <w:rPr>
          <w:rFonts w:hint="eastAsia" w:cs="Times New Roman"/>
          <w:color w:val="auto"/>
          <w:sz w:val="32"/>
        </w:rPr>
        <w:t>建设项目执行环境影响评价和环境保护“三同时”制度情况</w:t>
      </w:r>
      <w:bookmarkEnd w:id="150"/>
    </w:p>
    <w:p>
      <w:pPr>
        <w:widowControl/>
        <w:spacing w:line="540" w:lineRule="exact"/>
        <w:ind w:firstLine="480" w:firstLineChars="200"/>
        <w:jc w:val="left"/>
        <w:rPr>
          <w:rFonts w:hint="eastAsia" w:ascii="Times New Roman" w:hAnsi="Times New Roman" w:eastAsia="宋体" w:cs="Times New Roman"/>
          <w:b w:val="0"/>
          <w:bCs w:val="0"/>
          <w:color w:val="auto"/>
          <w:kern w:val="2"/>
          <w:sz w:val="24"/>
          <w:szCs w:val="24"/>
          <w:lang w:val="en-US" w:eastAsia="zh-CN" w:bidi="ar-SA"/>
        </w:rPr>
      </w:pPr>
      <w:r>
        <w:rPr>
          <w:rFonts w:hint="eastAsia" w:ascii="Times New Roman" w:hAnsi="Times New Roman" w:eastAsia="宋体" w:cs="Times New Roman"/>
          <w:b w:val="0"/>
          <w:bCs w:val="0"/>
          <w:color w:val="auto"/>
          <w:kern w:val="2"/>
          <w:sz w:val="24"/>
          <w:szCs w:val="24"/>
          <w:lang w:val="en-US" w:eastAsia="zh-CN" w:bidi="ar-SA"/>
        </w:rPr>
        <w:t>2018年3月，重庆宏伟环保工程有限公司对该项目进行了环境影响评价；同年3月，重庆市万州区环境保护局以（渝（万）环准[2018] 32号）文批复了鸿鸥·山屿城环境影响报告表。</w:t>
      </w:r>
    </w:p>
    <w:p>
      <w:pPr>
        <w:widowControl/>
        <w:spacing w:line="540" w:lineRule="exact"/>
        <w:ind w:firstLine="480" w:firstLineChars="200"/>
        <w:jc w:val="left"/>
        <w:rPr>
          <w:rFonts w:hint="eastAsia" w:ascii="Times New Roman" w:hAnsi="Times New Roman" w:eastAsia="宋体" w:cs="Times New Roman"/>
          <w:b w:val="0"/>
          <w:bCs w:val="0"/>
          <w:color w:val="auto"/>
          <w:kern w:val="2"/>
          <w:sz w:val="24"/>
          <w:szCs w:val="24"/>
          <w:lang w:val="en-US" w:eastAsia="zh-CN" w:bidi="ar-SA"/>
        </w:rPr>
      </w:pPr>
      <w:r>
        <w:rPr>
          <w:rFonts w:hint="eastAsia" w:ascii="Times New Roman" w:hAnsi="Times New Roman" w:eastAsia="宋体" w:cs="Times New Roman"/>
          <w:b w:val="0"/>
          <w:bCs w:val="0"/>
          <w:color w:val="auto"/>
          <w:kern w:val="2"/>
          <w:sz w:val="24"/>
          <w:szCs w:val="24"/>
          <w:lang w:val="en-US" w:eastAsia="zh-CN" w:bidi="ar-SA"/>
        </w:rPr>
        <w:t>本项目做到了环保设施与主体工程同时设计、同时施工、同时投入运行，严格执行了环境保护“三同时”制度。</w:t>
      </w:r>
    </w:p>
    <w:p>
      <w:pPr>
        <w:pStyle w:val="56"/>
        <w:rPr>
          <w:rFonts w:cs="Times New Roman"/>
          <w:sz w:val="32"/>
        </w:rPr>
      </w:pPr>
      <w:bookmarkStart w:id="151" w:name="_Toc16062"/>
      <w:r>
        <w:rPr>
          <w:rFonts w:hint="eastAsia" w:cs="Times New Roman"/>
          <w:sz w:val="32"/>
          <w:lang w:val="en-US" w:eastAsia="zh-CN"/>
        </w:rPr>
        <w:t>8</w:t>
      </w:r>
      <w:r>
        <w:rPr>
          <w:rFonts w:cs="Times New Roman"/>
          <w:sz w:val="32"/>
        </w:rPr>
        <w:t xml:space="preserve">.2 </w:t>
      </w:r>
      <w:r>
        <w:rPr>
          <w:rFonts w:hint="eastAsia" w:cs="Times New Roman"/>
          <w:sz w:val="32"/>
        </w:rPr>
        <w:t>环保设施运行情况</w:t>
      </w:r>
      <w:bookmarkEnd w:id="151"/>
    </w:p>
    <w:p>
      <w:pPr>
        <w:widowControl/>
        <w:spacing w:line="540" w:lineRule="exact"/>
        <w:ind w:firstLine="480" w:firstLineChars="200"/>
        <w:jc w:val="left"/>
        <w:rPr>
          <w:rFonts w:hint="eastAsia" w:ascii="Times New Roman" w:hAnsi="Times New Roman" w:eastAsia="宋体" w:cs="Times New Roman"/>
          <w:b w:val="0"/>
          <w:bCs w:val="0"/>
          <w:color w:val="auto"/>
          <w:kern w:val="2"/>
          <w:sz w:val="24"/>
          <w:szCs w:val="24"/>
          <w:lang w:val="en-US" w:eastAsia="zh-CN" w:bidi="ar-SA"/>
        </w:rPr>
      </w:pPr>
      <w:r>
        <w:rPr>
          <w:rFonts w:hint="eastAsia" w:ascii="Times New Roman" w:hAnsi="Times New Roman" w:eastAsia="宋体" w:cs="Times New Roman"/>
          <w:b w:val="0"/>
          <w:bCs w:val="0"/>
          <w:color w:val="auto"/>
          <w:kern w:val="2"/>
          <w:sz w:val="24"/>
          <w:szCs w:val="24"/>
          <w:lang w:val="en-US" w:eastAsia="zh-CN" w:bidi="ar-SA"/>
        </w:rPr>
        <w:t>本项目现处于竣工验收阶段，住户及商业均未入驻，环保设施尚未运行。本项目投入使用之后，环保设施的运行及管理将由物业管理公司负责。</w:t>
      </w:r>
    </w:p>
    <w:p>
      <w:pPr>
        <w:pStyle w:val="56"/>
        <w:rPr>
          <w:rFonts w:cs="Times New Roman"/>
          <w:color w:val="auto"/>
          <w:sz w:val="32"/>
        </w:rPr>
      </w:pPr>
      <w:bookmarkStart w:id="152" w:name="_Toc18719"/>
      <w:r>
        <w:rPr>
          <w:rFonts w:hint="eastAsia" w:cs="Times New Roman"/>
          <w:sz w:val="32"/>
          <w:lang w:val="en-US" w:eastAsia="zh-CN"/>
        </w:rPr>
        <w:t>8</w:t>
      </w:r>
      <w:r>
        <w:rPr>
          <w:rFonts w:cs="Times New Roman"/>
          <w:sz w:val="32"/>
        </w:rPr>
        <w:t>.</w:t>
      </w:r>
      <w:r>
        <w:rPr>
          <w:rFonts w:hint="eastAsia" w:cs="Times New Roman"/>
          <w:sz w:val="32"/>
        </w:rPr>
        <w:t>3</w:t>
      </w:r>
      <w:r>
        <w:rPr>
          <w:rFonts w:hint="eastAsia" w:cs="Times New Roman"/>
          <w:color w:val="auto"/>
          <w:sz w:val="32"/>
        </w:rPr>
        <w:t>环境管理</w:t>
      </w:r>
      <w:bookmarkEnd w:id="152"/>
    </w:p>
    <w:p>
      <w:pPr>
        <w:widowControl/>
        <w:spacing w:line="540" w:lineRule="exact"/>
        <w:ind w:firstLine="480" w:firstLineChars="200"/>
        <w:jc w:val="left"/>
        <w:rPr>
          <w:rFonts w:hint="eastAsia" w:ascii="Times New Roman" w:hAnsi="Times New Roman" w:eastAsia="宋体" w:cs="Times New Roman"/>
          <w:b w:val="0"/>
          <w:bCs w:val="0"/>
          <w:color w:val="auto"/>
          <w:kern w:val="2"/>
          <w:sz w:val="24"/>
          <w:szCs w:val="24"/>
          <w:lang w:val="en-US" w:eastAsia="zh-CN" w:bidi="ar-SA"/>
        </w:rPr>
      </w:pPr>
      <w:r>
        <w:rPr>
          <w:rFonts w:hint="eastAsia" w:ascii="Times New Roman" w:hAnsi="Times New Roman" w:eastAsia="宋体" w:cs="Times New Roman"/>
          <w:b w:val="0"/>
          <w:bCs w:val="0"/>
          <w:color w:val="auto"/>
          <w:kern w:val="2"/>
          <w:sz w:val="24"/>
          <w:szCs w:val="24"/>
          <w:lang w:val="en-US" w:eastAsia="zh-CN" w:bidi="ar-SA"/>
        </w:rPr>
        <w:t>山屿城项目在施工及营运期按环评报告及批复采取了的环境保护措施，防止和控制本项目对环境造成污染和破坏，详见表8-1。</w:t>
      </w:r>
    </w:p>
    <w:p>
      <w:pPr>
        <w:spacing w:line="480" w:lineRule="auto"/>
        <w:ind w:right="-172" w:rightChars="-82"/>
        <w:jc w:val="center"/>
        <w:rPr>
          <w:b/>
          <w:sz w:val="24"/>
          <w:szCs w:val="24"/>
        </w:rPr>
      </w:pPr>
      <w:r>
        <w:rPr>
          <w:rFonts w:hAnsi="宋体"/>
          <w:b/>
          <w:sz w:val="24"/>
          <w:szCs w:val="24"/>
        </w:rPr>
        <w:t>表</w:t>
      </w:r>
      <w:r>
        <w:rPr>
          <w:rFonts w:hint="eastAsia"/>
          <w:b/>
          <w:sz w:val="24"/>
          <w:szCs w:val="24"/>
          <w:lang w:val="en-US" w:eastAsia="zh-CN"/>
        </w:rPr>
        <w:t>8</w:t>
      </w:r>
      <w:r>
        <w:rPr>
          <w:rFonts w:hint="eastAsia"/>
          <w:b/>
          <w:sz w:val="24"/>
          <w:szCs w:val="24"/>
        </w:rPr>
        <w:t>-1</w:t>
      </w:r>
      <w:r>
        <w:rPr>
          <w:b/>
          <w:sz w:val="24"/>
          <w:szCs w:val="24"/>
        </w:rPr>
        <w:t xml:space="preserve">  </w:t>
      </w:r>
      <w:r>
        <w:rPr>
          <w:rFonts w:hint="eastAsia" w:hAnsi="宋体"/>
          <w:b/>
          <w:sz w:val="24"/>
          <w:szCs w:val="24"/>
        </w:rPr>
        <w:t>工程环境管理措施一览</w:t>
      </w:r>
      <w:r>
        <w:rPr>
          <w:rFonts w:hAnsi="宋体"/>
          <w:b/>
          <w:sz w:val="24"/>
          <w:szCs w:val="24"/>
        </w:rPr>
        <w:t>表</w:t>
      </w:r>
    </w:p>
    <w:tbl>
      <w:tblPr>
        <w:tblStyle w:val="23"/>
        <w:tblW w:w="92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6"/>
        <w:gridCol w:w="6472"/>
        <w:gridCol w:w="19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66" w:type="dxa"/>
            <w:vAlign w:val="center"/>
          </w:tcPr>
          <w:p>
            <w:pPr>
              <w:jc w:val="center"/>
              <w:rPr>
                <w:color w:val="auto"/>
                <w:szCs w:val="21"/>
              </w:rPr>
            </w:pPr>
            <w:r>
              <w:rPr>
                <w:rFonts w:hint="eastAsia" w:hAnsi="宋体"/>
                <w:color w:val="auto"/>
                <w:szCs w:val="21"/>
              </w:rPr>
              <w:t>工期</w:t>
            </w:r>
          </w:p>
        </w:tc>
        <w:tc>
          <w:tcPr>
            <w:tcW w:w="6472" w:type="dxa"/>
            <w:vAlign w:val="center"/>
          </w:tcPr>
          <w:p>
            <w:pPr>
              <w:jc w:val="center"/>
              <w:rPr>
                <w:color w:val="auto"/>
                <w:szCs w:val="21"/>
              </w:rPr>
            </w:pPr>
            <w:r>
              <w:rPr>
                <w:rFonts w:hAnsi="宋体"/>
                <w:color w:val="auto"/>
                <w:szCs w:val="21"/>
              </w:rPr>
              <w:t>环保措施要求</w:t>
            </w:r>
          </w:p>
        </w:tc>
        <w:tc>
          <w:tcPr>
            <w:tcW w:w="1948" w:type="dxa"/>
            <w:vAlign w:val="center"/>
          </w:tcPr>
          <w:p>
            <w:pPr>
              <w:jc w:val="center"/>
              <w:rPr>
                <w:color w:val="auto"/>
                <w:szCs w:val="21"/>
              </w:rPr>
            </w:pPr>
            <w:r>
              <w:rPr>
                <w:rFonts w:hAnsi="宋体"/>
                <w:color w:val="auto"/>
                <w:szCs w:val="21"/>
              </w:rPr>
              <w:t>落实情况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6" w:hRule="atLeast"/>
        </w:trPr>
        <w:tc>
          <w:tcPr>
            <w:tcW w:w="866" w:type="dxa"/>
            <w:vMerge w:val="restart"/>
            <w:vAlign w:val="center"/>
          </w:tcPr>
          <w:p>
            <w:pPr>
              <w:jc w:val="center"/>
              <w:rPr>
                <w:color w:val="auto"/>
                <w:szCs w:val="21"/>
              </w:rPr>
            </w:pPr>
            <w:r>
              <w:rPr>
                <w:rFonts w:hint="eastAsia"/>
                <w:color w:val="auto"/>
                <w:szCs w:val="21"/>
              </w:rPr>
              <w:t>施工期</w:t>
            </w:r>
          </w:p>
        </w:tc>
        <w:tc>
          <w:tcPr>
            <w:tcW w:w="6472" w:type="dxa"/>
            <w:vAlign w:val="center"/>
          </w:tcPr>
          <w:p>
            <w:pPr>
              <w:jc w:val="center"/>
              <w:rPr>
                <w:color w:val="auto"/>
                <w:szCs w:val="21"/>
              </w:rPr>
            </w:pPr>
            <w:r>
              <w:rPr>
                <w:rFonts w:hint="eastAsia"/>
                <w:color w:val="auto"/>
                <w:szCs w:val="21"/>
              </w:rPr>
              <w:t>切实落实建设项目的“三同时”原则，切实按照设计要求予以实施，以确保环保设施的建设，使工程达到预期效果。</w:t>
            </w:r>
          </w:p>
        </w:tc>
        <w:tc>
          <w:tcPr>
            <w:tcW w:w="1948" w:type="dxa"/>
            <w:vAlign w:val="center"/>
          </w:tcPr>
          <w:p>
            <w:pPr>
              <w:jc w:val="center"/>
              <w:rPr>
                <w:color w:val="auto"/>
                <w:szCs w:val="21"/>
              </w:rPr>
            </w:pPr>
            <w:r>
              <w:rPr>
                <w:rFonts w:hint="eastAsia"/>
                <w:color w:val="auto"/>
                <w:szCs w:val="21"/>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66" w:type="dxa"/>
            <w:vMerge w:val="continue"/>
            <w:vAlign w:val="center"/>
          </w:tcPr>
          <w:p>
            <w:pPr>
              <w:jc w:val="center"/>
              <w:rPr>
                <w:color w:val="auto"/>
                <w:szCs w:val="21"/>
              </w:rPr>
            </w:pPr>
          </w:p>
        </w:tc>
        <w:tc>
          <w:tcPr>
            <w:tcW w:w="6472" w:type="dxa"/>
            <w:vAlign w:val="center"/>
          </w:tcPr>
          <w:p>
            <w:pPr>
              <w:jc w:val="center"/>
              <w:rPr>
                <w:color w:val="auto"/>
                <w:szCs w:val="21"/>
              </w:rPr>
            </w:pPr>
            <w:r>
              <w:rPr>
                <w:rFonts w:hint="eastAsia"/>
                <w:color w:val="auto"/>
                <w:szCs w:val="21"/>
              </w:rPr>
              <w:t>严格按照《建筑施工场界环境噪声排放标准》（GB12523-2011）控制施工噪声，严禁打桩机夜间施工。必须夜间施工时，须向环保局申报，经批准后才能施工，施工单位应将施工时间期限、批准单位公告于众。</w:t>
            </w:r>
          </w:p>
        </w:tc>
        <w:tc>
          <w:tcPr>
            <w:tcW w:w="1948" w:type="dxa"/>
            <w:vAlign w:val="center"/>
          </w:tcPr>
          <w:p>
            <w:pPr>
              <w:jc w:val="center"/>
              <w:rPr>
                <w:color w:val="auto"/>
                <w:szCs w:val="21"/>
              </w:rPr>
            </w:pPr>
            <w:r>
              <w:rPr>
                <w:rFonts w:hint="eastAsia"/>
                <w:color w:val="auto"/>
                <w:szCs w:val="21"/>
              </w:rPr>
              <w:t>施工期间无噪声污染投诉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6" w:hRule="atLeast"/>
        </w:trPr>
        <w:tc>
          <w:tcPr>
            <w:tcW w:w="866" w:type="dxa"/>
            <w:vMerge w:val="continue"/>
            <w:vAlign w:val="center"/>
          </w:tcPr>
          <w:p>
            <w:pPr>
              <w:jc w:val="center"/>
              <w:rPr>
                <w:color w:val="auto"/>
                <w:szCs w:val="21"/>
              </w:rPr>
            </w:pPr>
          </w:p>
        </w:tc>
        <w:tc>
          <w:tcPr>
            <w:tcW w:w="6472" w:type="dxa"/>
            <w:vAlign w:val="center"/>
          </w:tcPr>
          <w:p>
            <w:pPr>
              <w:jc w:val="center"/>
              <w:rPr>
                <w:color w:val="auto"/>
                <w:szCs w:val="21"/>
              </w:rPr>
            </w:pPr>
            <w:r>
              <w:rPr>
                <w:rFonts w:hint="eastAsia"/>
                <w:color w:val="auto"/>
                <w:szCs w:val="21"/>
              </w:rPr>
              <w:t>合理组织施工，及时运走开挖回填后的弃方，并采取预防保护措施、工程措施、植物措施、临时措施，尽可能减少水土流失。</w:t>
            </w:r>
          </w:p>
        </w:tc>
        <w:tc>
          <w:tcPr>
            <w:tcW w:w="1948" w:type="dxa"/>
            <w:vAlign w:val="center"/>
          </w:tcPr>
          <w:p>
            <w:pPr>
              <w:jc w:val="center"/>
              <w:rPr>
                <w:color w:val="auto"/>
                <w:szCs w:val="21"/>
              </w:rPr>
            </w:pPr>
            <w:r>
              <w:rPr>
                <w:rFonts w:hint="eastAsia"/>
                <w:color w:val="auto"/>
                <w:szCs w:val="21"/>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66" w:type="dxa"/>
            <w:vMerge w:val="continue"/>
            <w:vAlign w:val="center"/>
          </w:tcPr>
          <w:p>
            <w:pPr>
              <w:jc w:val="center"/>
              <w:rPr>
                <w:color w:val="auto"/>
                <w:szCs w:val="21"/>
              </w:rPr>
            </w:pPr>
          </w:p>
        </w:tc>
        <w:tc>
          <w:tcPr>
            <w:tcW w:w="6472" w:type="dxa"/>
            <w:vAlign w:val="center"/>
          </w:tcPr>
          <w:p>
            <w:pPr>
              <w:jc w:val="center"/>
              <w:rPr>
                <w:color w:val="auto"/>
                <w:szCs w:val="21"/>
              </w:rPr>
            </w:pPr>
            <w:r>
              <w:rPr>
                <w:rFonts w:hint="eastAsia"/>
                <w:color w:val="auto"/>
                <w:szCs w:val="21"/>
              </w:rPr>
              <w:t>严格按照有关规定对工地进出的工程车辆进行冲洗，并对运载弃方的工程车辆加盖，在施工场地内设沉沙池，施工垃圾不准随意倾倒，严禁车辆超载在市区公路上行驶，严禁野蛮施工和不文明施工。</w:t>
            </w:r>
          </w:p>
        </w:tc>
        <w:tc>
          <w:tcPr>
            <w:tcW w:w="1948" w:type="dxa"/>
            <w:vAlign w:val="center"/>
          </w:tcPr>
          <w:p>
            <w:pPr>
              <w:jc w:val="center"/>
              <w:rPr>
                <w:color w:val="auto"/>
                <w:szCs w:val="21"/>
              </w:rPr>
            </w:pPr>
            <w:r>
              <w:rPr>
                <w:rFonts w:hint="eastAsia"/>
                <w:color w:val="auto"/>
                <w:szCs w:val="21"/>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4" w:hRule="atLeast"/>
        </w:trPr>
        <w:tc>
          <w:tcPr>
            <w:tcW w:w="866" w:type="dxa"/>
            <w:vMerge w:val="continue"/>
            <w:vAlign w:val="center"/>
          </w:tcPr>
          <w:p>
            <w:pPr>
              <w:jc w:val="center"/>
              <w:rPr>
                <w:color w:val="auto"/>
                <w:szCs w:val="21"/>
              </w:rPr>
            </w:pPr>
          </w:p>
        </w:tc>
        <w:tc>
          <w:tcPr>
            <w:tcW w:w="6472" w:type="dxa"/>
            <w:vAlign w:val="center"/>
          </w:tcPr>
          <w:p>
            <w:pPr>
              <w:jc w:val="center"/>
              <w:rPr>
                <w:color w:val="auto"/>
                <w:szCs w:val="21"/>
              </w:rPr>
            </w:pPr>
            <w:r>
              <w:rPr>
                <w:rFonts w:hint="eastAsia"/>
                <w:color w:val="auto"/>
                <w:szCs w:val="21"/>
              </w:rPr>
              <w:t>施工场地应设临时垃圾站等设施，便于环卫部门收运。旱厕废物委托环卫部门定期运至周边污水处理厂处理，减少生活污水的无序排放。</w:t>
            </w:r>
          </w:p>
        </w:tc>
        <w:tc>
          <w:tcPr>
            <w:tcW w:w="1948" w:type="dxa"/>
            <w:vAlign w:val="center"/>
          </w:tcPr>
          <w:p>
            <w:pPr>
              <w:jc w:val="center"/>
              <w:rPr>
                <w:color w:val="auto"/>
                <w:szCs w:val="21"/>
              </w:rPr>
            </w:pPr>
            <w:r>
              <w:rPr>
                <w:rFonts w:hint="eastAsia"/>
                <w:color w:val="auto"/>
                <w:szCs w:val="21"/>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66" w:type="dxa"/>
            <w:vMerge w:val="restart"/>
            <w:vAlign w:val="center"/>
          </w:tcPr>
          <w:p>
            <w:pPr>
              <w:jc w:val="center"/>
              <w:rPr>
                <w:color w:val="auto"/>
                <w:szCs w:val="21"/>
              </w:rPr>
            </w:pPr>
            <w:r>
              <w:rPr>
                <w:rFonts w:hint="eastAsia"/>
                <w:color w:val="auto"/>
                <w:szCs w:val="21"/>
              </w:rPr>
              <w:t>运营期</w:t>
            </w:r>
          </w:p>
        </w:tc>
        <w:tc>
          <w:tcPr>
            <w:tcW w:w="6472" w:type="dxa"/>
            <w:vAlign w:val="center"/>
          </w:tcPr>
          <w:p>
            <w:pPr>
              <w:jc w:val="center"/>
              <w:rPr>
                <w:color w:val="auto"/>
                <w:szCs w:val="21"/>
              </w:rPr>
            </w:pPr>
            <w:r>
              <w:rPr>
                <w:rFonts w:hint="eastAsia"/>
                <w:color w:val="auto"/>
                <w:szCs w:val="21"/>
              </w:rPr>
              <w:t xml:space="preserve">工程运行前，协助环保部门进行“三同时”验收，检查环保设施是否按要求建设。           </w:t>
            </w:r>
          </w:p>
        </w:tc>
        <w:tc>
          <w:tcPr>
            <w:tcW w:w="1948" w:type="dxa"/>
            <w:vAlign w:val="center"/>
          </w:tcPr>
          <w:p>
            <w:pPr>
              <w:jc w:val="center"/>
              <w:rPr>
                <w:color w:val="auto"/>
                <w:szCs w:val="21"/>
              </w:rPr>
            </w:pPr>
            <w:r>
              <w:rPr>
                <w:rFonts w:hint="eastAsia"/>
                <w:color w:val="auto"/>
                <w:szCs w:val="21"/>
              </w:rPr>
              <w:t>环保设施按已按要求建设，已编制环境保护验收报告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66" w:type="dxa"/>
            <w:vMerge w:val="continue"/>
            <w:vAlign w:val="center"/>
          </w:tcPr>
          <w:p>
            <w:pPr>
              <w:jc w:val="center"/>
              <w:rPr>
                <w:color w:val="auto"/>
                <w:szCs w:val="21"/>
              </w:rPr>
            </w:pPr>
          </w:p>
        </w:tc>
        <w:tc>
          <w:tcPr>
            <w:tcW w:w="6472" w:type="dxa"/>
            <w:vAlign w:val="center"/>
          </w:tcPr>
          <w:p>
            <w:pPr>
              <w:jc w:val="center"/>
              <w:rPr>
                <w:color w:val="auto"/>
                <w:szCs w:val="21"/>
              </w:rPr>
            </w:pPr>
            <w:r>
              <w:rPr>
                <w:rFonts w:hint="eastAsia"/>
                <w:color w:val="auto"/>
                <w:szCs w:val="21"/>
              </w:rPr>
              <w:t>加强对员工的环境意识教育，特别是领导层的环境保护意识要加强。</w:t>
            </w:r>
          </w:p>
        </w:tc>
        <w:tc>
          <w:tcPr>
            <w:tcW w:w="1948" w:type="dxa"/>
            <w:vAlign w:val="center"/>
          </w:tcPr>
          <w:p>
            <w:pPr>
              <w:jc w:val="center"/>
              <w:rPr>
                <w:color w:val="auto"/>
                <w:szCs w:val="21"/>
              </w:rPr>
            </w:pPr>
            <w:r>
              <w:rPr>
                <w:rFonts w:hint="eastAsia"/>
                <w:color w:val="auto"/>
                <w:szCs w:val="21"/>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66" w:type="dxa"/>
            <w:vMerge w:val="continue"/>
            <w:vAlign w:val="center"/>
          </w:tcPr>
          <w:p>
            <w:pPr>
              <w:jc w:val="center"/>
              <w:rPr>
                <w:color w:val="auto"/>
                <w:szCs w:val="21"/>
              </w:rPr>
            </w:pPr>
          </w:p>
        </w:tc>
        <w:tc>
          <w:tcPr>
            <w:tcW w:w="6472" w:type="dxa"/>
            <w:vAlign w:val="center"/>
          </w:tcPr>
          <w:p>
            <w:pPr>
              <w:ind w:left="-63" w:leftChars="-30" w:right="-63" w:rightChars="-30"/>
              <w:jc w:val="center"/>
              <w:rPr>
                <w:color w:val="auto"/>
                <w:szCs w:val="21"/>
              </w:rPr>
            </w:pPr>
            <w:r>
              <w:rPr>
                <w:rFonts w:hint="eastAsia"/>
                <w:color w:val="auto"/>
                <w:szCs w:val="21"/>
              </w:rPr>
              <w:t>环保专职人员应定期对小区环保设施进行检查和维护，保证正常运行。</w:t>
            </w:r>
          </w:p>
        </w:tc>
        <w:tc>
          <w:tcPr>
            <w:tcW w:w="1948" w:type="dxa"/>
            <w:vMerge w:val="restart"/>
            <w:vAlign w:val="center"/>
          </w:tcPr>
          <w:p>
            <w:pPr>
              <w:jc w:val="center"/>
              <w:rPr>
                <w:color w:val="auto"/>
                <w:szCs w:val="21"/>
              </w:rPr>
            </w:pPr>
            <w:r>
              <w:rPr>
                <w:rFonts w:hint="eastAsia"/>
                <w:color w:val="auto"/>
                <w:szCs w:val="21"/>
              </w:rPr>
              <w:t>验收后委托物管部门进行管理。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66" w:type="dxa"/>
            <w:vMerge w:val="continue"/>
            <w:vAlign w:val="center"/>
          </w:tcPr>
          <w:p>
            <w:pPr>
              <w:jc w:val="center"/>
              <w:rPr>
                <w:color w:val="auto"/>
                <w:szCs w:val="21"/>
              </w:rPr>
            </w:pPr>
          </w:p>
        </w:tc>
        <w:tc>
          <w:tcPr>
            <w:tcW w:w="6472" w:type="dxa"/>
            <w:vAlign w:val="center"/>
          </w:tcPr>
          <w:p>
            <w:pPr>
              <w:jc w:val="center"/>
              <w:rPr>
                <w:color w:val="auto"/>
                <w:szCs w:val="21"/>
              </w:rPr>
            </w:pPr>
            <w:r>
              <w:rPr>
                <w:rFonts w:hint="eastAsia"/>
                <w:color w:val="auto"/>
                <w:szCs w:val="21"/>
              </w:rPr>
              <w:t>加强小区的物业管理，实行垃圾分类回收，做好小区的绿化工作。</w:t>
            </w:r>
          </w:p>
        </w:tc>
        <w:tc>
          <w:tcPr>
            <w:tcW w:w="1948" w:type="dxa"/>
            <w:vMerge w:val="continue"/>
            <w:vAlign w:val="center"/>
          </w:tcPr>
          <w:p>
            <w:pPr>
              <w:jc w:val="center"/>
              <w:rPr>
                <w:color w:val="auto"/>
                <w:szCs w:val="21"/>
              </w:rPr>
            </w:pPr>
          </w:p>
        </w:tc>
      </w:tr>
    </w:tbl>
    <w:p>
      <w:pPr>
        <w:pStyle w:val="56"/>
        <w:rPr>
          <w:rFonts w:cs="Times New Roman"/>
          <w:sz w:val="32"/>
        </w:rPr>
      </w:pPr>
      <w:bookmarkStart w:id="153" w:name="_Toc2273"/>
      <w:r>
        <w:rPr>
          <w:rFonts w:hint="eastAsia" w:cs="Times New Roman"/>
          <w:color w:val="auto"/>
          <w:sz w:val="32"/>
          <w:lang w:val="en-US" w:eastAsia="zh-CN"/>
        </w:rPr>
        <w:t>8</w:t>
      </w:r>
      <w:r>
        <w:rPr>
          <w:rFonts w:hint="eastAsia" w:cs="Times New Roman"/>
          <w:color w:val="auto"/>
          <w:sz w:val="32"/>
        </w:rPr>
        <w:t>.4</w:t>
      </w:r>
      <w:r>
        <w:rPr>
          <w:rFonts w:cs="Times New Roman"/>
          <w:color w:val="auto"/>
          <w:sz w:val="32"/>
        </w:rPr>
        <w:t xml:space="preserve"> </w:t>
      </w:r>
      <w:r>
        <w:rPr>
          <w:rFonts w:hint="eastAsia" w:cs="Times New Roman"/>
          <w:color w:val="auto"/>
          <w:sz w:val="32"/>
        </w:rPr>
        <w:t>环保档案管理</w:t>
      </w:r>
      <w:bookmarkEnd w:id="153"/>
    </w:p>
    <w:p>
      <w:pPr>
        <w:widowControl/>
        <w:spacing w:line="540" w:lineRule="exact"/>
        <w:ind w:firstLine="480" w:firstLineChars="200"/>
        <w:jc w:val="left"/>
        <w:rPr>
          <w:rFonts w:hint="eastAsia" w:ascii="Times New Roman" w:hAnsi="Times New Roman" w:eastAsia="宋体" w:cs="Times New Roman"/>
          <w:b w:val="0"/>
          <w:bCs w:val="0"/>
          <w:color w:val="auto"/>
          <w:kern w:val="2"/>
          <w:sz w:val="24"/>
          <w:szCs w:val="24"/>
          <w:lang w:val="en-US" w:eastAsia="zh-CN" w:bidi="ar-SA"/>
        </w:rPr>
      </w:pPr>
      <w:r>
        <w:rPr>
          <w:rFonts w:hint="eastAsia" w:ascii="Times New Roman" w:hAnsi="Times New Roman" w:eastAsia="宋体" w:cs="Times New Roman"/>
          <w:b w:val="0"/>
          <w:bCs w:val="0"/>
          <w:color w:val="auto"/>
          <w:kern w:val="2"/>
          <w:sz w:val="24"/>
          <w:szCs w:val="24"/>
          <w:lang w:val="en-US" w:eastAsia="zh-CN" w:bidi="ar-SA"/>
        </w:rPr>
        <w:t>本项目环保档案由重庆市万州区鸿鸥地产发展有限公司办公室整理保管。</w:t>
      </w:r>
    </w:p>
    <w:p>
      <w:pPr>
        <w:pStyle w:val="56"/>
        <w:rPr>
          <w:rFonts w:cs="Times New Roman"/>
          <w:sz w:val="32"/>
        </w:rPr>
      </w:pPr>
      <w:bookmarkStart w:id="154" w:name="_Toc17944"/>
      <w:bookmarkStart w:id="155" w:name="_Toc16927"/>
      <w:r>
        <w:rPr>
          <w:rFonts w:hint="eastAsia" w:cs="Times New Roman"/>
          <w:sz w:val="32"/>
          <w:lang w:val="en-US" w:eastAsia="zh-CN"/>
        </w:rPr>
        <w:t>8</w:t>
      </w:r>
      <w:r>
        <w:rPr>
          <w:rFonts w:cs="Times New Roman"/>
          <w:sz w:val="32"/>
        </w:rPr>
        <w:t>.</w:t>
      </w:r>
      <w:r>
        <w:rPr>
          <w:rFonts w:hint="eastAsia" w:cs="Times New Roman"/>
          <w:sz w:val="32"/>
        </w:rPr>
        <w:t>5</w:t>
      </w:r>
      <w:r>
        <w:rPr>
          <w:rFonts w:cs="Times New Roman"/>
          <w:sz w:val="32"/>
        </w:rPr>
        <w:t xml:space="preserve"> </w:t>
      </w:r>
      <w:r>
        <w:rPr>
          <w:rFonts w:hint="eastAsia" w:cs="Times New Roman"/>
          <w:sz w:val="32"/>
        </w:rPr>
        <w:t>公示情况</w:t>
      </w:r>
      <w:bookmarkEnd w:id="154"/>
      <w:bookmarkEnd w:id="155"/>
    </w:p>
    <w:p>
      <w:pPr>
        <w:widowControl/>
        <w:spacing w:line="540" w:lineRule="exact"/>
        <w:ind w:firstLine="480" w:firstLineChars="200"/>
        <w:jc w:val="left"/>
        <w:rPr>
          <w:rFonts w:hint="eastAsia" w:ascii="Times New Roman" w:hAnsi="Times New Roman" w:eastAsia="宋体" w:cs="Times New Roman"/>
          <w:b w:val="0"/>
          <w:bCs w:val="0"/>
          <w:color w:val="auto"/>
          <w:kern w:val="2"/>
          <w:sz w:val="24"/>
          <w:szCs w:val="24"/>
          <w:lang w:val="en-US" w:eastAsia="zh-CN" w:bidi="ar-SA"/>
        </w:rPr>
      </w:pPr>
      <w:r>
        <w:rPr>
          <w:rFonts w:hint="eastAsia" w:ascii="Times New Roman" w:hAnsi="Times New Roman" w:eastAsia="宋体" w:cs="Times New Roman"/>
          <w:b w:val="0"/>
          <w:bCs w:val="0"/>
          <w:color w:val="auto"/>
          <w:kern w:val="2"/>
          <w:sz w:val="24"/>
          <w:szCs w:val="24"/>
          <w:lang w:val="en-US" w:eastAsia="zh-CN" w:bidi="ar-SA"/>
        </w:rPr>
        <w:t>本项目在预售房至销售结束期间对项目《重庆市商品住宅受外界噪声污染情况公示表》和《重庆市商品住宅建设项目宜居环境指数预评定公示表》进行了公示。</w:t>
      </w:r>
    </w:p>
    <w:p>
      <w:pPr>
        <w:autoSpaceDE w:val="0"/>
        <w:autoSpaceDN w:val="0"/>
        <w:adjustRightInd w:val="0"/>
        <w:spacing w:line="360" w:lineRule="auto"/>
        <w:ind w:firstLine="560" w:firstLineChars="200"/>
        <w:jc w:val="left"/>
        <w:rPr>
          <w:color w:val="000000"/>
          <w:kern w:val="0"/>
          <w:sz w:val="28"/>
          <w:szCs w:val="28"/>
        </w:rPr>
      </w:pPr>
    </w:p>
    <w:p>
      <w:pPr>
        <w:autoSpaceDE w:val="0"/>
        <w:autoSpaceDN w:val="0"/>
        <w:adjustRightInd w:val="0"/>
        <w:spacing w:line="360" w:lineRule="auto"/>
        <w:ind w:firstLine="560" w:firstLineChars="200"/>
        <w:jc w:val="left"/>
        <w:rPr>
          <w:color w:val="000000"/>
          <w:kern w:val="0"/>
          <w:sz w:val="28"/>
          <w:szCs w:val="28"/>
        </w:rPr>
      </w:pPr>
    </w:p>
    <w:p>
      <w:pPr>
        <w:pStyle w:val="55"/>
        <w:rPr>
          <w:rFonts w:cs="Times New Roman"/>
          <w:sz w:val="36"/>
        </w:rPr>
        <w:sectPr>
          <w:footerReference r:id="rId8" w:type="default"/>
          <w:pgSz w:w="11906" w:h="16838"/>
          <w:pgMar w:top="1701" w:right="1418" w:bottom="1701" w:left="1418" w:header="851" w:footer="992" w:gutter="0"/>
          <w:pgNumType w:fmt="decimal" w:start="1"/>
          <w:cols w:space="425" w:num="1"/>
          <w:docGrid w:type="linesAndChars" w:linePitch="312" w:charSpace="0"/>
        </w:sectPr>
      </w:pPr>
      <w:bookmarkStart w:id="156" w:name="_Toc312829626"/>
      <w:bookmarkStart w:id="157" w:name="_Toc333501415"/>
      <w:bookmarkStart w:id="158" w:name="_Toc333501126"/>
      <w:bookmarkStart w:id="159" w:name="_Toc333588667"/>
    </w:p>
    <w:bookmarkEnd w:id="156"/>
    <w:bookmarkEnd w:id="157"/>
    <w:bookmarkEnd w:id="158"/>
    <w:bookmarkEnd w:id="159"/>
    <w:p>
      <w:pPr>
        <w:pStyle w:val="55"/>
        <w:rPr>
          <w:rFonts w:cs="Times New Roman"/>
          <w:sz w:val="36"/>
        </w:rPr>
      </w:pPr>
      <w:bookmarkStart w:id="160" w:name="_Toc312829648"/>
      <w:bookmarkStart w:id="161" w:name="_Toc333588688"/>
      <w:bookmarkStart w:id="162" w:name="_Toc333501147"/>
      <w:bookmarkStart w:id="163" w:name="_Toc333501436"/>
      <w:bookmarkStart w:id="164" w:name="_Toc11588"/>
      <w:r>
        <w:rPr>
          <w:rFonts w:hint="eastAsia" w:cs="Times New Roman"/>
          <w:sz w:val="36"/>
          <w:lang w:val="en-US" w:eastAsia="zh-CN"/>
        </w:rPr>
        <w:t>9</w:t>
      </w:r>
      <w:r>
        <w:rPr>
          <w:rFonts w:cs="Times New Roman"/>
          <w:sz w:val="36"/>
        </w:rPr>
        <w:t xml:space="preserve"> </w:t>
      </w:r>
      <w:bookmarkEnd w:id="160"/>
      <w:bookmarkEnd w:id="161"/>
      <w:bookmarkEnd w:id="162"/>
      <w:bookmarkEnd w:id="163"/>
      <w:r>
        <w:rPr>
          <w:rFonts w:hint="eastAsia" w:cs="Times New Roman"/>
          <w:sz w:val="36"/>
        </w:rPr>
        <w:t>结论与建议</w:t>
      </w:r>
      <w:bookmarkEnd w:id="164"/>
    </w:p>
    <w:p>
      <w:pPr>
        <w:pStyle w:val="56"/>
        <w:rPr>
          <w:rFonts w:cs="Times New Roman"/>
          <w:sz w:val="32"/>
        </w:rPr>
      </w:pPr>
      <w:bookmarkStart w:id="165" w:name="_Toc26087"/>
      <w:r>
        <w:rPr>
          <w:rFonts w:hint="eastAsia" w:cs="Times New Roman"/>
          <w:sz w:val="32"/>
          <w:lang w:val="en-US" w:eastAsia="zh-CN"/>
        </w:rPr>
        <w:t>9</w:t>
      </w:r>
      <w:r>
        <w:rPr>
          <w:rFonts w:cs="Times New Roman"/>
          <w:sz w:val="32"/>
        </w:rPr>
        <w:t>.1</w:t>
      </w:r>
      <w:r>
        <w:rPr>
          <w:rFonts w:hint="eastAsia" w:cs="Times New Roman"/>
          <w:sz w:val="32"/>
        </w:rPr>
        <w:t>竣工验收调查</w:t>
      </w:r>
      <w:r>
        <w:rPr>
          <w:rFonts w:cs="Times New Roman"/>
          <w:sz w:val="32"/>
        </w:rPr>
        <w:t>结论</w:t>
      </w:r>
      <w:bookmarkEnd w:id="165"/>
    </w:p>
    <w:p>
      <w:pPr>
        <w:widowControl/>
        <w:spacing w:line="540" w:lineRule="exact"/>
        <w:ind w:firstLine="480" w:firstLineChars="200"/>
        <w:jc w:val="left"/>
        <w:rPr>
          <w:rFonts w:hint="eastAsia" w:ascii="Times New Roman" w:hAnsi="Times New Roman" w:eastAsia="宋体" w:cs="Times New Roman"/>
          <w:b w:val="0"/>
          <w:bCs w:val="0"/>
          <w:color w:val="auto"/>
          <w:kern w:val="2"/>
          <w:sz w:val="24"/>
          <w:szCs w:val="24"/>
          <w:lang w:val="en-US" w:eastAsia="zh-CN" w:bidi="ar-SA"/>
        </w:rPr>
      </w:pPr>
      <w:r>
        <w:rPr>
          <w:rFonts w:hint="eastAsia" w:ascii="Times New Roman" w:hAnsi="Times New Roman" w:eastAsia="宋体" w:cs="Times New Roman"/>
          <w:b w:val="0"/>
          <w:bCs w:val="0"/>
          <w:color w:val="auto"/>
          <w:kern w:val="2"/>
          <w:sz w:val="24"/>
          <w:szCs w:val="24"/>
          <w:lang w:val="en-US" w:eastAsia="zh-CN" w:bidi="ar-SA"/>
        </w:rPr>
        <w:t>重庆市万州区鸿鸥地产发展有限公司山屿城1、22、23、25、26、27号楼及2、3号车库建设项目在建设过程中严格执行建设项目“三同时”环保政策，做到了环保设施与主体工程同时设计、同时施工、同时投入运行。</w:t>
      </w:r>
    </w:p>
    <w:p>
      <w:pPr>
        <w:spacing w:line="360" w:lineRule="auto"/>
        <w:rPr>
          <w:b/>
          <w:sz w:val="28"/>
          <w:szCs w:val="28"/>
        </w:rPr>
      </w:pPr>
      <w:r>
        <w:rPr>
          <w:rFonts w:hint="eastAsia"/>
          <w:b/>
          <w:sz w:val="28"/>
          <w:szCs w:val="28"/>
          <w:lang w:val="en-US" w:eastAsia="zh-CN"/>
        </w:rPr>
        <w:t>9</w:t>
      </w:r>
      <w:r>
        <w:rPr>
          <w:b/>
          <w:sz w:val="28"/>
          <w:szCs w:val="28"/>
        </w:rPr>
        <w:t>.1</w:t>
      </w:r>
      <w:r>
        <w:rPr>
          <w:rFonts w:hint="eastAsia"/>
          <w:b/>
          <w:sz w:val="28"/>
          <w:szCs w:val="28"/>
        </w:rPr>
        <w:t>.1污染治理设施调查</w:t>
      </w:r>
      <w:r>
        <w:rPr>
          <w:b/>
          <w:sz w:val="28"/>
          <w:szCs w:val="28"/>
        </w:rPr>
        <w:t>结论</w:t>
      </w:r>
    </w:p>
    <w:p>
      <w:pPr>
        <w:widowControl/>
        <w:spacing w:line="540" w:lineRule="exact"/>
        <w:ind w:firstLine="480" w:firstLineChars="200"/>
        <w:jc w:val="left"/>
        <w:rPr>
          <w:rFonts w:hint="eastAsia" w:ascii="Times New Roman" w:hAnsi="Times New Roman" w:eastAsia="宋体" w:cs="Times New Roman"/>
          <w:b w:val="0"/>
          <w:bCs w:val="0"/>
          <w:color w:val="auto"/>
          <w:kern w:val="2"/>
          <w:sz w:val="24"/>
          <w:szCs w:val="24"/>
          <w:lang w:val="en-US" w:eastAsia="zh-CN" w:bidi="ar-SA"/>
        </w:rPr>
      </w:pPr>
      <w:r>
        <w:rPr>
          <w:rFonts w:hint="eastAsia" w:ascii="Times New Roman" w:hAnsi="Times New Roman" w:eastAsia="宋体" w:cs="Times New Roman"/>
          <w:b w:val="0"/>
          <w:bCs w:val="0"/>
          <w:color w:val="auto"/>
          <w:kern w:val="2"/>
          <w:sz w:val="24"/>
          <w:szCs w:val="24"/>
          <w:lang w:val="en-US" w:eastAsia="zh-CN" w:bidi="ar-SA"/>
        </w:rPr>
        <w:t>1、废水</w:t>
      </w:r>
    </w:p>
    <w:p>
      <w:pPr>
        <w:widowControl/>
        <w:spacing w:line="540" w:lineRule="exact"/>
        <w:ind w:firstLine="480" w:firstLineChars="200"/>
        <w:jc w:val="left"/>
        <w:rPr>
          <w:rFonts w:hint="eastAsia" w:ascii="Times New Roman" w:hAnsi="Times New Roman" w:eastAsia="宋体" w:cs="Times New Roman"/>
          <w:b w:val="0"/>
          <w:bCs w:val="0"/>
          <w:color w:val="auto"/>
          <w:kern w:val="2"/>
          <w:sz w:val="24"/>
          <w:szCs w:val="24"/>
          <w:lang w:val="en-US" w:eastAsia="zh-CN" w:bidi="ar-SA"/>
        </w:rPr>
      </w:pPr>
      <w:r>
        <w:rPr>
          <w:rFonts w:hint="eastAsia" w:ascii="Times New Roman" w:hAnsi="Times New Roman" w:eastAsia="宋体" w:cs="Times New Roman"/>
          <w:b w:val="0"/>
          <w:bCs w:val="0"/>
          <w:color w:val="auto"/>
          <w:kern w:val="2"/>
          <w:sz w:val="24"/>
          <w:szCs w:val="24"/>
          <w:lang w:val="en-US" w:eastAsia="zh-CN" w:bidi="ar-SA"/>
        </w:rPr>
        <w:t>本项目建3个生化处理池（容积共1500m</w:t>
      </w:r>
      <w:r>
        <w:rPr>
          <w:rFonts w:hint="eastAsia" w:ascii="Times New Roman" w:hAnsi="Times New Roman" w:eastAsia="宋体" w:cs="Times New Roman"/>
          <w:b w:val="0"/>
          <w:bCs w:val="0"/>
          <w:color w:val="auto"/>
          <w:kern w:val="2"/>
          <w:sz w:val="24"/>
          <w:szCs w:val="24"/>
          <w:vertAlign w:val="superscript"/>
          <w:lang w:val="en-US" w:eastAsia="zh-CN" w:bidi="ar-SA"/>
        </w:rPr>
        <w:t>3</w:t>
      </w:r>
      <w:r>
        <w:rPr>
          <w:rFonts w:hint="eastAsia" w:ascii="Times New Roman" w:hAnsi="Times New Roman" w:eastAsia="宋体" w:cs="Times New Roman"/>
          <w:b w:val="0"/>
          <w:bCs w:val="0"/>
          <w:color w:val="auto"/>
          <w:kern w:val="2"/>
          <w:sz w:val="24"/>
          <w:szCs w:val="24"/>
          <w:lang w:val="en-US" w:eastAsia="zh-CN" w:bidi="ar-SA"/>
        </w:rPr>
        <w:t>）对生活污水进行处理，同时在各栋楼商业建筑下预留隔油池位置，以便后期餐饮入驻增设隔油池，生活、餐饮废水经生化池处理后排入市政污水管网，地下车库清洗废水沉淀后泵入市政污水管网，再进入明镜滩污水处理厂进行深度处理。</w:t>
      </w:r>
    </w:p>
    <w:p>
      <w:pPr>
        <w:widowControl/>
        <w:spacing w:line="540" w:lineRule="exact"/>
        <w:ind w:firstLine="560" w:firstLineChars="200"/>
        <w:jc w:val="left"/>
        <w:rPr>
          <w:rFonts w:hint="eastAsia" w:ascii="Times New Roman" w:hAnsi="Times New Roman" w:eastAsia="宋体" w:cs="Times New Roman"/>
          <w:b w:val="0"/>
          <w:bCs w:val="0"/>
          <w:color w:val="auto"/>
          <w:kern w:val="2"/>
          <w:sz w:val="24"/>
          <w:szCs w:val="24"/>
          <w:lang w:val="en-US" w:eastAsia="zh-CN" w:bidi="ar-SA"/>
        </w:rPr>
      </w:pPr>
      <w:r>
        <w:rPr>
          <w:sz w:val="28"/>
        </w:rPr>
        <w:t>2</w:t>
      </w:r>
      <w:r>
        <w:rPr>
          <w:rFonts w:hint="eastAsia" w:ascii="Times New Roman" w:hAnsi="Times New Roman" w:eastAsia="宋体" w:cs="Times New Roman"/>
          <w:b w:val="0"/>
          <w:bCs w:val="0"/>
          <w:color w:val="auto"/>
          <w:kern w:val="2"/>
          <w:sz w:val="24"/>
          <w:szCs w:val="24"/>
          <w:lang w:val="en-US" w:eastAsia="zh-CN" w:bidi="ar-SA"/>
        </w:rPr>
        <w:t>、废气</w:t>
      </w:r>
    </w:p>
    <w:p>
      <w:pPr>
        <w:widowControl/>
        <w:spacing w:line="540" w:lineRule="exact"/>
        <w:ind w:firstLine="480" w:firstLineChars="200"/>
        <w:jc w:val="left"/>
        <w:rPr>
          <w:rFonts w:hint="eastAsia" w:ascii="Times New Roman" w:hAnsi="Times New Roman" w:eastAsia="宋体" w:cs="Times New Roman"/>
          <w:b w:val="0"/>
          <w:bCs w:val="0"/>
          <w:color w:val="auto"/>
          <w:kern w:val="2"/>
          <w:sz w:val="24"/>
          <w:szCs w:val="24"/>
          <w:lang w:val="en-US" w:eastAsia="zh-CN" w:bidi="ar-SA"/>
        </w:rPr>
      </w:pPr>
      <w:r>
        <w:rPr>
          <w:rFonts w:hint="eastAsia" w:ascii="Times New Roman" w:hAnsi="Times New Roman" w:eastAsia="宋体" w:cs="Times New Roman"/>
          <w:b w:val="0"/>
          <w:bCs w:val="0"/>
          <w:color w:val="auto"/>
          <w:kern w:val="2"/>
          <w:sz w:val="24"/>
          <w:szCs w:val="24"/>
          <w:lang w:val="en-US" w:eastAsia="zh-CN" w:bidi="ar-SA"/>
        </w:rPr>
        <w:t>居民厨房油烟和天然气燃烧废气由公共烟道排放；餐饮业油烟由入驻商业安装净化器处理达到《重庆市餐饮业大气污染物排放标准》（DB50/859-2018）后，通过专用烟道高空排放；汽车尾气通过机械通风系统抽排，排风口设于1层，安装百叶窗；柴油发电机废气通过机械抽排风系统送入专用烟道排放；生化池臭气通过导管高空排放。</w:t>
      </w:r>
    </w:p>
    <w:p>
      <w:pPr>
        <w:widowControl/>
        <w:spacing w:line="540" w:lineRule="exact"/>
        <w:ind w:firstLine="480" w:firstLineChars="200"/>
        <w:jc w:val="left"/>
        <w:rPr>
          <w:rFonts w:hint="eastAsia" w:ascii="Times New Roman" w:hAnsi="Times New Roman" w:eastAsia="宋体" w:cs="Times New Roman"/>
          <w:b w:val="0"/>
          <w:bCs w:val="0"/>
          <w:color w:val="auto"/>
          <w:kern w:val="2"/>
          <w:sz w:val="24"/>
          <w:szCs w:val="24"/>
          <w:lang w:val="en-US" w:eastAsia="zh-CN" w:bidi="ar-SA"/>
        </w:rPr>
      </w:pPr>
      <w:r>
        <w:rPr>
          <w:rFonts w:hint="eastAsia" w:ascii="Times New Roman" w:hAnsi="Times New Roman" w:eastAsia="宋体" w:cs="Times New Roman"/>
          <w:b w:val="0"/>
          <w:bCs w:val="0"/>
          <w:color w:val="auto"/>
          <w:kern w:val="2"/>
          <w:sz w:val="24"/>
          <w:szCs w:val="24"/>
          <w:lang w:val="en-US" w:eastAsia="zh-CN" w:bidi="ar-SA"/>
        </w:rPr>
        <w:t>3、噪声</w:t>
      </w:r>
    </w:p>
    <w:p>
      <w:pPr>
        <w:widowControl/>
        <w:spacing w:line="540" w:lineRule="exact"/>
        <w:ind w:firstLine="480" w:firstLineChars="200"/>
        <w:jc w:val="left"/>
        <w:rPr>
          <w:rFonts w:hint="eastAsia" w:ascii="Times New Roman" w:hAnsi="Times New Roman" w:eastAsia="宋体" w:cs="Times New Roman"/>
          <w:b w:val="0"/>
          <w:bCs w:val="0"/>
          <w:color w:val="auto"/>
          <w:kern w:val="2"/>
          <w:sz w:val="24"/>
          <w:szCs w:val="24"/>
          <w:lang w:val="en-US" w:eastAsia="zh-CN" w:bidi="ar-SA"/>
        </w:rPr>
      </w:pPr>
      <w:r>
        <w:rPr>
          <w:rFonts w:hint="eastAsia" w:ascii="Times New Roman" w:hAnsi="Times New Roman" w:eastAsia="宋体" w:cs="Times New Roman"/>
          <w:b w:val="0"/>
          <w:bCs w:val="0"/>
          <w:color w:val="auto"/>
          <w:kern w:val="2"/>
          <w:sz w:val="24"/>
          <w:szCs w:val="24"/>
          <w:lang w:val="en-US" w:eastAsia="zh-CN" w:bidi="ar-SA"/>
        </w:rPr>
        <w:t>本项目噪声源主要来自柴油发电机、风机、水泵等，采用建筑隔音、减震来降低噪声。项目自身不使用中央空调和冷却塔，如进驻商业安装中央空调或冷却塔需另行办理环境保护相关手续。</w:t>
      </w:r>
    </w:p>
    <w:p>
      <w:pPr>
        <w:widowControl/>
        <w:spacing w:line="540" w:lineRule="exact"/>
        <w:ind w:firstLine="480" w:firstLineChars="200"/>
        <w:jc w:val="left"/>
        <w:rPr>
          <w:rFonts w:hint="eastAsia" w:ascii="Times New Roman" w:hAnsi="Times New Roman" w:eastAsia="宋体" w:cs="Times New Roman"/>
          <w:b w:val="0"/>
          <w:bCs w:val="0"/>
          <w:color w:val="auto"/>
          <w:kern w:val="2"/>
          <w:sz w:val="24"/>
          <w:szCs w:val="24"/>
          <w:lang w:val="en-IE" w:eastAsia="zh-CN" w:bidi="ar-SA"/>
        </w:rPr>
      </w:pPr>
      <w:r>
        <w:rPr>
          <w:rFonts w:hint="eastAsia" w:ascii="Times New Roman" w:hAnsi="Times New Roman" w:eastAsia="宋体" w:cs="Times New Roman"/>
          <w:b w:val="0"/>
          <w:bCs w:val="0"/>
          <w:color w:val="auto"/>
          <w:kern w:val="2"/>
          <w:sz w:val="24"/>
          <w:szCs w:val="24"/>
          <w:lang w:val="en-IE" w:eastAsia="zh-CN" w:bidi="ar-SA"/>
        </w:rPr>
        <w:t>4、固体废物</w:t>
      </w:r>
    </w:p>
    <w:p>
      <w:pPr>
        <w:widowControl/>
        <w:spacing w:line="540" w:lineRule="exact"/>
        <w:ind w:firstLine="480" w:firstLineChars="200"/>
        <w:jc w:val="left"/>
        <w:rPr>
          <w:rFonts w:hint="eastAsia" w:ascii="Times New Roman" w:hAnsi="Times New Roman" w:eastAsia="宋体" w:cs="Times New Roman"/>
          <w:b w:val="0"/>
          <w:bCs w:val="0"/>
          <w:color w:val="auto"/>
          <w:kern w:val="2"/>
          <w:sz w:val="24"/>
          <w:szCs w:val="24"/>
          <w:lang w:val="en-US" w:eastAsia="zh-CN" w:bidi="ar-SA"/>
        </w:rPr>
      </w:pPr>
      <w:r>
        <w:rPr>
          <w:rFonts w:hint="eastAsia" w:ascii="Times New Roman" w:hAnsi="Times New Roman" w:eastAsia="宋体" w:cs="Times New Roman"/>
          <w:b w:val="0"/>
          <w:bCs w:val="0"/>
          <w:color w:val="auto"/>
          <w:kern w:val="2"/>
          <w:sz w:val="24"/>
          <w:szCs w:val="24"/>
          <w:lang w:val="en-US" w:eastAsia="zh-CN" w:bidi="ar-SA"/>
        </w:rPr>
        <w:t>餐厨垃圾和商业垃圾由后期入驻的商业自行处置；生活垃圾由环卫部门收集后运城市生活垃圾处置场处理。</w:t>
      </w:r>
    </w:p>
    <w:p>
      <w:pPr>
        <w:widowControl/>
        <w:spacing w:line="540" w:lineRule="exact"/>
        <w:ind w:firstLine="480" w:firstLineChars="200"/>
        <w:jc w:val="left"/>
        <w:rPr>
          <w:sz w:val="28"/>
          <w:szCs w:val="28"/>
        </w:rPr>
      </w:pPr>
      <w:r>
        <w:rPr>
          <w:rFonts w:hint="eastAsia" w:ascii="Times New Roman" w:hAnsi="Times New Roman" w:eastAsia="宋体" w:cs="Times New Roman"/>
          <w:b w:val="0"/>
          <w:bCs w:val="0"/>
          <w:color w:val="auto"/>
          <w:kern w:val="2"/>
          <w:sz w:val="24"/>
          <w:szCs w:val="24"/>
          <w:lang w:val="en-US" w:eastAsia="zh-CN" w:bidi="ar-SA"/>
        </w:rPr>
        <w:t>本项目废水、废气、噪声、固体废物处理措施落实了环评报告表及环评批复要求。</w:t>
      </w:r>
    </w:p>
    <w:p>
      <w:pPr>
        <w:spacing w:line="360" w:lineRule="auto"/>
        <w:rPr>
          <w:rFonts w:hint="eastAsia"/>
          <w:b/>
          <w:sz w:val="28"/>
          <w:szCs w:val="28"/>
          <w:lang w:val="en-US" w:eastAsia="zh-CN"/>
        </w:rPr>
      </w:pPr>
      <w:r>
        <w:rPr>
          <w:rFonts w:hint="eastAsia"/>
          <w:b/>
          <w:sz w:val="28"/>
          <w:szCs w:val="28"/>
          <w:lang w:val="en-US" w:eastAsia="zh-CN"/>
        </w:rPr>
        <w:t>9.1.2 环境管理检查结论</w:t>
      </w:r>
    </w:p>
    <w:p>
      <w:pPr>
        <w:widowControl/>
        <w:spacing w:line="540" w:lineRule="exact"/>
        <w:ind w:firstLine="480" w:firstLineChars="200"/>
        <w:jc w:val="left"/>
        <w:rPr>
          <w:rFonts w:hint="eastAsia" w:ascii="Times New Roman" w:hAnsi="Times New Roman" w:eastAsia="宋体" w:cs="Times New Roman"/>
          <w:b w:val="0"/>
          <w:bCs w:val="0"/>
          <w:color w:val="auto"/>
          <w:kern w:val="2"/>
          <w:sz w:val="24"/>
          <w:szCs w:val="24"/>
          <w:lang w:val="en-US" w:eastAsia="zh-CN" w:bidi="ar-SA"/>
        </w:rPr>
      </w:pPr>
      <w:r>
        <w:rPr>
          <w:rFonts w:hint="eastAsia" w:ascii="Times New Roman" w:hAnsi="Times New Roman" w:eastAsia="宋体" w:cs="Times New Roman"/>
          <w:b w:val="0"/>
          <w:bCs w:val="0"/>
          <w:color w:val="auto"/>
          <w:kern w:val="2"/>
          <w:sz w:val="24"/>
          <w:szCs w:val="24"/>
          <w:lang w:val="en-US" w:eastAsia="zh-CN" w:bidi="ar-SA"/>
        </w:rPr>
        <w:t>1、环境管理检查结论</w:t>
      </w:r>
    </w:p>
    <w:p>
      <w:pPr>
        <w:widowControl/>
        <w:spacing w:line="540" w:lineRule="exact"/>
        <w:ind w:firstLine="480" w:firstLineChars="200"/>
        <w:jc w:val="left"/>
        <w:rPr>
          <w:rFonts w:hint="eastAsia" w:ascii="Times New Roman" w:hAnsi="Times New Roman" w:eastAsia="宋体" w:cs="Times New Roman"/>
          <w:b w:val="0"/>
          <w:bCs w:val="0"/>
          <w:color w:val="auto"/>
          <w:kern w:val="2"/>
          <w:sz w:val="24"/>
          <w:szCs w:val="24"/>
          <w:lang w:val="en-US" w:eastAsia="zh-CN" w:bidi="ar-SA"/>
        </w:rPr>
      </w:pPr>
      <w:r>
        <w:rPr>
          <w:rFonts w:hint="eastAsia" w:ascii="Times New Roman" w:hAnsi="Times New Roman" w:eastAsia="宋体" w:cs="Times New Roman"/>
          <w:b w:val="0"/>
          <w:bCs w:val="0"/>
          <w:color w:val="auto"/>
          <w:kern w:val="2"/>
          <w:sz w:val="24"/>
          <w:szCs w:val="24"/>
          <w:lang w:val="en-US" w:eastAsia="zh-CN" w:bidi="ar-SA"/>
        </w:rPr>
        <w:t>重庆市万州区鸿鸥地产发展有限公司山屿城项目建立了环境管理体系，环境保护管理制度较为健全。</w:t>
      </w:r>
    </w:p>
    <w:p>
      <w:pPr>
        <w:widowControl/>
        <w:spacing w:line="540" w:lineRule="exact"/>
        <w:ind w:firstLine="480" w:firstLineChars="200"/>
        <w:jc w:val="left"/>
        <w:rPr>
          <w:rFonts w:hint="eastAsia" w:ascii="Times New Roman" w:hAnsi="Times New Roman" w:eastAsia="宋体" w:cs="Times New Roman"/>
          <w:b w:val="0"/>
          <w:bCs w:val="0"/>
          <w:color w:val="auto"/>
          <w:kern w:val="2"/>
          <w:sz w:val="24"/>
          <w:szCs w:val="24"/>
          <w:lang w:val="en-US" w:eastAsia="zh-CN" w:bidi="ar-SA"/>
        </w:rPr>
      </w:pPr>
      <w:r>
        <w:rPr>
          <w:rFonts w:hint="eastAsia" w:ascii="Times New Roman" w:hAnsi="Times New Roman" w:eastAsia="宋体" w:cs="Times New Roman"/>
          <w:b w:val="0"/>
          <w:bCs w:val="0"/>
          <w:color w:val="auto"/>
          <w:kern w:val="2"/>
          <w:sz w:val="24"/>
          <w:szCs w:val="24"/>
          <w:lang w:val="en-US" w:eastAsia="zh-CN" w:bidi="ar-SA"/>
        </w:rPr>
        <w:t>2、环评环保措施落实结论</w:t>
      </w:r>
    </w:p>
    <w:p>
      <w:pPr>
        <w:widowControl/>
        <w:spacing w:line="540" w:lineRule="exact"/>
        <w:ind w:firstLine="480" w:firstLineChars="200"/>
        <w:jc w:val="left"/>
        <w:rPr>
          <w:rFonts w:hint="eastAsia" w:ascii="Times New Roman" w:hAnsi="Times New Roman" w:eastAsia="宋体" w:cs="Times New Roman"/>
          <w:b w:val="0"/>
          <w:bCs w:val="0"/>
          <w:color w:val="auto"/>
          <w:kern w:val="2"/>
          <w:sz w:val="24"/>
          <w:szCs w:val="24"/>
          <w:lang w:val="en-US" w:eastAsia="zh-CN" w:bidi="ar-SA"/>
        </w:rPr>
      </w:pPr>
      <w:r>
        <w:rPr>
          <w:rFonts w:hint="eastAsia" w:ascii="Times New Roman" w:hAnsi="Times New Roman" w:eastAsia="宋体" w:cs="Times New Roman"/>
          <w:b w:val="0"/>
          <w:bCs w:val="0"/>
          <w:color w:val="auto"/>
          <w:kern w:val="2"/>
          <w:sz w:val="24"/>
          <w:szCs w:val="24"/>
          <w:lang w:val="en-US" w:eastAsia="zh-CN" w:bidi="ar-SA"/>
        </w:rPr>
        <w:t>重庆市万州区鸿鸥地产发展有限公司山屿城1、22、23、25、26、27号楼及2、3号车库建设项目基本落实了环评中废水、废气、噪声环保治理措施，妥善处置了固体废物。各项污染防治措施总体有效。</w:t>
      </w:r>
    </w:p>
    <w:p>
      <w:pPr>
        <w:widowControl/>
        <w:spacing w:line="540" w:lineRule="exact"/>
        <w:ind w:firstLine="480" w:firstLineChars="200"/>
        <w:jc w:val="left"/>
        <w:rPr>
          <w:rFonts w:hint="eastAsia" w:ascii="Times New Roman" w:hAnsi="Times New Roman" w:eastAsia="宋体" w:cs="Times New Roman"/>
          <w:b w:val="0"/>
          <w:bCs w:val="0"/>
          <w:color w:val="auto"/>
          <w:kern w:val="2"/>
          <w:sz w:val="24"/>
          <w:szCs w:val="24"/>
          <w:lang w:val="en-US" w:eastAsia="zh-CN" w:bidi="ar-SA"/>
        </w:rPr>
      </w:pPr>
      <w:r>
        <w:rPr>
          <w:rFonts w:hint="eastAsia" w:ascii="Times New Roman" w:hAnsi="Times New Roman" w:eastAsia="宋体" w:cs="Times New Roman"/>
          <w:b w:val="0"/>
          <w:bCs w:val="0"/>
          <w:color w:val="auto"/>
          <w:kern w:val="2"/>
          <w:sz w:val="24"/>
          <w:szCs w:val="24"/>
          <w:lang w:val="en-US" w:eastAsia="zh-CN" w:bidi="ar-SA"/>
        </w:rPr>
        <w:t>3、环评批复落实结论</w:t>
      </w:r>
    </w:p>
    <w:p>
      <w:pPr>
        <w:widowControl/>
        <w:spacing w:line="540" w:lineRule="exact"/>
        <w:ind w:firstLine="480" w:firstLineChars="200"/>
        <w:jc w:val="left"/>
        <w:rPr>
          <w:rFonts w:hint="eastAsia" w:ascii="Times New Roman" w:hAnsi="Times New Roman" w:eastAsia="宋体" w:cs="Times New Roman"/>
          <w:b w:val="0"/>
          <w:bCs w:val="0"/>
          <w:color w:val="auto"/>
          <w:kern w:val="2"/>
          <w:sz w:val="24"/>
          <w:szCs w:val="24"/>
          <w:lang w:val="en-US" w:eastAsia="zh-CN" w:bidi="ar-SA"/>
        </w:rPr>
      </w:pPr>
      <w:r>
        <w:rPr>
          <w:rFonts w:hint="eastAsia" w:ascii="Times New Roman" w:hAnsi="Times New Roman" w:eastAsia="宋体" w:cs="Times New Roman"/>
          <w:b w:val="0"/>
          <w:bCs w:val="0"/>
          <w:color w:val="auto"/>
          <w:kern w:val="2"/>
          <w:sz w:val="24"/>
          <w:szCs w:val="24"/>
          <w:lang w:val="en-US" w:eastAsia="zh-CN" w:bidi="ar-SA"/>
        </w:rPr>
        <w:t>重庆市万州区鸿鸥地产发展有限公司山屿城1、22、23、25、26、27号楼及2、3号车库建设项目基本落实了环评的各项批复，废水、废气、噪声、固体废物治理处置措施、环境管理制度等均符合批复要求。</w:t>
      </w:r>
    </w:p>
    <w:p>
      <w:pPr>
        <w:spacing w:line="360" w:lineRule="auto"/>
        <w:rPr>
          <w:b/>
          <w:sz w:val="28"/>
          <w:szCs w:val="28"/>
        </w:rPr>
      </w:pPr>
      <w:r>
        <w:rPr>
          <w:rFonts w:hint="eastAsia"/>
          <w:b/>
          <w:sz w:val="28"/>
          <w:szCs w:val="28"/>
          <w:lang w:val="en-US" w:eastAsia="zh-CN"/>
        </w:rPr>
        <w:t>9</w:t>
      </w:r>
      <w:r>
        <w:rPr>
          <w:b/>
          <w:sz w:val="28"/>
          <w:szCs w:val="28"/>
        </w:rPr>
        <w:t>.</w:t>
      </w:r>
      <w:r>
        <w:rPr>
          <w:rFonts w:hint="eastAsia"/>
          <w:b/>
          <w:sz w:val="28"/>
          <w:szCs w:val="28"/>
        </w:rPr>
        <w:t>1.3</w:t>
      </w:r>
      <w:r>
        <w:rPr>
          <w:b/>
          <w:sz w:val="28"/>
          <w:szCs w:val="28"/>
        </w:rPr>
        <w:t xml:space="preserve"> </w:t>
      </w:r>
      <w:r>
        <w:rPr>
          <w:rFonts w:hint="eastAsia"/>
          <w:b/>
          <w:sz w:val="28"/>
          <w:szCs w:val="28"/>
        </w:rPr>
        <w:t>竣工验收调查</w:t>
      </w:r>
      <w:r>
        <w:rPr>
          <w:b/>
          <w:sz w:val="28"/>
          <w:szCs w:val="28"/>
        </w:rPr>
        <w:t>结论</w:t>
      </w:r>
    </w:p>
    <w:p>
      <w:pPr>
        <w:widowControl/>
        <w:spacing w:line="540" w:lineRule="exact"/>
        <w:ind w:firstLine="480" w:firstLineChars="200"/>
        <w:jc w:val="left"/>
        <w:rPr>
          <w:rFonts w:hint="eastAsia" w:ascii="Times New Roman" w:hAnsi="Times New Roman" w:eastAsia="宋体" w:cs="Times New Roman"/>
          <w:b w:val="0"/>
          <w:bCs w:val="0"/>
          <w:color w:val="auto"/>
          <w:kern w:val="2"/>
          <w:sz w:val="24"/>
          <w:szCs w:val="24"/>
          <w:lang w:val="en-US" w:eastAsia="zh-CN" w:bidi="ar-SA"/>
        </w:rPr>
      </w:pPr>
      <w:r>
        <w:rPr>
          <w:rFonts w:hint="eastAsia" w:ascii="Times New Roman" w:hAnsi="Times New Roman" w:eastAsia="宋体" w:cs="Times New Roman"/>
          <w:b w:val="0"/>
          <w:bCs w:val="0"/>
          <w:color w:val="auto"/>
          <w:kern w:val="2"/>
          <w:sz w:val="24"/>
          <w:szCs w:val="24"/>
          <w:lang w:val="en-US" w:eastAsia="zh-CN" w:bidi="ar-SA"/>
        </w:rPr>
        <w:t>重庆市万州区鸿鸥地产发展有限公司山屿城1、22、23、25、26、27号楼及2、3号车库建设项目建设前环境保护审查、审批手续完备，工程在设计、施工和营运过程中采取的污染防治措施与生态保护措施有效，环境保护设施及其他措施已基本按批准的环境影响报告表的要求落实，达到环评和环保局批复提出的环境保护和管理要求，无污染投诉。本调查从环境保护角度分析，山屿城项目符合竣工环境保护验收条件。</w:t>
      </w:r>
    </w:p>
    <w:p>
      <w:pPr>
        <w:pStyle w:val="56"/>
        <w:rPr>
          <w:rFonts w:cs="Times New Roman"/>
          <w:sz w:val="32"/>
        </w:rPr>
      </w:pPr>
      <w:bookmarkStart w:id="166" w:name="_Toc20925"/>
      <w:r>
        <w:rPr>
          <w:rFonts w:hint="eastAsia" w:cs="Times New Roman"/>
          <w:sz w:val="32"/>
          <w:lang w:val="en-US" w:eastAsia="zh-CN"/>
        </w:rPr>
        <w:t>9</w:t>
      </w:r>
      <w:r>
        <w:rPr>
          <w:rFonts w:cs="Times New Roman"/>
          <w:sz w:val="32"/>
        </w:rPr>
        <w:t>.</w:t>
      </w:r>
      <w:r>
        <w:rPr>
          <w:rFonts w:hint="eastAsia" w:cs="Times New Roman"/>
          <w:sz w:val="32"/>
        </w:rPr>
        <w:t>2建议</w:t>
      </w:r>
      <w:bookmarkEnd w:id="166"/>
    </w:p>
    <w:p>
      <w:pPr>
        <w:widowControl/>
        <w:spacing w:line="540" w:lineRule="exact"/>
        <w:ind w:firstLine="480" w:firstLineChars="200"/>
        <w:jc w:val="left"/>
        <w:rPr>
          <w:rFonts w:hint="eastAsia" w:ascii="Times New Roman" w:hAnsi="Times New Roman" w:eastAsia="宋体" w:cs="Times New Roman"/>
          <w:b w:val="0"/>
          <w:bCs w:val="0"/>
          <w:color w:val="auto"/>
          <w:kern w:val="2"/>
          <w:sz w:val="24"/>
          <w:szCs w:val="24"/>
          <w:lang w:val="en-US" w:eastAsia="zh-CN" w:bidi="ar-SA"/>
        </w:rPr>
      </w:pPr>
      <w:r>
        <w:rPr>
          <w:rFonts w:hint="eastAsia" w:ascii="Times New Roman" w:hAnsi="Times New Roman" w:eastAsia="宋体" w:cs="Times New Roman"/>
          <w:b w:val="0"/>
          <w:bCs w:val="0"/>
          <w:color w:val="auto"/>
          <w:kern w:val="2"/>
          <w:sz w:val="24"/>
          <w:szCs w:val="24"/>
          <w:lang w:val="en-US" w:eastAsia="zh-CN" w:bidi="ar-SA"/>
        </w:rPr>
        <w:t>1、运行后应加强餐饮油烟、废水的管理，餐饮废水需隔油处理之后再排入生化池处理。</w:t>
      </w:r>
    </w:p>
    <w:p>
      <w:pPr>
        <w:widowControl/>
        <w:spacing w:line="540" w:lineRule="exact"/>
        <w:ind w:firstLine="480" w:firstLineChars="200"/>
        <w:jc w:val="left"/>
        <w:rPr>
          <w:rFonts w:hint="eastAsia" w:ascii="Times New Roman" w:hAnsi="Times New Roman" w:eastAsia="宋体" w:cs="Times New Roman"/>
          <w:b w:val="0"/>
          <w:bCs w:val="0"/>
          <w:color w:val="auto"/>
          <w:kern w:val="2"/>
          <w:sz w:val="24"/>
          <w:szCs w:val="24"/>
          <w:lang w:val="en-US" w:eastAsia="zh-CN" w:bidi="ar-SA"/>
        </w:rPr>
      </w:pPr>
      <w:r>
        <w:rPr>
          <w:rFonts w:hint="eastAsia" w:ascii="Times New Roman" w:hAnsi="Times New Roman" w:eastAsia="宋体" w:cs="Times New Roman"/>
          <w:b w:val="0"/>
          <w:bCs w:val="0"/>
          <w:color w:val="auto"/>
          <w:kern w:val="2"/>
          <w:sz w:val="24"/>
          <w:szCs w:val="24"/>
          <w:lang w:val="en-US" w:eastAsia="zh-CN" w:bidi="ar-SA"/>
        </w:rPr>
        <w:t>2、后期入驻商业应根据《建设项目环境保护条例》有关规定办理环境保护相关手续。</w:t>
      </w:r>
    </w:p>
    <w:p>
      <w:pPr>
        <w:widowControl/>
        <w:spacing w:line="540" w:lineRule="exact"/>
        <w:ind w:firstLine="480" w:firstLineChars="200"/>
        <w:jc w:val="left"/>
        <w:rPr>
          <w:rFonts w:hint="eastAsia" w:ascii="Times New Roman" w:hAnsi="Times New Roman" w:eastAsia="宋体" w:cs="Times New Roman"/>
          <w:b w:val="0"/>
          <w:bCs w:val="0"/>
          <w:color w:val="auto"/>
          <w:kern w:val="2"/>
          <w:sz w:val="24"/>
          <w:szCs w:val="24"/>
          <w:lang w:val="en-US" w:eastAsia="zh-CN" w:bidi="ar-SA"/>
        </w:rPr>
      </w:pPr>
      <w:r>
        <w:rPr>
          <w:rFonts w:hint="eastAsia" w:ascii="Times New Roman" w:hAnsi="Times New Roman" w:eastAsia="宋体" w:cs="Times New Roman"/>
          <w:b w:val="0"/>
          <w:bCs w:val="0"/>
          <w:color w:val="auto"/>
          <w:kern w:val="2"/>
          <w:sz w:val="24"/>
          <w:szCs w:val="24"/>
          <w:lang w:val="en-US" w:eastAsia="zh-CN" w:bidi="ar-SA"/>
        </w:rPr>
        <w:t>3、项目投入运行之后应加强环保设施的运行管理、维护和改造，确保环保设施处于良好运行状态，以保证污染治理设施的处理效果。</w:t>
      </w:r>
    </w:p>
    <w:p>
      <w:pPr>
        <w:widowControl/>
        <w:spacing w:line="540" w:lineRule="exact"/>
        <w:ind w:firstLine="480" w:firstLineChars="200"/>
        <w:jc w:val="left"/>
        <w:rPr>
          <w:rFonts w:hint="eastAsia" w:ascii="Times New Roman" w:hAnsi="Times New Roman" w:eastAsia="宋体" w:cs="Times New Roman"/>
          <w:b w:val="0"/>
          <w:bCs w:val="0"/>
          <w:color w:val="auto"/>
          <w:kern w:val="2"/>
          <w:sz w:val="24"/>
          <w:szCs w:val="24"/>
          <w:lang w:val="en-US" w:eastAsia="zh-CN" w:bidi="ar-SA"/>
        </w:rPr>
      </w:pPr>
      <w:r>
        <w:rPr>
          <w:rFonts w:hint="eastAsia" w:ascii="Times New Roman" w:hAnsi="Times New Roman" w:eastAsia="宋体" w:cs="Times New Roman"/>
          <w:b w:val="0"/>
          <w:bCs w:val="0"/>
          <w:color w:val="auto"/>
          <w:kern w:val="2"/>
          <w:sz w:val="24"/>
          <w:szCs w:val="24"/>
          <w:lang w:val="en-US" w:eastAsia="zh-CN" w:bidi="ar-SA"/>
        </w:rPr>
        <w:t>4、加强对生化池及污泥的管理，严格按照国家的相关规定处置，建立相应的运行和清运记录。</w:t>
      </w:r>
    </w:p>
    <w:p>
      <w:pPr>
        <w:widowControl/>
        <w:spacing w:line="540" w:lineRule="exact"/>
        <w:ind w:firstLine="480" w:firstLineChars="200"/>
        <w:jc w:val="left"/>
        <w:rPr>
          <w:rFonts w:hint="eastAsia" w:ascii="Times New Roman" w:hAnsi="Times New Roman" w:eastAsia="宋体" w:cs="Times New Roman"/>
          <w:b w:val="0"/>
          <w:bCs w:val="0"/>
          <w:color w:val="auto"/>
          <w:kern w:val="2"/>
          <w:sz w:val="24"/>
          <w:szCs w:val="24"/>
          <w:lang w:val="en-US" w:eastAsia="zh-CN" w:bidi="ar-SA"/>
        </w:rPr>
      </w:pPr>
      <w:r>
        <w:rPr>
          <w:rFonts w:hint="eastAsia" w:ascii="Times New Roman" w:hAnsi="Times New Roman" w:eastAsia="宋体" w:cs="Times New Roman"/>
          <w:b w:val="0"/>
          <w:bCs w:val="0"/>
          <w:color w:val="auto"/>
          <w:kern w:val="2"/>
          <w:sz w:val="24"/>
          <w:szCs w:val="24"/>
          <w:lang w:val="en-US" w:eastAsia="zh-CN" w:bidi="ar-SA"/>
        </w:rPr>
        <w:t>5、加强物管工作人员的环保意识，提高环保管理人员的管理水平，进一步重视环保工作。</w:t>
      </w:r>
    </w:p>
    <w:p>
      <w:pPr>
        <w:widowControl/>
        <w:spacing w:line="540" w:lineRule="exact"/>
        <w:ind w:firstLine="480" w:firstLineChars="200"/>
        <w:jc w:val="left"/>
        <w:rPr>
          <w:rFonts w:hint="eastAsia" w:ascii="Times New Roman" w:hAnsi="Times New Roman" w:eastAsia="宋体" w:cs="Times New Roman"/>
          <w:b w:val="0"/>
          <w:bCs w:val="0"/>
          <w:color w:val="auto"/>
          <w:kern w:val="2"/>
          <w:sz w:val="24"/>
          <w:szCs w:val="24"/>
          <w:lang w:val="en-US" w:eastAsia="zh-CN" w:bidi="ar-SA"/>
        </w:rPr>
      </w:pPr>
      <w:r>
        <w:rPr>
          <w:rFonts w:hint="eastAsia" w:ascii="Times New Roman" w:hAnsi="Times New Roman" w:eastAsia="宋体" w:cs="Times New Roman"/>
          <w:b w:val="0"/>
          <w:bCs w:val="0"/>
          <w:color w:val="auto"/>
          <w:kern w:val="2"/>
          <w:sz w:val="24"/>
          <w:szCs w:val="24"/>
          <w:lang w:val="en-US" w:eastAsia="zh-CN" w:bidi="ar-SA"/>
        </w:rPr>
        <w:t>6、本项目现处理验收阶段，环保设施还未投入使用，在入住率达到75%之后可根据生化池运行情况考虑组织监测，确保污染治理设施的正常运行。</w:t>
      </w:r>
    </w:p>
    <w:p>
      <w:pPr>
        <w:pStyle w:val="55"/>
        <w:rPr>
          <w:rFonts w:hint="eastAsia"/>
          <w:sz w:val="28"/>
          <w:szCs w:val="28"/>
          <w:lang w:eastAsia="zh-CN"/>
        </w:rPr>
      </w:pPr>
      <w:r>
        <w:rPr>
          <w:sz w:val="28"/>
          <w:szCs w:val="28"/>
        </w:rPr>
        <w:br w:type="page"/>
      </w:r>
      <w:bookmarkStart w:id="167" w:name="_Toc300"/>
      <w:r>
        <w:rPr>
          <w:rFonts w:hint="eastAsia"/>
          <w:sz w:val="28"/>
          <w:szCs w:val="28"/>
          <w:lang w:eastAsia="zh-CN"/>
        </w:rPr>
        <w:t>附图</w:t>
      </w:r>
      <w:bookmarkEnd w:id="167"/>
    </w:p>
    <w:p>
      <w:pPr>
        <w:widowControl/>
        <w:spacing w:line="540" w:lineRule="exact"/>
        <w:ind w:firstLine="480" w:firstLineChars="200"/>
        <w:jc w:val="left"/>
        <w:rPr>
          <w:rFonts w:hint="eastAsia" w:ascii="Times New Roman" w:hAnsi="Times New Roman" w:eastAsia="宋体" w:cs="Times New Roman"/>
          <w:b w:val="0"/>
          <w:bCs w:val="0"/>
          <w:color w:val="auto"/>
          <w:kern w:val="2"/>
          <w:sz w:val="24"/>
          <w:szCs w:val="24"/>
          <w:lang w:val="en-US" w:eastAsia="zh-CN" w:bidi="ar-SA"/>
        </w:rPr>
      </w:pPr>
      <w:r>
        <w:rPr>
          <w:rFonts w:hint="eastAsia" w:ascii="Times New Roman" w:hAnsi="Times New Roman" w:eastAsia="宋体" w:cs="Times New Roman"/>
          <w:b w:val="0"/>
          <w:bCs w:val="0"/>
          <w:color w:val="auto"/>
          <w:kern w:val="2"/>
          <w:sz w:val="24"/>
          <w:szCs w:val="24"/>
          <w:lang w:val="en-US" w:eastAsia="zh-CN" w:bidi="ar-SA"/>
        </w:rPr>
        <w:t>附图1  地理位置图</w:t>
      </w:r>
    </w:p>
    <w:p>
      <w:pPr>
        <w:widowControl/>
        <w:spacing w:line="540" w:lineRule="exact"/>
        <w:ind w:firstLine="480" w:firstLineChars="200"/>
        <w:jc w:val="left"/>
        <w:rPr>
          <w:rFonts w:hint="default" w:ascii="Times New Roman" w:hAnsi="Times New Roman" w:eastAsia="宋体" w:cs="Times New Roman"/>
          <w:b w:val="0"/>
          <w:bCs w:val="0"/>
          <w:color w:val="auto"/>
          <w:kern w:val="2"/>
          <w:sz w:val="24"/>
          <w:szCs w:val="24"/>
          <w:lang w:val="en-US" w:eastAsia="zh-CN" w:bidi="ar-SA"/>
        </w:rPr>
      </w:pPr>
      <w:r>
        <w:rPr>
          <w:rFonts w:hint="eastAsia" w:ascii="Times New Roman" w:hAnsi="Times New Roman" w:eastAsia="宋体" w:cs="Times New Roman"/>
          <w:b w:val="0"/>
          <w:bCs w:val="0"/>
          <w:color w:val="auto"/>
          <w:kern w:val="2"/>
          <w:sz w:val="24"/>
          <w:szCs w:val="24"/>
          <w:lang w:val="en-US" w:eastAsia="zh-CN" w:bidi="ar-SA"/>
        </w:rPr>
        <w:t>附图2  平面布置图</w:t>
      </w:r>
    </w:p>
    <w:p>
      <w:pPr>
        <w:pStyle w:val="55"/>
        <w:rPr>
          <w:rFonts w:hint="eastAsia" w:ascii="Times New Roman" w:hAnsi="Times New Roman" w:eastAsia="宋体" w:cs="宋体"/>
          <w:sz w:val="28"/>
          <w:szCs w:val="28"/>
          <w:lang w:eastAsia="zh-CN"/>
        </w:rPr>
      </w:pPr>
      <w:bookmarkStart w:id="168" w:name="_Toc15738"/>
      <w:r>
        <w:rPr>
          <w:rFonts w:hint="eastAsia" w:ascii="Times New Roman" w:hAnsi="Times New Roman" w:eastAsia="宋体" w:cs="宋体"/>
          <w:sz w:val="28"/>
          <w:szCs w:val="28"/>
          <w:lang w:eastAsia="zh-CN"/>
        </w:rPr>
        <w:t>附件</w:t>
      </w:r>
      <w:bookmarkEnd w:id="168"/>
    </w:p>
    <w:p>
      <w:pPr>
        <w:widowControl/>
        <w:numPr>
          <w:ilvl w:val="0"/>
          <w:numId w:val="1"/>
        </w:numPr>
        <w:spacing w:line="540" w:lineRule="exact"/>
        <w:ind w:firstLine="480" w:firstLineChars="200"/>
        <w:jc w:val="left"/>
        <w:rPr>
          <w:rFonts w:hint="eastAsia" w:cs="Times New Roman"/>
          <w:b w:val="0"/>
          <w:bCs w:val="0"/>
          <w:color w:val="auto"/>
          <w:kern w:val="2"/>
          <w:sz w:val="24"/>
          <w:szCs w:val="24"/>
          <w:lang w:val="en-US" w:eastAsia="zh-CN" w:bidi="ar-SA"/>
        </w:rPr>
      </w:pPr>
      <w:r>
        <w:rPr>
          <w:rFonts w:hint="eastAsia" w:ascii="Times New Roman" w:hAnsi="Times New Roman" w:eastAsia="宋体" w:cs="Times New Roman"/>
          <w:b w:val="0"/>
          <w:bCs w:val="0"/>
          <w:color w:val="auto"/>
          <w:kern w:val="2"/>
          <w:sz w:val="24"/>
          <w:szCs w:val="24"/>
          <w:lang w:val="en-US" w:eastAsia="zh-CN" w:bidi="ar-SA"/>
        </w:rPr>
        <w:t>重庆市万州区环境保护局（渝（万）环准[2018]32号）《重庆市建设项目环境影响评价文件批准书》</w:t>
      </w:r>
      <w:r>
        <w:rPr>
          <w:rFonts w:hint="eastAsia" w:cs="Times New Roman"/>
          <w:b w:val="0"/>
          <w:bCs w:val="0"/>
          <w:color w:val="auto"/>
          <w:kern w:val="2"/>
          <w:sz w:val="24"/>
          <w:szCs w:val="24"/>
          <w:lang w:val="en-US" w:eastAsia="zh-CN" w:bidi="ar-SA"/>
        </w:rPr>
        <w:t>；</w:t>
      </w:r>
    </w:p>
    <w:p>
      <w:pPr>
        <w:pStyle w:val="2"/>
        <w:numPr>
          <w:ilvl w:val="0"/>
          <w:numId w:val="1"/>
        </w:numPr>
        <w:rPr>
          <w:rFonts w:hint="default"/>
          <w:lang w:val="en-US"/>
        </w:rPr>
      </w:pPr>
      <w:r>
        <w:rPr>
          <w:rFonts w:hint="default"/>
          <w:lang w:val="en-US"/>
        </w:rPr>
        <w:t>建设工程规划许可证</w:t>
      </w:r>
      <w:r>
        <w:rPr>
          <w:rFonts w:hint="eastAsia"/>
          <w:lang w:val="en-US" w:eastAsia="zh-CN"/>
        </w:rPr>
        <w:t>（建字第500101202000001号）。</w:t>
      </w:r>
    </w:p>
    <w:sectPr>
      <w:footerReference r:id="rId9" w:type="default"/>
      <w:pgSz w:w="11906" w:h="16838"/>
      <w:pgMar w:top="1701" w:right="1418" w:bottom="1701" w:left="1418"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Arial Black">
    <w:panose1 w:val="020B0A04020102020204"/>
    <w:charset w:val="00"/>
    <w:family w:val="swiss"/>
    <w:pitch w:val="default"/>
    <w:sig w:usb0="00000287" w:usb1="00000000" w:usb2="00000000" w:usb3="00000000" w:csb0="2000009F" w:csb1="DFD7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Tahoma">
    <w:panose1 w:val="020B0604030504040204"/>
    <w:charset w:val="00"/>
    <w:family w:val="swiss"/>
    <w:pitch w:val="default"/>
    <w:sig w:usb0="E1002EFF" w:usb1="C000605B" w:usb2="00000029" w:usb3="00000000" w:csb0="200101FF" w:csb1="20280000"/>
  </w:font>
  <w:font w:name="Noto Sans Mono CJK JP Regular">
    <w:altName w:val="Arial"/>
    <w:panose1 w:val="00000000000000000000"/>
    <w:charset w:val="00"/>
    <w:family w:val="swiss"/>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p>
  <w:p>
    <w:pPr>
      <w:pStyle w:val="1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ind w:firstLine="90" w:firstLineChars="50"/>
      <w:rPr>
        <w:rFonts w:hint="eastAsia" w:eastAsia="宋体"/>
        <w:lang w:val="en-US" w:eastAsia="zh-CN"/>
      </w:rPr>
    </w:pPr>
    <w:r>
      <w:rPr>
        <w:sz w:val="18"/>
      </w:rPr>
      <w:pict>
        <v:shape id="_x0000_s3073" o:spid="_x0000_s3073" o:spt="202" type="#_x0000_t202" style="position:absolute;left:0pt;margin-top:0pt;height:144pt;width:144pt;mso-position-horizontal:right;mso-position-horizontal-relative:margin;mso-wrap-style:none;z-index:251689984;mso-width-relative:page;mso-height-relative:page;" filled="f" stroked="f" coordsize="21600,21600">
          <v:path/>
          <v:fill on="f" focussize="0,0"/>
          <v:stroke on="f"/>
          <v:imagedata o:title=""/>
          <o:lock v:ext="edit" aspectratio="f"/>
          <v:textbox inset="0mm,0mm,0mm,0mm" style="mso-fit-shape-to-text:t;">
            <w:txbxContent>
              <w:p>
                <w:pPr>
                  <w:pStyle w:val="17"/>
                  <w:ind w:firstLine="90" w:firstLineChars="50"/>
                </w:pPr>
                <w:r>
                  <w:fldChar w:fldCharType="begin"/>
                </w:r>
                <w:r>
                  <w:instrText xml:space="preserve"> PAGE   \* MERGEFORMAT </w:instrText>
                </w:r>
                <w:r>
                  <w:fldChar w:fldCharType="separate"/>
                </w:r>
                <w:r>
                  <w:rPr>
                    <w:lang w:val="zh-CN"/>
                  </w:rPr>
                  <w:t>7</w:t>
                </w:r>
                <w:r>
                  <w:rPr>
                    <w:lang w:val="zh-CN"/>
                  </w:rPr>
                  <w:fldChar w:fldCharType="end"/>
                </w:r>
              </w:p>
            </w:txbxContent>
          </v:textbox>
        </v:shape>
      </w:pict>
    </w:r>
    <w:r>
      <w:rPr>
        <w:rFonts w:hint="eastAsia"/>
        <w:sz w:val="18"/>
        <w:lang w:eastAsia="zh-CN"/>
      </w:rPr>
      <w:t>重庆伟达环保科技有限责任公司</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ind w:firstLine="90" w:firstLineChars="50"/>
      <w:rPr>
        <w:rFonts w:hint="eastAsia" w:eastAsia="宋体"/>
        <w:lang w:val="en-US" w:eastAsia="zh-CN"/>
      </w:rPr>
    </w:pPr>
    <w:r>
      <w:rPr>
        <w:sz w:val="18"/>
      </w:rPr>
      <w:pict>
        <v:shape id="_x0000_s3075" o:spid="_x0000_s3075" o:spt="202" type="#_x0000_t202" style="position:absolute;left:0pt;margin-top:0pt;height:144pt;width:144pt;mso-position-horizontal:right;mso-position-horizontal-relative:margin;mso-wrap-style:none;z-index:251693056;mso-width-relative:page;mso-height-relative:page;" filled="f" stroked="f" coordsize="21600,21600">
          <v:path/>
          <v:fill on="f" focussize="0,0"/>
          <v:stroke on="f"/>
          <v:imagedata o:title=""/>
          <o:lock v:ext="edit" aspectratio="f"/>
          <v:textbox inset="0mm,0mm,0mm,0mm" style="mso-fit-shape-to-text:t;">
            <w:txbxContent>
              <w:p>
                <w:pPr>
                  <w:pStyle w:val="17"/>
                  <w:ind w:firstLine="90" w:firstLineChars="50"/>
                </w:pPr>
                <w:r>
                  <w:fldChar w:fldCharType="begin"/>
                </w:r>
                <w:r>
                  <w:instrText xml:space="preserve"> PAGE   \* MERGEFORMAT </w:instrText>
                </w:r>
                <w:r>
                  <w:fldChar w:fldCharType="separate"/>
                </w:r>
                <w:r>
                  <w:rPr>
                    <w:lang w:val="zh-CN"/>
                  </w:rPr>
                  <w:t>7</w:t>
                </w:r>
                <w:r>
                  <w:rPr>
                    <w:lang w:val="zh-CN"/>
                  </w:rPr>
                  <w:fldChar w:fldCharType="end"/>
                </w:r>
              </w:p>
            </w:txbxContent>
          </v:textbox>
        </v:shape>
      </w:pict>
    </w:r>
    <w:r>
      <w:rPr>
        <w:rFonts w:hint="eastAsia"/>
        <w:sz w:val="18"/>
        <w:lang w:eastAsia="zh-CN"/>
      </w:rPr>
      <w:t>重庆伟达环保科技有限责任公司</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Bdr>
        <w:bottom w:val="none" w:color="auto" w:sz="0" w:space="0"/>
      </w:pBdr>
      <w:jc w:val="right"/>
    </w:pPr>
    <w:r>
      <w:rPr>
        <w:rFonts w:hint="eastAsia"/>
        <w:b w:val="0"/>
        <w:bCs w:val="0"/>
        <w:i/>
        <w:lang w:eastAsia="zh-CN"/>
      </w:rPr>
      <w:t>山屿城1、22、23、25、26、27号楼及2、3号车库建设项目竣工环境保护验收监测报告</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Bdr>
        <w:bottom w:val="none" w:color="auto" w:sz="0" w:space="0"/>
      </w:pBdr>
      <w:jc w:val="right"/>
      <w:rPr>
        <w:b w:val="0"/>
        <w:bCs w:val="0"/>
      </w:rPr>
    </w:pPr>
    <w:r>
      <w:rPr>
        <w:rFonts w:hint="eastAsia"/>
        <w:b w:val="0"/>
        <w:bCs w:val="0"/>
        <w:i/>
        <w:lang w:eastAsia="zh-CN"/>
      </w:rPr>
      <w:t>山屿城1、22、23、25、26、27号楼及2、3号车库建设项目竣工环境保护验收监测报告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5940C7D"/>
    <w:multiLevelType w:val="singleLevel"/>
    <w:tmpl w:val="95940C7D"/>
    <w:lvl w:ilvl="0" w:tentative="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hdrShapeDefaults>
    <o:shapelayout v:ext="edit">
      <o:idmap v:ext="edit" data="3"/>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2C4C7E"/>
    <w:rsid w:val="00281EBB"/>
    <w:rsid w:val="002C4C7E"/>
    <w:rsid w:val="00324274"/>
    <w:rsid w:val="0035093A"/>
    <w:rsid w:val="0037438C"/>
    <w:rsid w:val="004169C8"/>
    <w:rsid w:val="004607B8"/>
    <w:rsid w:val="004F2C24"/>
    <w:rsid w:val="00507C6A"/>
    <w:rsid w:val="00511EFF"/>
    <w:rsid w:val="006602F8"/>
    <w:rsid w:val="006665DE"/>
    <w:rsid w:val="0072302C"/>
    <w:rsid w:val="008E7B9E"/>
    <w:rsid w:val="008F7D80"/>
    <w:rsid w:val="00A60237"/>
    <w:rsid w:val="00B815DD"/>
    <w:rsid w:val="00B92163"/>
    <w:rsid w:val="00C114F1"/>
    <w:rsid w:val="00ED76F3"/>
    <w:rsid w:val="00F277D7"/>
    <w:rsid w:val="00F40E77"/>
    <w:rsid w:val="00FC4C7A"/>
    <w:rsid w:val="00FF3954"/>
    <w:rsid w:val="026E1777"/>
    <w:rsid w:val="02C02079"/>
    <w:rsid w:val="03801C7B"/>
    <w:rsid w:val="03990A58"/>
    <w:rsid w:val="06D767D0"/>
    <w:rsid w:val="0A410936"/>
    <w:rsid w:val="0A66592E"/>
    <w:rsid w:val="0BC5563C"/>
    <w:rsid w:val="0DBF6BC5"/>
    <w:rsid w:val="0F6E2277"/>
    <w:rsid w:val="10EA5DDC"/>
    <w:rsid w:val="13DF455E"/>
    <w:rsid w:val="16EA63D9"/>
    <w:rsid w:val="178B7BED"/>
    <w:rsid w:val="18150B61"/>
    <w:rsid w:val="18B136E0"/>
    <w:rsid w:val="1A5E5F07"/>
    <w:rsid w:val="1EB13DB2"/>
    <w:rsid w:val="20266D7F"/>
    <w:rsid w:val="21641CAD"/>
    <w:rsid w:val="21B8727A"/>
    <w:rsid w:val="24457189"/>
    <w:rsid w:val="250C19BD"/>
    <w:rsid w:val="25FA5D20"/>
    <w:rsid w:val="27C96E3F"/>
    <w:rsid w:val="28C9662E"/>
    <w:rsid w:val="29E73943"/>
    <w:rsid w:val="2DCD2693"/>
    <w:rsid w:val="2EC9003F"/>
    <w:rsid w:val="2F84531A"/>
    <w:rsid w:val="2FB87BDA"/>
    <w:rsid w:val="39D606EC"/>
    <w:rsid w:val="3A573685"/>
    <w:rsid w:val="3B0936A4"/>
    <w:rsid w:val="3B323245"/>
    <w:rsid w:val="3BCF7ED3"/>
    <w:rsid w:val="3C004089"/>
    <w:rsid w:val="3C4A497B"/>
    <w:rsid w:val="3C6A25C6"/>
    <w:rsid w:val="3E804CA9"/>
    <w:rsid w:val="3FC135AB"/>
    <w:rsid w:val="457A5B39"/>
    <w:rsid w:val="45C62107"/>
    <w:rsid w:val="47CE47E5"/>
    <w:rsid w:val="4A6A69A2"/>
    <w:rsid w:val="4D9C6EB2"/>
    <w:rsid w:val="4DC12709"/>
    <w:rsid w:val="51723BB8"/>
    <w:rsid w:val="52E57D79"/>
    <w:rsid w:val="552A0D22"/>
    <w:rsid w:val="56D836BD"/>
    <w:rsid w:val="59C15963"/>
    <w:rsid w:val="59D702C7"/>
    <w:rsid w:val="5E490DFD"/>
    <w:rsid w:val="5E974945"/>
    <w:rsid w:val="615A1B13"/>
    <w:rsid w:val="62671DE6"/>
    <w:rsid w:val="632215F9"/>
    <w:rsid w:val="63BD1AFD"/>
    <w:rsid w:val="665133A5"/>
    <w:rsid w:val="667A0678"/>
    <w:rsid w:val="67133156"/>
    <w:rsid w:val="68C2623A"/>
    <w:rsid w:val="6B692110"/>
    <w:rsid w:val="6BCB57F6"/>
    <w:rsid w:val="6C844AD2"/>
    <w:rsid w:val="6D2C5CD6"/>
    <w:rsid w:val="6DDC2424"/>
    <w:rsid w:val="6E785E52"/>
    <w:rsid w:val="6F4B7BFE"/>
    <w:rsid w:val="70E76635"/>
    <w:rsid w:val="7240663B"/>
    <w:rsid w:val="731A3B74"/>
    <w:rsid w:val="7326426C"/>
    <w:rsid w:val="73F05E80"/>
    <w:rsid w:val="7594614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rules v:ext="edit">
        <o:r id="V:Rule1" type="connector" idref="#1116"/>
        <o:r id="V:Rule2" type="connector" idref="#1117"/>
        <o:r id="V:Rule3" type="connector" idref="#1125"/>
        <o:r id="V:Rule4" type="connector" idref="#1122"/>
        <o:r id="V:Rule5" type="connector" idref="#1121"/>
        <o:r id="V:Rule6" type="connector" idref="#1127"/>
        <o:r id="V:Rule7" type="connector" idref="#1129"/>
        <o:r id="V:Rule8" type="connector" idref="#_x0000_s2152"/>
        <o:r id="V:Rule9" type="connector" idref="#1120"/>
      </o:rules>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iPriority="99" w:name="annotation text"/>
    <w:lsdException w:qFormat="1" w:unhideWhenUsed="0" w:uiPriority="99"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qFormat="1" w:unhideWhenUsed="0" w:uiPriority="0" w:semiHidden="0"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qFormat="1" w:unhideWhenUsed="0" w:uiPriority="0" w:semiHidden="0" w:name="Date"/>
    <w:lsdException w:qFormat="1" w:unhideWhenUsed="0" w:uiPriority="0" w:semiHidden="0"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uiPriority="99" w:name="Body Text Indent 3"/>
    <w:lsdException w:qFormat="1" w:unhideWhenUsed="0" w:uiPriority="0" w:semiHidden="0"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59" w:semiHidden="0" w:name="Table Grid"/>
    <w:lsdException w:qFormat="1" w:unhideWhenUsed="0" w:uiPriority="0" w:semiHidden="0" w:name="Table Theme"/>
    <w:lsdException w:qFormat="1" w:unhideWhenUsed="0" w:uiPriority="99" w:semiHidden="0"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53"/>
    <w:qFormat/>
    <w:uiPriority w:val="0"/>
    <w:pPr>
      <w:keepNext/>
      <w:keepLines/>
      <w:spacing w:line="578" w:lineRule="auto"/>
      <w:outlineLvl w:val="0"/>
    </w:pPr>
    <w:rPr>
      <w:b/>
      <w:bCs/>
      <w:kern w:val="44"/>
      <w:sz w:val="32"/>
      <w:szCs w:val="44"/>
    </w:rPr>
  </w:style>
  <w:style w:type="paragraph" w:styleId="4">
    <w:name w:val="heading 2"/>
    <w:basedOn w:val="1"/>
    <w:next w:val="1"/>
    <w:link w:val="46"/>
    <w:qFormat/>
    <w:uiPriority w:val="0"/>
    <w:pPr>
      <w:keepNext/>
      <w:keepLines/>
      <w:outlineLvl w:val="1"/>
    </w:pPr>
    <w:rPr>
      <w:b/>
      <w:bCs/>
      <w:sz w:val="28"/>
      <w:szCs w:val="32"/>
    </w:rPr>
  </w:style>
  <w:style w:type="paragraph" w:styleId="5">
    <w:name w:val="heading 3"/>
    <w:basedOn w:val="1"/>
    <w:next w:val="1"/>
    <w:link w:val="47"/>
    <w:qFormat/>
    <w:uiPriority w:val="0"/>
    <w:pPr>
      <w:keepNext/>
      <w:keepLines/>
      <w:spacing w:before="260" w:after="260" w:line="416" w:lineRule="auto"/>
      <w:outlineLvl w:val="2"/>
    </w:pPr>
    <w:rPr>
      <w:b/>
      <w:bCs/>
      <w:sz w:val="32"/>
      <w:szCs w:val="32"/>
    </w:rPr>
  </w:style>
  <w:style w:type="character" w:default="1" w:styleId="26">
    <w:name w:val="Default Paragraph Font"/>
    <w:semiHidden/>
    <w:unhideWhenUsed/>
    <w:qFormat/>
    <w:uiPriority w:val="1"/>
  </w:style>
  <w:style w:type="table" w:default="1" w:styleId="23">
    <w:name w:val="Normal Table"/>
    <w:semiHidden/>
    <w:unhideWhenUsed/>
    <w:qFormat/>
    <w:uiPriority w:val="99"/>
    <w:tblPr>
      <w:tblCellMar>
        <w:top w:w="0" w:type="dxa"/>
        <w:left w:w="108" w:type="dxa"/>
        <w:bottom w:w="0" w:type="dxa"/>
        <w:right w:w="108" w:type="dxa"/>
      </w:tblCellMar>
    </w:tblPr>
  </w:style>
  <w:style w:type="paragraph" w:styleId="2">
    <w:name w:val="Block Text"/>
    <w:basedOn w:val="1"/>
    <w:qFormat/>
    <w:uiPriority w:val="0"/>
    <w:pPr>
      <w:spacing w:line="432" w:lineRule="auto"/>
      <w:ind w:left="13" w:leftChars="6" w:right="-3" w:firstLine="360" w:firstLineChars="150"/>
    </w:pPr>
    <w:rPr>
      <w:sz w:val="24"/>
      <w:szCs w:val="20"/>
    </w:rPr>
  </w:style>
  <w:style w:type="paragraph" w:styleId="6">
    <w:name w:val="Normal Indent"/>
    <w:basedOn w:val="1"/>
    <w:next w:val="1"/>
    <w:qFormat/>
    <w:uiPriority w:val="0"/>
    <w:pPr>
      <w:ind w:firstLine="420" w:firstLineChars="200"/>
    </w:pPr>
  </w:style>
  <w:style w:type="paragraph" w:styleId="7">
    <w:name w:val="Document Map"/>
    <w:basedOn w:val="1"/>
    <w:link w:val="57"/>
    <w:qFormat/>
    <w:uiPriority w:val="0"/>
    <w:rPr>
      <w:rFonts w:ascii="宋体"/>
      <w:sz w:val="18"/>
      <w:szCs w:val="18"/>
    </w:rPr>
  </w:style>
  <w:style w:type="paragraph" w:styleId="8">
    <w:name w:val="toa heading"/>
    <w:basedOn w:val="1"/>
    <w:next w:val="1"/>
    <w:qFormat/>
    <w:uiPriority w:val="0"/>
    <w:pPr>
      <w:spacing w:before="120"/>
    </w:pPr>
    <w:rPr>
      <w:rFonts w:ascii="Arial" w:hAnsi="Arial"/>
      <w:sz w:val="24"/>
      <w:szCs w:val="20"/>
    </w:rPr>
  </w:style>
  <w:style w:type="paragraph" w:styleId="9">
    <w:name w:val="annotation text"/>
    <w:basedOn w:val="1"/>
    <w:link w:val="74"/>
    <w:semiHidden/>
    <w:unhideWhenUsed/>
    <w:qFormat/>
    <w:uiPriority w:val="99"/>
    <w:pPr>
      <w:jc w:val="left"/>
    </w:pPr>
  </w:style>
  <w:style w:type="paragraph" w:styleId="10">
    <w:name w:val="Body Text"/>
    <w:basedOn w:val="1"/>
    <w:link w:val="40"/>
    <w:qFormat/>
    <w:uiPriority w:val="0"/>
    <w:pPr>
      <w:spacing w:after="120"/>
    </w:pPr>
  </w:style>
  <w:style w:type="paragraph" w:styleId="11">
    <w:name w:val="Body Text Indent"/>
    <w:basedOn w:val="1"/>
    <w:link w:val="67"/>
    <w:qFormat/>
    <w:uiPriority w:val="0"/>
    <w:pPr>
      <w:spacing w:after="120"/>
      <w:ind w:left="420" w:leftChars="200"/>
    </w:pPr>
  </w:style>
  <w:style w:type="paragraph" w:styleId="12">
    <w:name w:val="toc 3"/>
    <w:basedOn w:val="1"/>
    <w:next w:val="1"/>
    <w:qFormat/>
    <w:uiPriority w:val="39"/>
    <w:pPr>
      <w:ind w:left="840" w:leftChars="400"/>
    </w:pPr>
  </w:style>
  <w:style w:type="paragraph" w:styleId="13">
    <w:name w:val="Plain Text"/>
    <w:basedOn w:val="1"/>
    <w:link w:val="61"/>
    <w:qFormat/>
    <w:uiPriority w:val="0"/>
    <w:rPr>
      <w:rFonts w:ascii="宋体" w:hAnsi="Courier New" w:cs="Courier New"/>
      <w:szCs w:val="21"/>
    </w:rPr>
  </w:style>
  <w:style w:type="paragraph" w:styleId="14">
    <w:name w:val="Date"/>
    <w:basedOn w:val="1"/>
    <w:next w:val="1"/>
    <w:link w:val="68"/>
    <w:qFormat/>
    <w:uiPriority w:val="0"/>
    <w:pPr>
      <w:ind w:left="100" w:leftChars="2500"/>
    </w:pPr>
  </w:style>
  <w:style w:type="paragraph" w:styleId="15">
    <w:name w:val="Body Text Indent 2"/>
    <w:basedOn w:val="1"/>
    <w:link w:val="34"/>
    <w:qFormat/>
    <w:uiPriority w:val="0"/>
    <w:pPr>
      <w:ind w:firstLine="560" w:firstLineChars="200"/>
    </w:pPr>
    <w:rPr>
      <w:sz w:val="28"/>
    </w:rPr>
  </w:style>
  <w:style w:type="paragraph" w:styleId="16">
    <w:name w:val="Balloon Text"/>
    <w:basedOn w:val="1"/>
    <w:link w:val="37"/>
    <w:qFormat/>
    <w:uiPriority w:val="0"/>
    <w:rPr>
      <w:sz w:val="18"/>
      <w:szCs w:val="18"/>
    </w:rPr>
  </w:style>
  <w:style w:type="paragraph" w:styleId="17">
    <w:name w:val="footer"/>
    <w:basedOn w:val="1"/>
    <w:link w:val="32"/>
    <w:qFormat/>
    <w:uiPriority w:val="99"/>
    <w:pPr>
      <w:tabs>
        <w:tab w:val="center" w:pos="4153"/>
        <w:tab w:val="right" w:pos="8306"/>
      </w:tabs>
      <w:snapToGrid w:val="0"/>
      <w:jc w:val="left"/>
    </w:pPr>
    <w:rPr>
      <w:sz w:val="18"/>
      <w:szCs w:val="18"/>
    </w:rPr>
  </w:style>
  <w:style w:type="paragraph" w:styleId="18">
    <w:name w:val="header"/>
    <w:basedOn w:val="1"/>
    <w:link w:val="31"/>
    <w:qFormat/>
    <w:uiPriority w:val="99"/>
    <w:pPr>
      <w:pBdr>
        <w:bottom w:val="single" w:color="auto" w:sz="6" w:space="0"/>
      </w:pBdr>
      <w:tabs>
        <w:tab w:val="center" w:pos="4153"/>
        <w:tab w:val="right" w:pos="8306"/>
      </w:tabs>
      <w:snapToGrid w:val="0"/>
      <w:jc w:val="center"/>
    </w:pPr>
    <w:rPr>
      <w:sz w:val="18"/>
      <w:szCs w:val="18"/>
    </w:rPr>
  </w:style>
  <w:style w:type="paragraph" w:styleId="19">
    <w:name w:val="toc 1"/>
    <w:basedOn w:val="1"/>
    <w:next w:val="1"/>
    <w:qFormat/>
    <w:uiPriority w:val="39"/>
    <w:pPr>
      <w:tabs>
        <w:tab w:val="right" w:leader="dot" w:pos="9402"/>
      </w:tabs>
      <w:spacing w:before="120" w:after="120" w:line="440" w:lineRule="exact"/>
      <w:jc w:val="left"/>
    </w:pPr>
    <w:rPr>
      <w:b/>
      <w:caps/>
      <w:sz w:val="24"/>
      <w:szCs w:val="20"/>
    </w:rPr>
  </w:style>
  <w:style w:type="paragraph" w:styleId="20">
    <w:name w:val="Subtitle"/>
    <w:basedOn w:val="1"/>
    <w:next w:val="1"/>
    <w:link w:val="51"/>
    <w:qFormat/>
    <w:uiPriority w:val="0"/>
    <w:pPr>
      <w:spacing w:before="240" w:after="60" w:line="312" w:lineRule="auto"/>
      <w:jc w:val="center"/>
      <w:outlineLvl w:val="1"/>
    </w:pPr>
    <w:rPr>
      <w:rFonts w:ascii="Cambria" w:hAnsi="Cambria"/>
      <w:b/>
      <w:bCs/>
      <w:kern w:val="28"/>
      <w:sz w:val="32"/>
      <w:szCs w:val="32"/>
    </w:rPr>
  </w:style>
  <w:style w:type="paragraph" w:styleId="21">
    <w:name w:val="toc 2"/>
    <w:basedOn w:val="1"/>
    <w:next w:val="1"/>
    <w:qFormat/>
    <w:uiPriority w:val="39"/>
    <w:pPr>
      <w:tabs>
        <w:tab w:val="right" w:leader="dot" w:pos="9402"/>
      </w:tabs>
      <w:spacing w:line="360" w:lineRule="auto"/>
      <w:ind w:left="420" w:leftChars="200"/>
    </w:pPr>
  </w:style>
  <w:style w:type="paragraph" w:styleId="22">
    <w:name w:val="Body Text First Indent"/>
    <w:basedOn w:val="10"/>
    <w:link w:val="41"/>
    <w:qFormat/>
    <w:uiPriority w:val="0"/>
    <w:pPr>
      <w:ind w:firstLine="420" w:firstLineChars="100"/>
    </w:pPr>
  </w:style>
  <w:style w:type="table" w:styleId="24">
    <w:name w:val="Table Grid"/>
    <w:basedOn w:val="23"/>
    <w:qFormat/>
    <w:uiPriority w:val="5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table" w:styleId="25">
    <w:name w:val="Table Theme"/>
    <w:basedOn w:val="2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7">
    <w:name w:val="page number"/>
    <w:basedOn w:val="26"/>
    <w:qFormat/>
    <w:uiPriority w:val="0"/>
  </w:style>
  <w:style w:type="character" w:styleId="28">
    <w:name w:val="Hyperlink"/>
    <w:basedOn w:val="26"/>
    <w:qFormat/>
    <w:uiPriority w:val="99"/>
    <w:rPr>
      <w:color w:val="0000FF"/>
      <w:u w:val="single"/>
    </w:rPr>
  </w:style>
  <w:style w:type="character" w:styleId="29">
    <w:name w:val="annotation reference"/>
    <w:qFormat/>
    <w:uiPriority w:val="0"/>
    <w:rPr>
      <w:sz w:val="21"/>
      <w:szCs w:val="21"/>
    </w:rPr>
  </w:style>
  <w:style w:type="paragraph" w:customStyle="1" w:styleId="30">
    <w:name w:val="样式 正文缩进正文缩进2正文缩进 Char Char正文缩进 Char Char Char Char正文缩进 Char ..."/>
    <w:basedOn w:val="6"/>
    <w:qFormat/>
    <w:uiPriority w:val="0"/>
    <w:pPr>
      <w:spacing w:line="360" w:lineRule="auto"/>
      <w:ind w:firstLine="200"/>
    </w:pPr>
    <w:rPr>
      <w:rFonts w:cs="宋体"/>
      <w:sz w:val="24"/>
    </w:rPr>
  </w:style>
  <w:style w:type="character" w:customStyle="1" w:styleId="31">
    <w:name w:val="页眉 Char"/>
    <w:basedOn w:val="26"/>
    <w:link w:val="18"/>
    <w:qFormat/>
    <w:uiPriority w:val="99"/>
    <w:rPr>
      <w:kern w:val="2"/>
      <w:sz w:val="18"/>
      <w:szCs w:val="18"/>
    </w:rPr>
  </w:style>
  <w:style w:type="character" w:customStyle="1" w:styleId="32">
    <w:name w:val="页脚 Char"/>
    <w:basedOn w:val="26"/>
    <w:link w:val="17"/>
    <w:qFormat/>
    <w:uiPriority w:val="99"/>
    <w:rPr>
      <w:kern w:val="2"/>
      <w:sz w:val="18"/>
      <w:szCs w:val="18"/>
    </w:rPr>
  </w:style>
  <w:style w:type="paragraph" w:styleId="33">
    <w:name w:val="List Paragraph"/>
    <w:basedOn w:val="1"/>
    <w:qFormat/>
    <w:uiPriority w:val="34"/>
    <w:pPr>
      <w:ind w:firstLine="420" w:firstLineChars="200"/>
    </w:pPr>
  </w:style>
  <w:style w:type="character" w:customStyle="1" w:styleId="34">
    <w:name w:val="正文文本缩进 2 Char"/>
    <w:basedOn w:val="26"/>
    <w:link w:val="15"/>
    <w:qFormat/>
    <w:uiPriority w:val="0"/>
    <w:rPr>
      <w:kern w:val="2"/>
      <w:sz w:val="28"/>
      <w:szCs w:val="24"/>
    </w:rPr>
  </w:style>
  <w:style w:type="paragraph" w:customStyle="1" w:styleId="35">
    <w:name w:val="封面单位"/>
    <w:basedOn w:val="1"/>
    <w:qFormat/>
    <w:uiPriority w:val="0"/>
    <w:pPr>
      <w:tabs>
        <w:tab w:val="right" w:leader="middleDot" w:pos="8222"/>
      </w:tabs>
      <w:spacing w:line="360" w:lineRule="auto"/>
      <w:jc w:val="center"/>
    </w:pPr>
    <w:rPr>
      <w:rFonts w:ascii="楷体_GB2312" w:hAnsi="Arial Black" w:eastAsia="楷体_GB2312"/>
      <w:b/>
      <w:kern w:val="44"/>
      <w:sz w:val="36"/>
      <w:szCs w:val="20"/>
    </w:rPr>
  </w:style>
  <w:style w:type="paragraph" w:customStyle="1" w:styleId="36">
    <w:name w:val="表格文字"/>
    <w:basedOn w:val="1"/>
    <w:next w:val="1"/>
    <w:qFormat/>
    <w:uiPriority w:val="0"/>
    <w:pPr>
      <w:spacing w:line="300" w:lineRule="exact"/>
      <w:jc w:val="center"/>
    </w:pPr>
    <w:rPr>
      <w:snapToGrid w:val="0"/>
      <w:color w:val="000000"/>
      <w:kern w:val="24"/>
      <w:szCs w:val="20"/>
    </w:rPr>
  </w:style>
  <w:style w:type="character" w:customStyle="1" w:styleId="37">
    <w:name w:val="批注框文本 Char"/>
    <w:basedOn w:val="26"/>
    <w:link w:val="16"/>
    <w:qFormat/>
    <w:uiPriority w:val="0"/>
    <w:rPr>
      <w:kern w:val="2"/>
      <w:sz w:val="18"/>
      <w:szCs w:val="18"/>
    </w:rPr>
  </w:style>
  <w:style w:type="paragraph" w:customStyle="1" w:styleId="38">
    <w:name w:val="样式1"/>
    <w:basedOn w:val="18"/>
    <w:link w:val="39"/>
    <w:qFormat/>
    <w:uiPriority w:val="0"/>
    <w:pPr>
      <w:pBdr>
        <w:bottom w:val="none" w:color="auto" w:sz="0" w:space="0"/>
      </w:pBdr>
    </w:pPr>
  </w:style>
  <w:style w:type="character" w:customStyle="1" w:styleId="39">
    <w:name w:val="样式1 Char"/>
    <w:basedOn w:val="31"/>
    <w:link w:val="38"/>
    <w:qFormat/>
    <w:uiPriority w:val="0"/>
  </w:style>
  <w:style w:type="character" w:customStyle="1" w:styleId="40">
    <w:name w:val="正文文本 Char"/>
    <w:basedOn w:val="26"/>
    <w:link w:val="10"/>
    <w:qFormat/>
    <w:uiPriority w:val="0"/>
    <w:rPr>
      <w:kern w:val="2"/>
      <w:sz w:val="21"/>
      <w:szCs w:val="24"/>
    </w:rPr>
  </w:style>
  <w:style w:type="character" w:customStyle="1" w:styleId="41">
    <w:name w:val="正文首行缩进 Char"/>
    <w:basedOn w:val="40"/>
    <w:link w:val="22"/>
    <w:qFormat/>
    <w:uiPriority w:val="0"/>
  </w:style>
  <w:style w:type="paragraph" w:customStyle="1" w:styleId="42">
    <w:name w:val="表格"/>
    <w:basedOn w:val="1"/>
    <w:link w:val="43"/>
    <w:qFormat/>
    <w:uiPriority w:val="0"/>
    <w:pPr>
      <w:spacing w:line="360" w:lineRule="exact"/>
    </w:pPr>
    <w:rPr>
      <w:kern w:val="0"/>
      <w:sz w:val="24"/>
      <w:szCs w:val="20"/>
    </w:rPr>
  </w:style>
  <w:style w:type="character" w:customStyle="1" w:styleId="43">
    <w:name w:val="表格 Char"/>
    <w:basedOn w:val="26"/>
    <w:link w:val="42"/>
    <w:qFormat/>
    <w:uiPriority w:val="0"/>
    <w:rPr>
      <w:sz w:val="24"/>
    </w:rPr>
  </w:style>
  <w:style w:type="paragraph" w:customStyle="1" w:styleId="44">
    <w:name w:val="表体"/>
    <w:basedOn w:val="1"/>
    <w:qFormat/>
    <w:uiPriority w:val="0"/>
    <w:pPr>
      <w:spacing w:line="320" w:lineRule="atLeast"/>
      <w:jc w:val="center"/>
    </w:pPr>
    <w:rPr>
      <w:color w:val="000000"/>
      <w:szCs w:val="20"/>
    </w:rPr>
  </w:style>
  <w:style w:type="paragraph" w:customStyle="1" w:styleId="45">
    <w:name w:val="表格1"/>
    <w:basedOn w:val="1"/>
    <w:qFormat/>
    <w:uiPriority w:val="0"/>
    <w:pPr>
      <w:spacing w:line="300" w:lineRule="exact"/>
      <w:jc w:val="center"/>
    </w:pPr>
    <w:rPr>
      <w:bCs/>
      <w:color w:val="000000"/>
      <w:kern w:val="0"/>
      <w:szCs w:val="19"/>
    </w:rPr>
  </w:style>
  <w:style w:type="character" w:customStyle="1" w:styleId="46">
    <w:name w:val="标题 2 Char"/>
    <w:basedOn w:val="26"/>
    <w:link w:val="4"/>
    <w:qFormat/>
    <w:uiPriority w:val="0"/>
    <w:rPr>
      <w:b/>
      <w:bCs/>
      <w:kern w:val="2"/>
      <w:sz w:val="28"/>
      <w:szCs w:val="32"/>
    </w:rPr>
  </w:style>
  <w:style w:type="character" w:customStyle="1" w:styleId="47">
    <w:name w:val="标题 3 Char"/>
    <w:basedOn w:val="26"/>
    <w:link w:val="5"/>
    <w:qFormat/>
    <w:uiPriority w:val="0"/>
    <w:rPr>
      <w:b/>
      <w:bCs/>
      <w:kern w:val="2"/>
      <w:sz w:val="32"/>
      <w:szCs w:val="32"/>
    </w:rPr>
  </w:style>
  <w:style w:type="paragraph" w:customStyle="1" w:styleId="48">
    <w:name w:val="样式 标题 3 + (中文) 仿宋_GB2312 四号 非加粗 行距: 1.5 倍行距"/>
    <w:basedOn w:val="5"/>
    <w:qFormat/>
    <w:uiPriority w:val="0"/>
    <w:pPr>
      <w:spacing w:line="360" w:lineRule="auto"/>
    </w:pPr>
    <w:rPr>
      <w:bCs w:val="0"/>
      <w:color w:val="000000"/>
      <w:kern w:val="0"/>
      <w:sz w:val="28"/>
      <w:szCs w:val="20"/>
    </w:rPr>
  </w:style>
  <w:style w:type="paragraph" w:customStyle="1" w:styleId="49">
    <w:name w:val="4标题(治)"/>
    <w:basedOn w:val="1"/>
    <w:next w:val="1"/>
    <w:qFormat/>
    <w:uiPriority w:val="0"/>
    <w:pPr>
      <w:spacing w:line="460" w:lineRule="exact"/>
      <w:ind w:firstLine="520" w:firstLineChars="200"/>
    </w:pPr>
    <w:rPr>
      <w:bCs/>
      <w:sz w:val="26"/>
      <w:szCs w:val="26"/>
    </w:rPr>
  </w:style>
  <w:style w:type="paragraph" w:customStyle="1" w:styleId="50">
    <w:name w:val="报告正文"/>
    <w:basedOn w:val="1"/>
    <w:qFormat/>
    <w:uiPriority w:val="0"/>
    <w:pPr>
      <w:adjustRightInd w:val="0"/>
      <w:snapToGrid w:val="0"/>
      <w:spacing w:line="300" w:lineRule="auto"/>
    </w:pPr>
    <w:rPr>
      <w:rFonts w:ascii="宋体"/>
      <w:sz w:val="28"/>
      <w:szCs w:val="20"/>
    </w:rPr>
  </w:style>
  <w:style w:type="character" w:customStyle="1" w:styleId="51">
    <w:name w:val="副标题 Char"/>
    <w:basedOn w:val="26"/>
    <w:link w:val="20"/>
    <w:qFormat/>
    <w:uiPriority w:val="0"/>
    <w:rPr>
      <w:rFonts w:ascii="Cambria" w:hAnsi="Cambria" w:cs="Times New Roman"/>
      <w:b/>
      <w:bCs/>
      <w:kern w:val="28"/>
      <w:sz w:val="32"/>
      <w:szCs w:val="32"/>
    </w:rPr>
  </w:style>
  <w:style w:type="paragraph" w:customStyle="1" w:styleId="52">
    <w:name w:val="样式 标题 3 +"/>
    <w:basedOn w:val="5"/>
    <w:qFormat/>
    <w:uiPriority w:val="0"/>
    <w:pPr>
      <w:spacing w:before="20" w:after="20"/>
    </w:pPr>
    <w:rPr>
      <w:kern w:val="0"/>
    </w:rPr>
  </w:style>
  <w:style w:type="character" w:customStyle="1" w:styleId="53">
    <w:name w:val="标题 1 Char"/>
    <w:basedOn w:val="26"/>
    <w:link w:val="3"/>
    <w:qFormat/>
    <w:uiPriority w:val="0"/>
    <w:rPr>
      <w:b/>
      <w:bCs/>
      <w:kern w:val="44"/>
      <w:sz w:val="32"/>
      <w:szCs w:val="44"/>
    </w:rPr>
  </w:style>
  <w:style w:type="paragraph" w:customStyle="1" w:styleId="54">
    <w:name w:val="样式 标题 1 +"/>
    <w:basedOn w:val="3"/>
    <w:qFormat/>
    <w:uiPriority w:val="0"/>
    <w:rPr>
      <w:kern w:val="0"/>
    </w:rPr>
  </w:style>
  <w:style w:type="paragraph" w:customStyle="1" w:styleId="55">
    <w:name w:val="250/1"/>
    <w:basedOn w:val="54"/>
    <w:qFormat/>
    <w:uiPriority w:val="0"/>
    <w:pPr>
      <w:spacing w:line="480" w:lineRule="auto"/>
    </w:pPr>
    <w:rPr>
      <w:rFonts w:cs="宋体"/>
      <w:szCs w:val="20"/>
    </w:rPr>
  </w:style>
  <w:style w:type="paragraph" w:customStyle="1" w:styleId="56">
    <w:name w:val="样式 250/ 2节 + (中文) +中文正文 黑色 段前: 6 磅 段后: 6 磅 行距: 1.5 倍行距"/>
    <w:basedOn w:val="4"/>
    <w:qFormat/>
    <w:uiPriority w:val="0"/>
    <w:pPr>
      <w:spacing w:before="120" w:after="120" w:line="360" w:lineRule="auto"/>
    </w:pPr>
    <w:rPr>
      <w:rFonts w:cs="宋体"/>
      <w:color w:val="000000"/>
      <w:szCs w:val="20"/>
    </w:rPr>
  </w:style>
  <w:style w:type="character" w:customStyle="1" w:styleId="57">
    <w:name w:val="文档结构图 Char"/>
    <w:basedOn w:val="26"/>
    <w:link w:val="7"/>
    <w:qFormat/>
    <w:uiPriority w:val="0"/>
    <w:rPr>
      <w:rFonts w:ascii="宋体"/>
      <w:kern w:val="2"/>
      <w:sz w:val="18"/>
      <w:szCs w:val="18"/>
    </w:rPr>
  </w:style>
  <w:style w:type="paragraph" w:customStyle="1" w:styleId="58">
    <w:name w:val="样式 样式 标题 2 + (西文) Times New Roman (中文) 仿宋_GB2312 四号 行距: 1.5 倍行距 ..."/>
    <w:basedOn w:val="1"/>
    <w:link w:val="59"/>
    <w:qFormat/>
    <w:uiPriority w:val="0"/>
    <w:pPr>
      <w:keepNext/>
      <w:keepLines/>
      <w:spacing w:before="260" w:after="260" w:line="360" w:lineRule="auto"/>
      <w:outlineLvl w:val="1"/>
    </w:pPr>
    <w:rPr>
      <w:rFonts w:eastAsia="仿宋_GB2312" w:cs="宋体"/>
      <w:b/>
      <w:kern w:val="0"/>
      <w:sz w:val="30"/>
      <w:szCs w:val="20"/>
    </w:rPr>
  </w:style>
  <w:style w:type="character" w:customStyle="1" w:styleId="59">
    <w:name w:val="样式 样式 标题 2 + (西文) Times New Roman (中文) 仿宋_GB2312 四号 行距: 1.5 倍行距 ... Char"/>
    <w:basedOn w:val="26"/>
    <w:link w:val="58"/>
    <w:qFormat/>
    <w:uiPriority w:val="0"/>
    <w:rPr>
      <w:rFonts w:eastAsia="仿宋_GB2312" w:cs="宋体"/>
      <w:b/>
      <w:sz w:val="30"/>
    </w:rPr>
  </w:style>
  <w:style w:type="character" w:customStyle="1" w:styleId="60">
    <w:name w:val="纯文本 Char"/>
    <w:basedOn w:val="26"/>
    <w:link w:val="13"/>
    <w:qFormat/>
    <w:uiPriority w:val="0"/>
    <w:rPr>
      <w:rFonts w:ascii="宋体" w:hAnsi="Courier New" w:cs="Courier New"/>
      <w:kern w:val="2"/>
      <w:sz w:val="21"/>
      <w:szCs w:val="21"/>
    </w:rPr>
  </w:style>
  <w:style w:type="character" w:customStyle="1" w:styleId="61">
    <w:name w:val="纯文本 Char1"/>
    <w:basedOn w:val="26"/>
    <w:link w:val="13"/>
    <w:qFormat/>
    <w:uiPriority w:val="0"/>
    <w:rPr>
      <w:rFonts w:ascii="宋体" w:hAnsi="Courier New" w:cs="Courier New"/>
      <w:kern w:val="2"/>
      <w:sz w:val="21"/>
      <w:szCs w:val="21"/>
    </w:rPr>
  </w:style>
  <w:style w:type="paragraph" w:customStyle="1" w:styleId="62">
    <w:name w:val="Char"/>
    <w:basedOn w:val="1"/>
    <w:qFormat/>
    <w:uiPriority w:val="0"/>
  </w:style>
  <w:style w:type="paragraph" w:customStyle="1" w:styleId="63">
    <w:name w:val="Char2"/>
    <w:basedOn w:val="1"/>
    <w:qFormat/>
    <w:uiPriority w:val="0"/>
  </w:style>
  <w:style w:type="paragraph" w:customStyle="1" w:styleId="64">
    <w:name w:val="Char1"/>
    <w:basedOn w:val="1"/>
    <w:qFormat/>
    <w:uiPriority w:val="0"/>
  </w:style>
  <w:style w:type="paragraph" w:customStyle="1" w:styleId="65">
    <w:name w:val="TOC Heading_69403110-e455-4a1f-b269-afb9124dcfce"/>
    <w:basedOn w:val="3"/>
    <w:next w:val="1"/>
    <w:qFormat/>
    <w:uiPriority w:val="39"/>
    <w:pPr>
      <w:widowControl/>
      <w:spacing w:before="480" w:line="276" w:lineRule="auto"/>
      <w:jc w:val="left"/>
      <w:outlineLvl w:val="9"/>
    </w:pPr>
    <w:rPr>
      <w:rFonts w:ascii="Cambria" w:hAnsi="Cambria"/>
      <w:color w:val="365F91"/>
      <w:kern w:val="0"/>
      <w:sz w:val="28"/>
      <w:szCs w:val="28"/>
    </w:rPr>
  </w:style>
  <w:style w:type="paragraph" w:customStyle="1" w:styleId="66">
    <w:name w:val="报告表格"/>
    <w:basedOn w:val="1"/>
    <w:next w:val="1"/>
    <w:qFormat/>
    <w:uiPriority w:val="0"/>
    <w:pPr>
      <w:autoSpaceDE w:val="0"/>
      <w:autoSpaceDN w:val="0"/>
      <w:adjustRightInd w:val="0"/>
      <w:spacing w:line="318" w:lineRule="atLeast"/>
      <w:jc w:val="center"/>
      <w:textAlignment w:val="bottom"/>
    </w:pPr>
    <w:rPr>
      <w:kern w:val="0"/>
      <w:sz w:val="24"/>
      <w:szCs w:val="20"/>
    </w:rPr>
  </w:style>
  <w:style w:type="character" w:customStyle="1" w:styleId="67">
    <w:name w:val="正文文本缩进 Char"/>
    <w:basedOn w:val="26"/>
    <w:link w:val="11"/>
    <w:qFormat/>
    <w:uiPriority w:val="0"/>
    <w:rPr>
      <w:kern w:val="2"/>
      <w:sz w:val="21"/>
      <w:szCs w:val="24"/>
    </w:rPr>
  </w:style>
  <w:style w:type="character" w:customStyle="1" w:styleId="68">
    <w:name w:val="日期 Char"/>
    <w:basedOn w:val="26"/>
    <w:link w:val="14"/>
    <w:qFormat/>
    <w:uiPriority w:val="0"/>
    <w:rPr>
      <w:kern w:val="2"/>
      <w:sz w:val="21"/>
      <w:szCs w:val="24"/>
    </w:rPr>
  </w:style>
  <w:style w:type="paragraph" w:customStyle="1" w:styleId="69">
    <w:name w:val="Char3"/>
    <w:basedOn w:val="1"/>
    <w:qFormat/>
    <w:uiPriority w:val="0"/>
  </w:style>
  <w:style w:type="character" w:styleId="70">
    <w:name w:val="Placeholder Text"/>
    <w:basedOn w:val="26"/>
    <w:qFormat/>
    <w:uiPriority w:val="99"/>
    <w:rPr>
      <w:color w:val="808080"/>
    </w:rPr>
  </w:style>
  <w:style w:type="paragraph" w:customStyle="1" w:styleId="71">
    <w:name w:val="默认段落字体 Para Char"/>
    <w:basedOn w:val="1"/>
    <w:qFormat/>
    <w:uiPriority w:val="0"/>
    <w:rPr>
      <w:rFonts w:ascii="Tahoma" w:hAnsi="Tahoma"/>
      <w:sz w:val="24"/>
      <w:szCs w:val="20"/>
    </w:rPr>
  </w:style>
  <w:style w:type="table" w:customStyle="1" w:styleId="72">
    <w:name w:val="Table Normal"/>
    <w:qFormat/>
    <w:uiPriority w:val="2"/>
    <w:pPr>
      <w:widowControl w:val="0"/>
      <w:autoSpaceDE w:val="0"/>
      <w:autoSpaceDN w:val="0"/>
    </w:pPr>
    <w:rPr>
      <w:rFonts w:ascii="Calibri" w:hAnsi="Calibri" w:cs="宋体"/>
      <w:sz w:val="22"/>
      <w:szCs w:val="22"/>
      <w:lang w:eastAsia="en-US"/>
    </w:rPr>
    <w:tblPr>
      <w:tblCellMar>
        <w:top w:w="0" w:type="dxa"/>
        <w:left w:w="0" w:type="dxa"/>
        <w:bottom w:w="0" w:type="dxa"/>
        <w:right w:w="0" w:type="dxa"/>
      </w:tblCellMar>
    </w:tblPr>
  </w:style>
  <w:style w:type="paragraph" w:customStyle="1" w:styleId="73">
    <w:name w:val="Table Paragraph"/>
    <w:basedOn w:val="1"/>
    <w:qFormat/>
    <w:uiPriority w:val="1"/>
    <w:pPr>
      <w:autoSpaceDE w:val="0"/>
      <w:autoSpaceDN w:val="0"/>
      <w:jc w:val="left"/>
    </w:pPr>
    <w:rPr>
      <w:rFonts w:ascii="Noto Sans Mono CJK JP Regular" w:hAnsi="Noto Sans Mono CJK JP Regular" w:eastAsia="Noto Sans Mono CJK JP Regular" w:cs="Noto Sans Mono CJK JP Regular"/>
      <w:kern w:val="0"/>
      <w:sz w:val="22"/>
      <w:szCs w:val="22"/>
      <w:lang w:val="zh-CN" w:bidi="zh-CN"/>
    </w:rPr>
  </w:style>
  <w:style w:type="character" w:customStyle="1" w:styleId="74">
    <w:name w:val="批注文字 Char"/>
    <w:basedOn w:val="26"/>
    <w:link w:val="9"/>
    <w:semiHidden/>
    <w:qFormat/>
    <w:uiPriority w:val="99"/>
    <w:rPr>
      <w:kern w:val="2"/>
      <w:sz w:val="21"/>
      <w:szCs w:val="24"/>
    </w:rPr>
  </w:style>
  <w:style w:type="paragraph" w:customStyle="1" w:styleId="75">
    <w:name w:val="本项目正文格式"/>
    <w:basedOn w:val="1"/>
    <w:qFormat/>
    <w:uiPriority w:val="0"/>
    <w:pPr>
      <w:spacing w:line="440" w:lineRule="exact"/>
      <w:ind w:firstLine="480" w:firstLineChars="200"/>
    </w:pPr>
    <w:rPr>
      <w:b/>
      <w:sz w:val="24"/>
      <w:szCs w:val="24"/>
      <w:lang w:val="de-DE"/>
    </w:rPr>
  </w:style>
  <w:style w:type="paragraph" w:customStyle="1" w:styleId="76">
    <w:name w:val="报告书正文"/>
    <w:basedOn w:val="15"/>
    <w:qFormat/>
    <w:uiPriority w:val="0"/>
    <w:pPr>
      <w:adjustRightInd w:val="0"/>
      <w:snapToGrid w:val="0"/>
      <w:spacing w:after="0" w:afterLines="0" w:line="500" w:lineRule="exact"/>
      <w:ind w:left="0" w:leftChars="0" w:firstLine="200" w:firstLineChars="200"/>
    </w:pPr>
    <w:rPr>
      <w:bCs/>
      <w:color w:val="000000"/>
      <w:kern w:val="0"/>
      <w:sz w:val="28"/>
      <w:szCs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header" Target="header3.xml"/><Relationship Id="rId5" Type="http://schemas.openxmlformats.org/officeDocument/2006/relationships/footer" Target="footer1.xml"/><Relationship Id="rId4" Type="http://schemas.openxmlformats.org/officeDocument/2006/relationships/header" Target="header2.xml"/><Relationship Id="rId36" Type="http://schemas.openxmlformats.org/officeDocument/2006/relationships/fontTable" Target="fontTable.xml"/><Relationship Id="rId35" Type="http://schemas.openxmlformats.org/officeDocument/2006/relationships/customXml" Target="../customXml/item9.xml"/><Relationship Id="rId34" Type="http://schemas.openxmlformats.org/officeDocument/2006/relationships/customXml" Target="../customXml/item8.xml"/><Relationship Id="rId33" Type="http://schemas.openxmlformats.org/officeDocument/2006/relationships/customXml" Target="../customXml/item7.xml"/><Relationship Id="rId32" Type="http://schemas.openxmlformats.org/officeDocument/2006/relationships/customXml" Target="../customXml/item6.xml"/><Relationship Id="rId31" Type="http://schemas.openxmlformats.org/officeDocument/2006/relationships/customXml" Target="../customXml/item5.xml"/><Relationship Id="rId30" Type="http://schemas.openxmlformats.org/officeDocument/2006/relationships/customXml" Target="../customXml/item4.xml"/><Relationship Id="rId3" Type="http://schemas.openxmlformats.org/officeDocument/2006/relationships/header" Target="header1.xml"/><Relationship Id="rId29" Type="http://schemas.openxmlformats.org/officeDocument/2006/relationships/customXml" Target="../customXml/item3.xml"/><Relationship Id="rId28" Type="http://schemas.openxmlformats.org/officeDocument/2006/relationships/customXml" Target="../customXml/item2.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15.png"/><Relationship Id="rId24" Type="http://schemas.openxmlformats.org/officeDocument/2006/relationships/image" Target="media/image14.jpeg"/><Relationship Id="rId23" Type="http://schemas.openxmlformats.org/officeDocument/2006/relationships/image" Target="media/image13.jpeg"/><Relationship Id="rId22" Type="http://schemas.openxmlformats.org/officeDocument/2006/relationships/image" Target="media/image12.jpeg"/><Relationship Id="rId21" Type="http://schemas.openxmlformats.org/officeDocument/2006/relationships/image" Target="media/image11.jpeg"/><Relationship Id="rId20" Type="http://schemas.openxmlformats.org/officeDocument/2006/relationships/image" Target="media/image10.jpeg"/><Relationship Id="rId2" Type="http://schemas.openxmlformats.org/officeDocument/2006/relationships/settings" Target="settings.xml"/><Relationship Id="rId19" Type="http://schemas.openxmlformats.org/officeDocument/2006/relationships/image" Target="media/image9.jpeg"/><Relationship Id="rId18" Type="http://schemas.openxmlformats.org/officeDocument/2006/relationships/image" Target="media/image8.jpeg"/><Relationship Id="rId17" Type="http://schemas.openxmlformats.org/officeDocument/2006/relationships/image" Target="media/image7.jpeg"/><Relationship Id="rId16" Type="http://schemas.openxmlformats.org/officeDocument/2006/relationships/image" Target="media/image6.jpeg"/><Relationship Id="rId15" Type="http://schemas.openxmlformats.org/officeDocument/2006/relationships/image" Target="media/image5.jpeg"/><Relationship Id="rId14" Type="http://schemas.openxmlformats.org/officeDocument/2006/relationships/image" Target="media/image4.jpeg"/><Relationship Id="rId13" Type="http://schemas.openxmlformats.org/officeDocument/2006/relationships/image" Target="media/image3.jpeg"/><Relationship Id="rId12" Type="http://schemas.openxmlformats.org/officeDocument/2006/relationships/image" Target="media/image2.jpeg"/><Relationship Id="rId11" Type="http://schemas.openxmlformats.org/officeDocument/2006/relationships/image" Target="media/image1.jpeg"/><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3073" textRotate="1"/>
    <customShpInfo spid="_x0000_s3075" textRotate="1"/>
    <customShpInfo spid="_x0000_s2050"/>
    <customShpInfo spid="_x0000_s2051"/>
    <customShpInfo spid="_x0000_s2052"/>
    <customShpInfo spid="_x0000_s2053"/>
    <customShpInfo spid="_x0000_s2054"/>
    <customShpInfo spid="_x0000_s2055"/>
    <customShpInfo spid="_x0000_s2056"/>
    <customShpInfo spid="_x0000_s2057"/>
    <customShpInfo spid="_x0000_s2058"/>
    <customShpInfo spid="_x0000_s2059"/>
    <customShpInfo spid="_x0000_s2060"/>
    <customShpInfo spid="_x0000_s2061"/>
    <customShpInfo spid="_x0000_s2062"/>
    <customShpInfo spid="_x0000_s2063"/>
    <customShpInfo spid="_x0000_s2064"/>
    <customShpInfo spid="_x0000_s2065"/>
    <customShpInfo spid="_x0000_s2066"/>
    <customShpInfo spid="_x0000_s2067"/>
    <customShpInfo spid="_x0000_s2068"/>
    <customShpInfo spid="_x0000_s2069"/>
    <customShpInfo spid="_x0000_s2070"/>
    <customShpInfo spid="_x0000_s2072"/>
    <customShpInfo spid="_x0000_s2073"/>
    <customShpInfo spid="_x0000_s2071"/>
    <customShpInfo spid="_x0000_s2074"/>
    <customShpInfo spid="_x0000_s2075"/>
    <customShpInfo spid="_x0000_s2076"/>
    <customShpInfo spid="_x0000_s2077"/>
    <customShpInfo spid="_x0000_s2078"/>
    <customShpInfo spid="_x0000_s2079"/>
    <customShpInfo spid="_x0000_s2081"/>
    <customShpInfo spid="_x0000_s2082"/>
    <customShpInfo spid="_x0000_s2080"/>
    <customShpInfo spid="_x0000_s2084"/>
    <customShpInfo spid="_x0000_s2085"/>
    <customShpInfo spid="_x0000_s2083"/>
    <customShpInfo spid="_x0000_s2086"/>
    <customShpInfo spid="_x0000_s2087"/>
    <customShpInfo spid="_x0000_s2089"/>
    <customShpInfo spid="_x0000_s2090"/>
    <customShpInfo spid="_x0000_s2088"/>
    <customShpInfo spid="_x0000_s2092"/>
    <customShpInfo spid="_x0000_s2093"/>
    <customShpInfo spid="_x0000_s2091"/>
    <customShpInfo spid="_x0000_s2095"/>
    <customShpInfo spid="_x0000_s2096"/>
    <customShpInfo spid="_x0000_s2094"/>
    <customShpInfo spid="_x0000_s2098"/>
    <customShpInfo spid="_x0000_s2099"/>
    <customShpInfo spid="_x0000_s2097"/>
    <customShpInfo spid="_x0000_s2101"/>
    <customShpInfo spid="_x0000_s2102"/>
    <customShpInfo spid="_x0000_s2100"/>
    <customShpInfo spid="_x0000_s2103"/>
    <customShpInfo spid="_x0000_s2104"/>
    <customShpInfo spid="_x0000_s2105"/>
    <customShpInfo spid="_x0000_s2106"/>
    <customShpInfo spid="_x0000_s2107"/>
    <customShpInfo spid="_x0000_s2109"/>
    <customShpInfo spid="_x0000_s2110"/>
    <customShpInfo spid="_x0000_s2108"/>
    <customShpInfo spid="_x0000_s2111"/>
    <customShpInfo spid="_x0000_s2112"/>
    <customShpInfo spid="_x0000_s2113"/>
    <customShpInfo spid="_x0000_s2114"/>
    <customShpInfo spid="_x0000_s2115"/>
    <customShpInfo spid="_x0000_s2117"/>
    <customShpInfo spid="_x0000_s2118"/>
    <customShpInfo spid="_x0000_s2116"/>
    <customShpInfo spid="_x0000_s2119"/>
    <customShpInfo spid="_x0000_s2120"/>
    <customShpInfo spid="_x0000_s2121"/>
    <customShpInfo spid="_x0000_s2123"/>
    <customShpInfo spid="_x0000_s2124"/>
    <customShpInfo spid="_x0000_s2122"/>
    <customShpInfo spid="_x0000_s2126"/>
    <customShpInfo spid="_x0000_s2127"/>
    <customShpInfo spid="_x0000_s2125"/>
    <customShpInfo spid="_x0000_s2129"/>
    <customShpInfo spid="_x0000_s2130"/>
    <customShpInfo spid="_x0000_s2128"/>
    <customShpInfo spid="_x0000_s2132"/>
    <customShpInfo spid="_x0000_s2133"/>
    <customShpInfo spid="_x0000_s2131"/>
    <customShpInfo spid="_x0000_s2134"/>
    <customShpInfo spid="_x0000_s2135"/>
    <customShpInfo spid="_x0000_s2136"/>
    <customShpInfo spid="_x0000_s2137"/>
    <customShpInfo spid="_x0000_s2138"/>
    <customShpInfo spid="_x0000_s2139"/>
    <customShpInfo spid="_x0000_s2140"/>
    <customShpInfo spid="_x0000_s2141"/>
    <customShpInfo spid="_x0000_s2142"/>
    <customShpInfo spid="_x0000_s2143"/>
    <customShpInfo spid="_x0000_s2144"/>
    <customShpInfo spid="_x0000_s2145"/>
    <customShpInfo spid="_x0000_s2146"/>
    <customShpInfo spid="_x0000_s2147"/>
    <customShpInfo spid="_x0000_s2148"/>
    <customShpInfo spid="_x0000_s2149"/>
    <customShpInfo spid="_x0000_s2150"/>
    <customShpInfo spid="_x0000_s2151"/>
    <customShpInfo spid="_x0000_s2152"/>
    <customShpInfo spid="_x0000_s2153"/>
  </customShpExts>
</s:customData>
</file>

<file path=customXml/item2.xml><?xml version="1.0" encoding="utf-8"?>
<mcd:customData xmlns="http://www.wps.cn/android/officeDocument/2013/mofficeCustomData" xmlns:mcd="http://www.wps.cn/android/officeDocument/2013/mofficeCustomData" version="2">
  <mcd:comments/>
</mcd:customData>
</file>

<file path=customXml/item3.xml><?xml version="1.0" encoding="utf-8"?>
<mcd:customData xmlns="http://www.wps.cn/android/officeDocument/2013/mofficeCustomData" xmlns:mcd="http://www.wps.cn/android/officeDocument/2013/mofficeCustomData" version="2">
  <mcd:comments/>
</mcd:customData>
</file>

<file path=customXml/item4.xml><?xml version="1.0" encoding="utf-8"?>
<mcd:customData xmlns="http://www.wps.cn/android/officeDocument/2013/mofficeCustomData" xmlns:mcd="http://www.wps.cn/android/officeDocument/2013/mofficeCustomData" version="2">
  <mcd:comments/>
</mcd:customData>
</file>

<file path=customXml/item5.xml><?xml version="1.0" encoding="utf-8"?>
<mcd:customData xmlns="http://www.wps.cn/android/officeDocument/2013/mofficeCustomData" xmlns:mcd="http://www.wps.cn/android/officeDocument/2013/mofficeCustomData" version="2">
  <mcd:comments/>
</mcd:customData>
</file>

<file path=customXml/item6.xml><?xml version="1.0" encoding="utf-8"?>
<mcd:customData xmlns="http://www.wps.cn/android/officeDocument/2013/mofficeCustomData" xmlns:mcd="http://www.wps.cn/android/officeDocument/2013/mofficeCustomData" version="2">
  <mcd:comments/>
</mcd:customData>
</file>

<file path=customXml/item7.xml><?xml version="1.0" encoding="utf-8"?>
<mcd:customData xmlns="http://www.wps.cn/android/officeDocument/2013/mofficeCustomData" xmlns:mcd="http://www.wps.cn/android/officeDocument/2013/mofficeCustomData" version="2">
  <mcd:comments/>
</mcd:customData>
</file>

<file path=customXml/item8.xml><?xml version="1.0" encoding="utf-8"?>
<mcd:customData xmlns="http://www.wps.cn/android/officeDocument/2013/mofficeCustomData" xmlns:mcd="http://www.wps.cn/android/officeDocument/2013/mofficeCustomData" version="2">
  <mcd:comments/>
</mcd:customData>
</file>

<file path=customXml/item9.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DBECA7B-20A3-4975-AAE6-82D1CD6CAB3D}">
  <ds:schemaRefs/>
</ds:datastoreItem>
</file>

<file path=customXml/itemProps3.xml><?xml version="1.0" encoding="utf-8"?>
<ds:datastoreItem xmlns:ds="http://schemas.openxmlformats.org/officeDocument/2006/customXml" ds:itemID="{36925949-BE78-41C4-B7CB-94B73C7FB6E6}">
  <ds:schemaRefs/>
</ds:datastoreItem>
</file>

<file path=customXml/itemProps4.xml><?xml version="1.0" encoding="utf-8"?>
<ds:datastoreItem xmlns:ds="http://schemas.openxmlformats.org/officeDocument/2006/customXml" ds:itemID="{A8F4D035-5D7A-436B-AC8A-740D5E6C9B7C}">
  <ds:schemaRefs/>
</ds:datastoreItem>
</file>

<file path=customXml/itemProps5.xml><?xml version="1.0" encoding="utf-8"?>
<ds:datastoreItem xmlns:ds="http://schemas.openxmlformats.org/officeDocument/2006/customXml" ds:itemID="{FECF5C9D-DB82-4FFC-9E74-D75F32996FF3}">
  <ds:schemaRefs/>
</ds:datastoreItem>
</file>

<file path=customXml/itemProps6.xml><?xml version="1.0" encoding="utf-8"?>
<ds:datastoreItem xmlns:ds="http://schemas.openxmlformats.org/officeDocument/2006/customXml" ds:itemID="{0DFC8B7E-9039-46A4-BB32-952A4C08CCA9}">
  <ds:schemaRefs/>
</ds:datastoreItem>
</file>

<file path=customXml/itemProps7.xml><?xml version="1.0" encoding="utf-8"?>
<ds:datastoreItem xmlns:ds="http://schemas.openxmlformats.org/officeDocument/2006/customXml" ds:itemID="{98B030A4-055A-4F96-9547-020FE761DFAD}">
  <ds:schemaRefs/>
</ds:datastoreItem>
</file>

<file path=customXml/itemProps8.xml><?xml version="1.0" encoding="utf-8"?>
<ds:datastoreItem xmlns:ds="http://schemas.openxmlformats.org/officeDocument/2006/customXml" ds:itemID="{1991C515-B88E-4ADA-9B20-BC8030785216}">
  <ds:schemaRefs/>
</ds:datastoreItem>
</file>

<file path=customXml/itemProps9.xml><?xml version="1.0" encoding="utf-8"?>
<ds:datastoreItem xmlns:ds="http://schemas.openxmlformats.org/officeDocument/2006/customXml" ds:itemID="{B2BEC172-6EC6-418E-A39A-1FD887D9EE38}">
  <ds:schemaRefs/>
</ds:datastoreItem>
</file>

<file path=docProps/app.xml><?xml version="1.0" encoding="utf-8"?>
<Properties xmlns="http://schemas.openxmlformats.org/officeDocument/2006/extended-properties" xmlns:vt="http://schemas.openxmlformats.org/officeDocument/2006/docPropsVTypes">
  <Template>Normal</Template>
  <Company>番茄花园</Company>
  <Pages>35</Pages>
  <Words>12214</Words>
  <Characters>5372</Characters>
  <Lines>44</Lines>
  <Paragraphs>35</Paragraphs>
  <TotalTime>4</TotalTime>
  <ScaleCrop>false</ScaleCrop>
  <LinksUpToDate>false</LinksUpToDate>
  <CharactersWithSpaces>17551</CharactersWithSpaces>
  <Application>WPS Office_11.1.0.10640_F1E327BC-269C-435d-A152-05C5408002CA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2014-03-19T02:15:00Z</dcterms:created>
  <dc:creator>Administrator</dc:creator>
  <cp:lastModifiedBy>HLI</cp:lastModifiedBy>
  <cp:lastPrinted>2018-04-26T06:56:00Z</cp:lastPrinted>
  <dcterms:modified xsi:type="dcterms:W3CDTF">2021-07-03T07:49:56Z</dcterms:modified>
  <cp:revision>167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2052-11.1.0.10640</vt:lpwstr>
  </property>
  <property fmtid="{D5CDD505-2E9C-101B-9397-08002B2CF9AE}" pid="3" name="ICV">
    <vt:lpwstr>18470458028D4B4FBB9CB0A514B4BBBF</vt:lpwstr>
  </property>
</Properties>
</file>