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eastAsiaTheme="minorEastAsia"/>
          <w:color w:val="000000" w:themeColor="text1"/>
          <w:sz w:val="28"/>
          <w14:textFill>
            <w14:solidFill>
              <w14:schemeClr w14:val="tx1"/>
            </w14:solidFill>
          </w14:textFill>
        </w:rPr>
      </w:pPr>
    </w:p>
    <w:p>
      <w:pPr>
        <w:pStyle w:val="9"/>
      </w:pPr>
    </w:p>
    <w:p>
      <w:pPr>
        <w:jc w:val="center"/>
        <w:rPr>
          <w:rFonts w:cs="Times New Roman" w:eastAsiaTheme="minorEastAsia"/>
          <w:color w:val="000000" w:themeColor="text1"/>
          <w:sz w:val="28"/>
          <w14:textFill>
            <w14:solidFill>
              <w14:schemeClr w14:val="tx1"/>
            </w14:solidFill>
          </w14:textFill>
        </w:rPr>
      </w:pP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巫溪县华安墙材有限公司</w:t>
      </w:r>
    </w:p>
    <w:p>
      <w:pPr>
        <w:pStyle w:val="9"/>
        <w:rPr>
          <w:rFonts w:hint="eastAsia"/>
          <w:lang w:eastAsia="zh-CN"/>
        </w:rPr>
      </w:pPr>
    </w:p>
    <w:p>
      <w:pPr>
        <w:jc w:val="center"/>
        <w:rPr>
          <w:rFonts w:ascii="宋体" w:hAnsi="宋体" w:cs="宋体"/>
          <w:b/>
          <w:color w:val="000000" w:themeColor="text1"/>
          <w:spacing w:val="-6"/>
          <w:kern w:val="2"/>
          <w:sz w:val="44"/>
          <w:szCs w:val="44"/>
          <w14:textFill>
            <w14:solidFill>
              <w14:schemeClr w14:val="tx1"/>
            </w14:solidFill>
          </w14:textFill>
        </w:rPr>
      </w:pPr>
      <w:r>
        <w:rPr>
          <w:rFonts w:hint="eastAsia" w:ascii="宋体" w:hAnsi="宋体" w:cs="宋体"/>
          <w:b/>
          <w:color w:val="000000" w:themeColor="text1"/>
          <w:spacing w:val="-6"/>
          <w:kern w:val="2"/>
          <w:sz w:val="44"/>
          <w:szCs w:val="44"/>
          <w:lang w:eastAsia="zh-CN"/>
          <w14:textFill>
            <w14:solidFill>
              <w14:schemeClr w14:val="tx1"/>
            </w14:solidFill>
          </w14:textFill>
        </w:rPr>
        <w:t>页岩砖加工技改项目</w:t>
      </w:r>
    </w:p>
    <w:p>
      <w:pPr>
        <w:jc w:val="center"/>
        <w:rPr>
          <w:rFonts w:ascii="宋体" w:hAnsi="宋体" w:cs="宋体"/>
          <w:b/>
          <w:color w:val="000000" w:themeColor="text1"/>
          <w:spacing w:val="-6"/>
          <w:kern w:val="2"/>
          <w:sz w:val="48"/>
          <w:szCs w:val="48"/>
          <w14:textFill>
            <w14:solidFill>
              <w14:schemeClr w14:val="tx1"/>
            </w14:solidFill>
          </w14:textFill>
        </w:rPr>
      </w:pPr>
    </w:p>
    <w:p>
      <w:pPr>
        <w:jc w:val="center"/>
        <w:rPr>
          <w:rFonts w:ascii="宋体" w:hAnsi="宋体" w:cs="宋体"/>
          <w:b/>
          <w:sz w:val="48"/>
          <w:szCs w:val="48"/>
        </w:rPr>
      </w:pPr>
      <w:r>
        <w:rPr>
          <w:rFonts w:ascii="宋体" w:hAnsi="宋体" w:cs="宋体"/>
          <w:b/>
          <w:color w:val="000000" w:themeColor="text1"/>
          <w:spacing w:val="-6"/>
          <w:kern w:val="2"/>
          <w:sz w:val="48"/>
          <w:szCs w:val="48"/>
          <w14:textFill>
            <w14:solidFill>
              <w14:schemeClr w14:val="tx1"/>
            </w14:solidFill>
          </w14:textFill>
        </w:rPr>
        <w:t>竣工环境保护验收监测报告</w:t>
      </w:r>
    </w:p>
    <w:p>
      <w:pPr>
        <w:jc w:val="cente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ind w:firstLine="1405" w:firstLineChars="500"/>
        <w:rPr>
          <w:rFonts w:cs="Times New Roman" w:eastAsiaTheme="minorEastAsia"/>
          <w:b/>
          <w:bCs/>
          <w:color w:val="000000" w:themeColor="text1"/>
          <w:sz w:val="28"/>
          <w14:textFill>
            <w14:solidFill>
              <w14:schemeClr w14:val="tx1"/>
            </w14:solidFill>
          </w14:textFill>
        </w:rPr>
      </w:pPr>
    </w:p>
    <w:p>
      <w:pPr>
        <w:pStyle w:val="30"/>
        <w:rPr>
          <w:rFonts w:cs="Times New Roman" w:eastAsiaTheme="minorEastAsia"/>
          <w:b/>
          <w:bCs/>
          <w:color w:val="000000" w:themeColor="text1"/>
          <w:sz w:val="28"/>
          <w14:textFill>
            <w14:solidFill>
              <w14:schemeClr w14:val="tx1"/>
            </w14:solidFill>
          </w14:textFill>
        </w:rPr>
      </w:pPr>
    </w:p>
    <w:p>
      <w:pPr>
        <w:pStyle w:val="30"/>
        <w:rPr>
          <w:rFonts w:cs="Times New Roman" w:eastAsiaTheme="minorEastAsia"/>
          <w:b/>
          <w:bCs/>
          <w:color w:val="000000" w:themeColor="text1"/>
          <w:sz w:val="28"/>
          <w14:textFill>
            <w14:solidFill>
              <w14:schemeClr w14:val="tx1"/>
            </w14:solidFill>
          </w14:textFill>
        </w:rPr>
      </w:pPr>
    </w:p>
    <w:tbl>
      <w:tblPr>
        <w:tblStyle w:val="24"/>
        <w:tblW w:w="8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3"/>
        <w:gridCol w:w="5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60" w:hRule="atLeast"/>
          <w:jc w:val="center"/>
        </w:trPr>
        <w:tc>
          <w:tcPr>
            <w:tcW w:w="2743" w:type="dxa"/>
            <w:vAlign w:val="center"/>
          </w:tcPr>
          <w:p>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建设单位：</w:t>
            </w:r>
          </w:p>
        </w:tc>
        <w:tc>
          <w:tcPr>
            <w:tcW w:w="5728" w:type="dxa"/>
            <w:vAlign w:val="center"/>
          </w:tcPr>
          <w:p>
            <w:pPr>
              <w:widowControl w:val="0"/>
              <w:jc w:val="both"/>
              <w:rPr>
                <w:rFonts w:hint="default" w:ascii="宋体" w:hAnsi="宋体" w:eastAsia="宋体" w:cs="宋体"/>
                <w:b/>
                <w:color w:val="000000" w:themeColor="text1"/>
                <w:kern w:val="2"/>
                <w:sz w:val="32"/>
                <w:szCs w:val="24"/>
                <w:lang w:val="en-US"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巫溪县华安墙材有限公司</w:t>
            </w:r>
            <w:r>
              <w:rPr>
                <w:rFonts w:hint="eastAsia" w:ascii="宋体" w:hAnsi="宋体" w:cs="宋体"/>
                <w:b/>
                <w:color w:val="000000" w:themeColor="text1"/>
                <w:kern w:val="2"/>
                <w:sz w:val="32"/>
                <w:szCs w:val="24"/>
                <w:lang w:val="en-US" w:eastAsia="zh-CN"/>
                <w14:textFill>
                  <w14:solidFill>
                    <w14:schemeClr w14:val="tx1"/>
                  </w14:solidFill>
                </w14:textFill>
              </w:rPr>
              <w:t xml:space="preserve">      </w:t>
            </w:r>
          </w:p>
        </w:tc>
      </w:tr>
    </w:tbl>
    <w:p>
      <w:pPr>
        <w:ind w:firstLine="1405" w:firstLineChars="500"/>
        <w:rPr>
          <w:rFonts w:cs="Times New Roman" w:eastAsiaTheme="minorEastAsia"/>
          <w:b/>
          <w:bCs/>
          <w:color w:val="000000" w:themeColor="text1"/>
          <w:sz w:val="28"/>
          <w14:textFill>
            <w14:solidFill>
              <w14:schemeClr w14:val="tx1"/>
            </w14:solidFill>
          </w14:textFill>
        </w:rPr>
      </w:pPr>
    </w:p>
    <w:p>
      <w:pPr>
        <w:ind w:firstLine="2891" w:firstLineChars="900"/>
        <w:jc w:val="both"/>
        <w:rPr>
          <w:rFonts w:ascii="宋体" w:hAnsi="宋体" w:cs="宋体"/>
          <w:b/>
          <w:color w:val="000000" w:themeColor="text1"/>
          <w:kern w:val="2"/>
          <w:sz w:val="32"/>
          <w:szCs w:val="24"/>
          <w14:textFill>
            <w14:solidFill>
              <w14:schemeClr w14:val="tx1"/>
            </w14:solidFill>
          </w14:textFill>
        </w:rPr>
      </w:pPr>
      <w:r>
        <w:rPr>
          <w:rFonts w:ascii="宋体" w:hAnsi="宋体" w:cs="宋体"/>
          <w:b/>
          <w:color w:val="000000" w:themeColor="text1"/>
          <w:kern w:val="2"/>
          <w:sz w:val="32"/>
          <w:szCs w:val="24"/>
          <w14:textFill>
            <w14:solidFill>
              <w14:schemeClr w14:val="tx1"/>
            </w14:solidFill>
          </w14:textFill>
        </w:rPr>
        <w:t>二〇二</w:t>
      </w:r>
      <w:r>
        <w:rPr>
          <w:rFonts w:hint="eastAsia" w:ascii="宋体" w:hAnsi="宋体" w:cs="宋体"/>
          <w:b/>
          <w:color w:val="000000" w:themeColor="text1"/>
          <w:kern w:val="2"/>
          <w:sz w:val="32"/>
          <w:szCs w:val="24"/>
          <w:lang w:val="en-US" w:eastAsia="zh-CN"/>
          <w14:textFill>
            <w14:solidFill>
              <w14:schemeClr w14:val="tx1"/>
            </w14:solidFill>
          </w14:textFill>
        </w:rPr>
        <w:t>四</w:t>
      </w:r>
      <w:r>
        <w:rPr>
          <w:rFonts w:ascii="宋体" w:hAnsi="宋体" w:cs="宋体"/>
          <w:b/>
          <w:color w:val="000000" w:themeColor="text1"/>
          <w:kern w:val="2"/>
          <w:sz w:val="32"/>
          <w:szCs w:val="24"/>
          <w14:textFill>
            <w14:solidFill>
              <w14:schemeClr w14:val="tx1"/>
            </w14:solidFill>
          </w14:textFill>
        </w:rPr>
        <w:t>年</w:t>
      </w:r>
      <w:r>
        <w:rPr>
          <w:rFonts w:hint="eastAsia" w:ascii="宋体" w:hAnsi="宋体" w:cs="宋体"/>
          <w:b/>
          <w:color w:val="000000" w:themeColor="text1"/>
          <w:kern w:val="2"/>
          <w:sz w:val="32"/>
          <w:szCs w:val="24"/>
          <w:lang w:eastAsia="zh-CN"/>
          <w14:textFill>
            <w14:solidFill>
              <w14:schemeClr w14:val="tx1"/>
            </w14:solidFill>
          </w14:textFill>
        </w:rPr>
        <w:t>二</w:t>
      </w:r>
      <w:r>
        <w:rPr>
          <w:rFonts w:ascii="宋体" w:hAnsi="宋体" w:cs="宋体"/>
          <w:b/>
          <w:color w:val="000000" w:themeColor="text1"/>
          <w:kern w:val="2"/>
          <w:sz w:val="32"/>
          <w:szCs w:val="24"/>
          <w14:textFill>
            <w14:solidFill>
              <w14:schemeClr w14:val="tx1"/>
            </w14:solidFill>
          </w14:textFill>
        </w:rPr>
        <w:t>月</w:t>
      </w:r>
    </w:p>
    <w:p>
      <w:pPr>
        <w:jc w:val="both"/>
        <w:rPr>
          <w:rFonts w:ascii="宋体" w:hAnsi="宋体" w:cs="宋体"/>
          <w:b/>
          <w:color w:val="000000" w:themeColor="text1"/>
          <w:kern w:val="2"/>
          <w:sz w:val="32"/>
          <w:szCs w:val="24"/>
          <w14:textFill>
            <w14:solidFill>
              <w14:schemeClr w14:val="tx1"/>
            </w14:solidFill>
          </w14:textFill>
        </w:rPr>
      </w:pPr>
    </w:p>
    <w:p>
      <w:pPr>
        <w:pStyle w:val="9"/>
        <w:rPr>
          <w:rFonts w:ascii="宋体" w:hAnsi="宋体" w:cs="宋体"/>
          <w:b/>
          <w:color w:val="000000" w:themeColor="text1"/>
          <w:kern w:val="2"/>
          <w:sz w:val="32"/>
          <w:szCs w:val="24"/>
          <w14:textFill>
            <w14:solidFill>
              <w14:schemeClr w14:val="tx1"/>
            </w14:solidFill>
          </w14:textFill>
        </w:rPr>
      </w:pPr>
    </w:p>
    <w:p>
      <w:pPr>
        <w:pStyle w:val="10"/>
        <w:numPr>
          <w:ilvl w:val="0"/>
          <w:numId w:val="0"/>
        </w:numPr>
        <w:adjustRightInd w:val="0"/>
        <w:snapToGrid w:val="0"/>
        <w:spacing w:line="360" w:lineRule="auto"/>
      </w:pPr>
    </w:p>
    <w:p>
      <w:pPr>
        <w:spacing w:line="480" w:lineRule="auto"/>
        <w:jc w:val="left"/>
        <w:rPr>
          <w:rFonts w:hint="eastAsia" w:cs="Times New Roman" w:eastAsiaTheme="minorEastAsia"/>
          <w:b/>
          <w:bCs/>
          <w:color w:val="000000" w:themeColor="text1"/>
          <w:sz w:val="28"/>
          <w:szCs w:val="28"/>
          <w14:textFill>
            <w14:solidFill>
              <w14:schemeClr w14:val="tx1"/>
            </w14:solidFill>
          </w14:textFill>
        </w:rPr>
      </w:pPr>
    </w:p>
    <w:p>
      <w:pPr>
        <w:spacing w:line="480" w:lineRule="auto"/>
        <w:jc w:val="left"/>
        <w:rPr>
          <w:rFonts w:hint="eastAsia" w:cs="Times New Roman" w:eastAsiaTheme="minorEastAsia"/>
          <w:b/>
          <w:bCs/>
          <w:color w:val="000000" w:themeColor="text1"/>
          <w:sz w:val="28"/>
          <w:szCs w:val="28"/>
          <w:lang w:eastAsia="zh-CN"/>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建</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设</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单</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位：</w:t>
      </w:r>
      <w:r>
        <w:rPr>
          <w:rFonts w:hint="eastAsia" w:cs="Times New Roman" w:eastAsiaTheme="minorEastAsia"/>
          <w:b/>
          <w:bCs/>
          <w:color w:val="000000" w:themeColor="text1"/>
          <w:sz w:val="28"/>
          <w:szCs w:val="28"/>
          <w:lang w:eastAsia="zh-CN"/>
          <w14:textFill>
            <w14:solidFill>
              <w14:schemeClr w14:val="tx1"/>
            </w14:solidFill>
          </w14:textFill>
        </w:rPr>
        <w:t>巫溪县华安墙材有限公司</w:t>
      </w:r>
    </w:p>
    <w:p>
      <w:pPr>
        <w:spacing w:line="480" w:lineRule="auto"/>
        <w:jc w:val="left"/>
        <w:rPr>
          <w:rFonts w:cs="Times New Roman" w:eastAsiaTheme="minorEastAsia"/>
          <w:color w:val="000000" w:themeColor="text1"/>
          <w:sz w:val="32"/>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法</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人</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代</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表：</w:t>
      </w:r>
      <w:r>
        <w:rPr>
          <w:rFonts w:hint="eastAsia" w:cs="Times New Roman" w:eastAsiaTheme="minorEastAsia"/>
          <w:b/>
          <w:bCs/>
          <w:color w:val="000000" w:themeColor="text1"/>
          <w:sz w:val="28"/>
          <w:szCs w:val="28"/>
          <w:lang w:eastAsia="zh-CN"/>
          <w14:textFill>
            <w14:solidFill>
              <w14:schemeClr w14:val="tx1"/>
            </w14:solidFill>
          </w14:textFill>
        </w:rPr>
        <w:t>田绍伟</w:t>
      </w:r>
    </w:p>
    <w:p>
      <w:pPr>
        <w:spacing w:line="480" w:lineRule="auto"/>
        <w:jc w:val="left"/>
        <w:rPr>
          <w:rFonts w:hint="eastAsia"/>
          <w:b/>
          <w:bCs/>
          <w:sz w:val="28"/>
          <w:szCs w:val="28"/>
          <w:lang w:val="en-US" w:eastAsia="zh-CN"/>
        </w:rPr>
      </w:pPr>
      <w:r>
        <w:rPr>
          <w:rFonts w:hint="eastAsia"/>
          <w:b/>
          <w:bCs/>
          <w:sz w:val="28"/>
          <w:szCs w:val="28"/>
        </w:rPr>
        <w:t>项目负责人</w:t>
      </w:r>
      <w:r>
        <w:rPr>
          <w:rFonts w:hint="eastAsia" w:ascii="Times New Roman" w:hAnsi="Times New Roman" w:cs="Times New Roman" w:eastAsiaTheme="minorEastAsia"/>
          <w:b/>
          <w:bCs/>
          <w:color w:val="000000" w:themeColor="text1"/>
          <w:sz w:val="28"/>
          <w:szCs w:val="28"/>
          <w:lang w:eastAsia="zh-CN"/>
          <w14:textFill>
            <w14:solidFill>
              <w14:schemeClr w14:val="tx1"/>
            </w14:solidFill>
          </w14:textFill>
        </w:rPr>
        <w:t>：</w:t>
      </w:r>
      <w:r>
        <w:rPr>
          <w:rFonts w:hint="eastAsia" w:ascii="Times New Roman" w:hAnsi="Times New Roman" w:cs="Times New Roman" w:eastAsiaTheme="minorEastAsia"/>
          <w:b/>
          <w:bCs/>
          <w:color w:val="000000" w:themeColor="text1"/>
          <w:sz w:val="28"/>
          <w:szCs w:val="28"/>
          <w:lang w:val="en-US" w:eastAsia="zh-CN"/>
          <w14:textFill>
            <w14:solidFill>
              <w14:schemeClr w14:val="tx1"/>
            </w14:solidFill>
          </w14:textFill>
        </w:rPr>
        <w:t>田绍伟</w:t>
      </w:r>
    </w:p>
    <w:p>
      <w:pPr>
        <w:pStyle w:val="30"/>
        <w:rPr>
          <w:rFonts w:hint="eastAsia"/>
          <w:b/>
          <w:bCs/>
          <w:sz w:val="28"/>
          <w:szCs w:val="28"/>
          <w:lang w:val="en-US" w:eastAsia="zh-CN"/>
        </w:rPr>
      </w:pPr>
    </w:p>
    <w:p>
      <w:pPr>
        <w:pStyle w:val="6"/>
        <w:rPr>
          <w:rFonts w:hint="eastAsia"/>
          <w:lang w:eastAsia="zh-CN"/>
        </w:rPr>
      </w:pPr>
    </w:p>
    <w:p>
      <w:pPr>
        <w:rPr>
          <w:rFonts w:cs="Times New Roman" w:eastAsiaTheme="minorEastAsia"/>
          <w:b/>
          <w:color w:val="000000" w:themeColor="text1"/>
          <w:sz w:val="28"/>
          <w14:textFill>
            <w14:solidFill>
              <w14:schemeClr w14:val="tx1"/>
            </w14:solidFill>
          </w14:textFill>
        </w:rPr>
      </w:pPr>
    </w:p>
    <w:p>
      <w:pPr>
        <w:rPr>
          <w:rFonts w:cs="Times New Roman" w:eastAsiaTheme="minorEastAsia"/>
          <w:b/>
          <w:color w:val="000000" w:themeColor="text1"/>
          <w:sz w:val="28"/>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10"/>
        <w:numPr>
          <w:ilvl w:val="0"/>
          <w:numId w:val="0"/>
        </w:numPr>
        <w:adjustRightInd w:val="0"/>
        <w:snapToGrid w:val="0"/>
        <w:spacing w:line="360" w:lineRule="auto"/>
        <w:rPr>
          <w:rFonts w:cs="Times New Roman" w:eastAsiaTheme="minorEastAsia"/>
          <w:color w:val="000000" w:themeColor="text1"/>
          <w:sz w:val="26"/>
          <w:szCs w:val="26"/>
          <w14:textFill>
            <w14:solidFill>
              <w14:schemeClr w14:val="tx1"/>
            </w14:solidFill>
          </w14:textFill>
        </w:rPr>
      </w:pPr>
    </w:p>
    <w:p>
      <w:pPr>
        <w:pStyle w:val="10"/>
        <w:numPr>
          <w:ilvl w:val="0"/>
          <w:numId w:val="0"/>
        </w:numPr>
        <w:adjustRightInd w:val="0"/>
        <w:snapToGrid w:val="0"/>
        <w:spacing w:line="360" w:lineRule="auto"/>
        <w:rPr>
          <w:rFonts w:cs="Times New Roman" w:eastAsiaTheme="minorEastAsia"/>
          <w:color w:val="000000" w:themeColor="text1"/>
          <w:sz w:val="26"/>
          <w:szCs w:val="26"/>
          <w14:textFill>
            <w14:solidFill>
              <w14:schemeClr w14:val="tx1"/>
            </w14:solidFill>
          </w14:textFill>
        </w:rPr>
      </w:pPr>
    </w:p>
    <w:p>
      <w:pPr>
        <w:pStyle w:val="10"/>
        <w:numPr>
          <w:ilvl w:val="0"/>
          <w:numId w:val="0"/>
        </w:numPr>
        <w:adjustRightInd w:val="0"/>
        <w:snapToGrid w:val="0"/>
        <w:spacing w:line="360" w:lineRule="auto"/>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tbl>
      <w:tblPr>
        <w:tblStyle w:val="23"/>
        <w:tblW w:w="5014" w:type="pct"/>
        <w:tblInd w:w="0" w:type="dxa"/>
        <w:tblLayout w:type="autofit"/>
        <w:tblCellMar>
          <w:top w:w="0" w:type="dxa"/>
          <w:left w:w="108" w:type="dxa"/>
          <w:bottom w:w="0" w:type="dxa"/>
          <w:right w:w="108" w:type="dxa"/>
        </w:tblCellMar>
      </w:tblPr>
      <w:tblGrid>
        <w:gridCol w:w="8974"/>
      </w:tblGrid>
      <w:tr>
        <w:tblPrEx>
          <w:tblCellMar>
            <w:top w:w="0" w:type="dxa"/>
            <w:left w:w="108" w:type="dxa"/>
            <w:bottom w:w="0" w:type="dxa"/>
            <w:right w:w="108" w:type="dxa"/>
          </w:tblCellMar>
        </w:tblPrEx>
        <w:trPr>
          <w:trHeight w:val="680" w:hRule="atLeast"/>
        </w:trPr>
        <w:tc>
          <w:tcPr>
            <w:tcW w:w="5000" w:type="pct"/>
            <w:noWrap w:val="0"/>
            <w:vAlign w:val="top"/>
          </w:tcPr>
          <w:p>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建设单位</w:t>
            </w:r>
            <w:r>
              <w:rPr>
                <w:rFonts w:hint="eastAsia" w:ascii="宋体" w:hAnsi="宋体"/>
                <w:sz w:val="24"/>
                <w:szCs w:val="24"/>
                <w:lang w:eastAsia="zh-CN"/>
              </w:rPr>
              <w:t>：</w:t>
            </w:r>
            <w:r>
              <w:rPr>
                <w:rFonts w:hint="eastAsia" w:ascii="宋体" w:hAnsi="宋体" w:eastAsia="宋体"/>
                <w:b/>
                <w:sz w:val="24"/>
                <w:szCs w:val="24"/>
              </w:rPr>
              <w:t xml:space="preserve"> </w:t>
            </w:r>
            <w:r>
              <w:rPr>
                <w:rFonts w:hint="eastAsia" w:cs="微软雅黑"/>
                <w:color w:val="000000"/>
                <w:kern w:val="0"/>
                <w:szCs w:val="24"/>
                <w:lang w:eastAsia="zh-CN"/>
              </w:rPr>
              <w:t>巫溪县华安墙材有限公司（盖章）</w:t>
            </w:r>
          </w:p>
        </w:tc>
      </w:tr>
      <w:tr>
        <w:tblPrEx>
          <w:tblCellMar>
            <w:top w:w="0" w:type="dxa"/>
            <w:left w:w="108" w:type="dxa"/>
            <w:bottom w:w="0" w:type="dxa"/>
            <w:right w:w="108" w:type="dxa"/>
          </w:tblCellMar>
        </w:tblPrEx>
        <w:trPr>
          <w:trHeight w:val="680" w:hRule="atLeast"/>
        </w:trPr>
        <w:tc>
          <w:tcPr>
            <w:tcW w:w="5000" w:type="pct"/>
            <w:noWrap w:val="0"/>
            <w:vAlign w:val="center"/>
          </w:tcPr>
          <w:p>
            <w:pPr>
              <w:spacing w:line="500" w:lineRule="exact"/>
              <w:ind w:right="120" w:rightChars="50"/>
              <w:rPr>
                <w:rFonts w:hint="default" w:ascii="宋体" w:hAnsi="宋体" w:eastAsia="宋体"/>
                <w:sz w:val="24"/>
                <w:szCs w:val="24"/>
                <w:lang w:val="en-US" w:eastAsia="zh-CN"/>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eastAsia"/>
                <w:color w:val="000000" w:themeColor="text1"/>
                <w:highlight w:val="none"/>
                <w:lang w:val="en-US" w:eastAsia="zh-CN"/>
                <w14:textFill>
                  <w14:solidFill>
                    <w14:schemeClr w14:val="tx1"/>
                  </w14:solidFill>
                </w14:textFill>
              </w:rPr>
              <w:t>13272969888</w:t>
            </w:r>
          </w:p>
        </w:tc>
      </w:tr>
      <w:tr>
        <w:tblPrEx>
          <w:tblCellMar>
            <w:top w:w="0" w:type="dxa"/>
            <w:left w:w="108" w:type="dxa"/>
            <w:bottom w:w="0" w:type="dxa"/>
            <w:right w:w="108" w:type="dxa"/>
          </w:tblCellMar>
        </w:tblPrEx>
        <w:trPr>
          <w:trHeight w:val="680" w:hRule="atLeast"/>
        </w:trPr>
        <w:tc>
          <w:tcPr>
            <w:tcW w:w="5000" w:type="pct"/>
            <w:noWrap w:val="0"/>
            <w:vAlign w:val="center"/>
          </w:tcPr>
          <w:p>
            <w:pPr>
              <w:spacing w:line="500" w:lineRule="exact"/>
              <w:rPr>
                <w:rFonts w:ascii="宋体" w:hAnsi="宋体" w:eastAsia="宋体"/>
                <w:sz w:val="24"/>
                <w:szCs w:val="24"/>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default"/>
                <w:bCs/>
              </w:rPr>
              <w:t>405801</w:t>
            </w:r>
          </w:p>
        </w:tc>
      </w:tr>
      <w:tr>
        <w:tblPrEx>
          <w:tblCellMar>
            <w:top w:w="0" w:type="dxa"/>
            <w:left w:w="108" w:type="dxa"/>
            <w:bottom w:w="0" w:type="dxa"/>
            <w:right w:w="108" w:type="dxa"/>
          </w:tblCellMar>
        </w:tblPrEx>
        <w:trPr>
          <w:trHeight w:val="680" w:hRule="atLeast"/>
        </w:trPr>
        <w:tc>
          <w:tcPr>
            <w:tcW w:w="5000" w:type="pct"/>
            <w:noWrap w:val="0"/>
            <w:vAlign w:val="top"/>
          </w:tcPr>
          <w:p>
            <w:pPr>
              <w:spacing w:line="500" w:lineRule="exact"/>
              <w:ind w:left="1101" w:hanging="1106" w:hangingChars="459"/>
              <w:rPr>
                <w:rFonts w:hint="eastAsia" w:ascii="宋体" w:hAnsi="宋体" w:eastAsia="宋体"/>
                <w:sz w:val="24"/>
                <w:szCs w:val="24"/>
                <w:lang w:val="en-US" w:eastAsia="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cs="Times New Roman"/>
                <w:color w:val="auto"/>
                <w:sz w:val="24"/>
                <w:szCs w:val="24"/>
                <w:lang w:eastAsia="zh-CN"/>
              </w:rPr>
              <w:t>重庆市巫溪县上磺镇上磺村一社</w:t>
            </w:r>
          </w:p>
        </w:tc>
      </w:tr>
    </w:tbl>
    <w:p>
      <w:pPr>
        <w:rPr>
          <w:rFonts w:cs="Times New Roman" w:eastAsiaTheme="minorEastAsia"/>
          <w:b/>
          <w:color w:val="000000" w:themeColor="text1"/>
          <w:sz w:val="21"/>
          <w:szCs w:val="21"/>
          <w14:textFill>
            <w14:solidFill>
              <w14:schemeClr w14:val="tx1"/>
            </w14:solidFill>
          </w14:textFill>
        </w:rPr>
        <w:sectPr>
          <w:footerReference r:id="rId5" w:type="default"/>
          <w:footerReference r:id="rId6" w:type="even"/>
          <w:pgSz w:w="11907" w:h="16840"/>
          <w:pgMar w:top="1701" w:right="1587" w:bottom="1587" w:left="1587" w:header="284" w:footer="851" w:gutter="0"/>
          <w:pgBorders>
            <w:top w:val="none" w:sz="0" w:space="0"/>
            <w:left w:val="none" w:sz="0" w:space="0"/>
            <w:bottom w:val="none" w:sz="0" w:space="0"/>
            <w:right w:val="none" w:sz="0" w:space="0"/>
          </w:pgBorders>
          <w:pgNumType w:start="2"/>
          <w:cols w:space="720" w:num="1"/>
          <w:docGrid w:linePitch="299" w:charSpace="0"/>
        </w:sectPr>
      </w:pPr>
    </w:p>
    <w:p>
      <w:pPr>
        <w:pStyle w:val="18"/>
        <w:tabs>
          <w:tab w:val="right" w:leader="dot" w:pos="9680"/>
        </w:tabs>
        <w:ind w:firstLine="522"/>
        <w:jc w:val="center"/>
        <w:rPr>
          <w:rFonts w:ascii="Times New Roman" w:hAnsi="Times New Roman" w:cs="Times New Roman" w:eastAsiaTheme="minorEastAsia"/>
          <w:b/>
          <w:color w:val="000000" w:themeColor="text1"/>
          <w:sz w:val="26"/>
          <w:szCs w:val="26"/>
          <w14:textFill>
            <w14:solidFill>
              <w14:schemeClr w14:val="tx1"/>
            </w14:solidFill>
          </w14:textFill>
        </w:rPr>
      </w:pPr>
      <w:r>
        <w:rPr>
          <w:rFonts w:ascii="Times New Roman" w:hAnsi="Times New Roman" w:cs="Times New Roman" w:eastAsiaTheme="minorEastAsia"/>
          <w:b/>
          <w:color w:val="000000" w:themeColor="text1"/>
          <w:sz w:val="26"/>
          <w:szCs w:val="26"/>
          <w14:textFill>
            <w14:solidFill>
              <w14:schemeClr w14:val="tx1"/>
            </w14:solidFill>
          </w14:textFill>
        </w:rPr>
        <w:t>目  录</w:t>
      </w:r>
    </w:p>
    <w:p>
      <w:pPr>
        <w:pStyle w:val="18"/>
        <w:tabs>
          <w:tab w:val="right" w:leader="dot" w:pos="8788"/>
        </w:tabs>
      </w:pP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begin"/>
      </w:r>
      <w:r>
        <w:rPr>
          <w:rFonts w:hint="eastAsia" w:asciiTheme="majorEastAsia" w:hAnsiTheme="majorEastAsia" w:eastAsiaTheme="majorEastAsia" w:cstheme="majorEastAsia"/>
          <w:color w:val="000000" w:themeColor="text1"/>
          <w:sz w:val="28"/>
          <w:szCs w:val="28"/>
          <w14:textFill>
            <w14:solidFill>
              <w14:schemeClr w14:val="tx1"/>
            </w14:solidFill>
          </w14:textFill>
        </w:rPr>
        <w:instrText xml:space="preserve"> TOC \o "1-2" \h \z \u </w:instrText>
      </w: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separate"/>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_Toc19687 </w:instrText>
      </w:r>
      <w:r>
        <w:rPr>
          <w:rFonts w:hint="eastAsia" w:asciiTheme="majorEastAsia" w:hAnsiTheme="majorEastAsia" w:eastAsiaTheme="majorEastAsia" w:cstheme="majorEastAsia"/>
          <w:szCs w:val="28"/>
        </w:rPr>
        <w:fldChar w:fldCharType="separate"/>
      </w:r>
      <w:r>
        <w:t>1 项目概况</w:t>
      </w:r>
      <w:r>
        <w:tab/>
      </w:r>
      <w:r>
        <w:fldChar w:fldCharType="begin"/>
      </w:r>
      <w:r>
        <w:instrText xml:space="preserve"> PAGEREF _Toc19687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_Toc10664 </w:instrText>
      </w:r>
      <w:r>
        <w:rPr>
          <w:rFonts w:hint="eastAsia" w:asciiTheme="majorEastAsia" w:hAnsiTheme="majorEastAsia" w:eastAsiaTheme="majorEastAsia" w:cstheme="majorEastAsia"/>
          <w:szCs w:val="28"/>
        </w:rPr>
        <w:fldChar w:fldCharType="separate"/>
      </w:r>
      <w:r>
        <w:rPr>
          <w:rFonts w:hint="default"/>
        </w:rPr>
        <w:t xml:space="preserve">1.1 </w:t>
      </w:r>
      <w:r>
        <w:t>项目基本情况</w:t>
      </w:r>
      <w:r>
        <w:tab/>
      </w:r>
      <w:r>
        <w:fldChar w:fldCharType="begin"/>
      </w:r>
      <w:r>
        <w:instrText xml:space="preserve"> PAGEREF _Toc10664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_Toc2695 </w:instrText>
      </w:r>
      <w:r>
        <w:rPr>
          <w:rFonts w:hint="eastAsia" w:asciiTheme="majorEastAsia" w:hAnsiTheme="majorEastAsia" w:eastAsiaTheme="majorEastAsia" w:cstheme="majorEastAsia"/>
          <w:szCs w:val="28"/>
        </w:rPr>
        <w:fldChar w:fldCharType="separate"/>
      </w:r>
      <w:r>
        <w:rPr>
          <w:rFonts w:hint="default" w:cs="Times New Roman" w:eastAsiaTheme="minorEastAsia"/>
          <w:snapToGrid w:val="0"/>
          <w:szCs w:val="24"/>
        </w:rPr>
        <w:t xml:space="preserve">1.2 </w:t>
      </w:r>
      <w:r>
        <w:rPr>
          <w:rFonts w:hint="eastAsia"/>
          <w:szCs w:val="24"/>
        </w:rPr>
        <w:t>验收工作由来及工作程序</w:t>
      </w:r>
      <w:r>
        <w:tab/>
      </w:r>
      <w:r>
        <w:fldChar w:fldCharType="begin"/>
      </w:r>
      <w:r>
        <w:instrText xml:space="preserve"> PAGEREF _Toc2695 \h </w:instrText>
      </w:r>
      <w:r>
        <w:fldChar w:fldCharType="separate"/>
      </w:r>
      <w:r>
        <w:t>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_Toc18041 </w:instrText>
      </w:r>
      <w:r>
        <w:rPr>
          <w:rFonts w:hint="eastAsia" w:asciiTheme="majorEastAsia" w:hAnsiTheme="majorEastAsia" w:eastAsiaTheme="majorEastAsia" w:cstheme="majorEastAsia"/>
          <w:szCs w:val="28"/>
        </w:rPr>
        <w:fldChar w:fldCharType="separate"/>
      </w:r>
      <w:r>
        <w:rPr>
          <w:rFonts w:hint="default"/>
        </w:rPr>
        <w:t xml:space="preserve">1.3 </w:t>
      </w:r>
      <w:r>
        <w:rPr>
          <w:rFonts w:hint="eastAsia"/>
        </w:rPr>
        <w:t>验收范围与内容</w:t>
      </w:r>
      <w:r>
        <w:tab/>
      </w:r>
      <w:r>
        <w:fldChar w:fldCharType="begin"/>
      </w:r>
      <w:r>
        <w:instrText xml:space="preserve"> PAGEREF _Toc18041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_Toc27428 </w:instrText>
      </w:r>
      <w:r>
        <w:rPr>
          <w:rFonts w:hint="eastAsia" w:asciiTheme="majorEastAsia" w:hAnsiTheme="majorEastAsia" w:eastAsiaTheme="majorEastAsia" w:cstheme="majorEastAsia"/>
          <w:szCs w:val="28"/>
        </w:rPr>
        <w:fldChar w:fldCharType="separate"/>
      </w:r>
      <w:r>
        <w:rPr>
          <w:rFonts w:hint="default"/>
        </w:rPr>
        <w:t xml:space="preserve">1.4 </w:t>
      </w:r>
      <w:r>
        <w:rPr>
          <w:rFonts w:hint="eastAsia"/>
        </w:rPr>
        <w:t>致谢</w:t>
      </w:r>
      <w:r>
        <w:tab/>
      </w:r>
      <w:r>
        <w:fldChar w:fldCharType="begin"/>
      </w:r>
      <w:r>
        <w:instrText xml:space="preserve"> PAGEREF _Toc27428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_Toc22287 </w:instrText>
      </w:r>
      <w:r>
        <w:rPr>
          <w:rFonts w:hint="eastAsia" w:asciiTheme="majorEastAsia" w:hAnsiTheme="majorEastAsia" w:eastAsiaTheme="majorEastAsia" w:cstheme="majorEastAsia"/>
          <w:szCs w:val="28"/>
        </w:rPr>
        <w:fldChar w:fldCharType="separate"/>
      </w:r>
      <w:r>
        <w:t>2 验收依据</w:t>
      </w:r>
      <w:r>
        <w:tab/>
      </w:r>
      <w:r>
        <w:fldChar w:fldCharType="begin"/>
      </w:r>
      <w:r>
        <w:instrText xml:space="preserve"> PAGEREF _Toc22287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_Toc6976 </w:instrText>
      </w:r>
      <w:r>
        <w:rPr>
          <w:rFonts w:hint="eastAsia" w:asciiTheme="majorEastAsia" w:hAnsiTheme="majorEastAsia" w:eastAsiaTheme="majorEastAsia" w:cstheme="majorEastAsia"/>
          <w:szCs w:val="28"/>
        </w:rPr>
        <w:fldChar w:fldCharType="separate"/>
      </w:r>
      <w:r>
        <w:t xml:space="preserve">2.1 </w:t>
      </w:r>
      <w:r>
        <w:rPr>
          <w:rFonts w:hint="eastAsia"/>
        </w:rPr>
        <w:t>环境保护有关法规、政策</w:t>
      </w:r>
      <w:r>
        <w:tab/>
      </w:r>
      <w:r>
        <w:fldChar w:fldCharType="begin"/>
      </w:r>
      <w:r>
        <w:instrText xml:space="preserve"> PAGEREF _Toc6976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_Toc13762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2.</w:t>
      </w:r>
      <w:r>
        <w:rPr>
          <w:rFonts w:hint="eastAsia" w:cs="Times New Roman" w:eastAsiaTheme="minorEastAsia"/>
          <w:snapToGrid w:val="0"/>
          <w:lang w:val="en-US" w:eastAsia="zh-CN"/>
        </w:rPr>
        <w:t>2</w:t>
      </w:r>
      <w:r>
        <w:rPr>
          <w:rFonts w:cs="Times New Roman" w:eastAsiaTheme="minorEastAsia"/>
          <w:snapToGrid w:val="0"/>
        </w:rPr>
        <w:t xml:space="preserve"> </w:t>
      </w:r>
      <w:r>
        <w:rPr>
          <w:rFonts w:hint="eastAsia" w:cs="Times New Roman" w:eastAsiaTheme="minorEastAsia"/>
          <w:snapToGrid w:val="0"/>
        </w:rPr>
        <w:t>建设项目竣工环境保护验收技术规范</w:t>
      </w:r>
      <w:r>
        <w:tab/>
      </w:r>
      <w:r>
        <w:fldChar w:fldCharType="begin"/>
      </w:r>
      <w:r>
        <w:instrText xml:space="preserve"> PAGEREF _Toc13762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_Toc29736 </w:instrText>
      </w:r>
      <w:r>
        <w:rPr>
          <w:rFonts w:hint="eastAsia" w:asciiTheme="majorEastAsia" w:hAnsiTheme="majorEastAsia" w:eastAsiaTheme="majorEastAsia" w:cstheme="majorEastAsia"/>
          <w:szCs w:val="28"/>
        </w:rPr>
        <w:fldChar w:fldCharType="separate"/>
      </w:r>
      <w:r>
        <w:rPr>
          <w:rFonts w:ascii="Times New Roman" w:hAnsi="Times New Roman" w:cs="Times New Roman" w:eastAsiaTheme="minorEastAsia"/>
          <w:snapToGrid w:val="0"/>
        </w:rPr>
        <w:t>2.</w:t>
      </w:r>
      <w:r>
        <w:rPr>
          <w:rFonts w:hint="eastAsia" w:ascii="Times New Roman" w:hAnsi="Times New Roman" w:cs="Times New Roman" w:eastAsiaTheme="minorEastAsia"/>
          <w:snapToGrid w:val="0"/>
          <w:lang w:val="en-US" w:eastAsia="zh-CN"/>
        </w:rPr>
        <w:t>3</w:t>
      </w:r>
      <w:r>
        <w:rPr>
          <w:rFonts w:ascii="Times New Roman" w:hAnsi="Times New Roman" w:cs="Times New Roman" w:eastAsiaTheme="minorEastAsia"/>
          <w:snapToGrid w:val="0"/>
        </w:rPr>
        <w:t xml:space="preserve"> 建设项目</w:t>
      </w:r>
      <w:r>
        <w:rPr>
          <w:rFonts w:hint="eastAsia" w:ascii="Times New Roman" w:hAnsi="Times New Roman" w:cs="Times New Roman" w:eastAsiaTheme="minorEastAsia"/>
          <w:snapToGrid w:val="0"/>
        </w:rPr>
        <w:t>环境影响报告表</w:t>
      </w:r>
      <w:r>
        <w:rPr>
          <w:rFonts w:ascii="Times New Roman" w:hAnsi="Times New Roman" w:cs="Times New Roman" w:eastAsiaTheme="minorEastAsia"/>
          <w:snapToGrid w:val="0"/>
        </w:rPr>
        <w:t>及审批部门审批决定</w:t>
      </w:r>
      <w:r>
        <w:tab/>
      </w:r>
      <w:r>
        <w:fldChar w:fldCharType="begin"/>
      </w:r>
      <w:r>
        <w:instrText xml:space="preserve"> PAGEREF _Toc29736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_Toc1444 </w:instrText>
      </w:r>
      <w:r>
        <w:rPr>
          <w:rFonts w:hint="eastAsia" w:asciiTheme="majorEastAsia" w:hAnsiTheme="majorEastAsia" w:eastAsiaTheme="majorEastAsia" w:cstheme="majorEastAsia"/>
          <w:szCs w:val="28"/>
        </w:rPr>
        <w:fldChar w:fldCharType="separate"/>
      </w:r>
      <w:r>
        <w:t>3 项目建设情况</w:t>
      </w:r>
      <w:r>
        <w:tab/>
      </w:r>
      <w:r>
        <w:fldChar w:fldCharType="begin"/>
      </w:r>
      <w:r>
        <w:instrText xml:space="preserve"> PAGEREF _Toc1444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_Toc18387 </w:instrText>
      </w:r>
      <w:r>
        <w:rPr>
          <w:rFonts w:hint="eastAsia" w:asciiTheme="majorEastAsia" w:hAnsiTheme="majorEastAsia" w:eastAsiaTheme="majorEastAsia" w:cstheme="majorEastAsia"/>
          <w:szCs w:val="28"/>
        </w:rPr>
        <w:fldChar w:fldCharType="separate"/>
      </w:r>
      <w:r>
        <w:t>3.1 地理位置及平面布置</w:t>
      </w:r>
      <w:r>
        <w:tab/>
      </w:r>
      <w:r>
        <w:fldChar w:fldCharType="begin"/>
      </w:r>
      <w:r>
        <w:instrText xml:space="preserve"> PAGEREF _Toc18387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_Toc18256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3.2 建设内容基本情况</w:t>
      </w:r>
      <w:r>
        <w:tab/>
      </w:r>
      <w:r>
        <w:fldChar w:fldCharType="begin"/>
      </w:r>
      <w:r>
        <w:instrText xml:space="preserve"> PAGEREF _Toc18256 \h </w:instrText>
      </w:r>
      <w:r>
        <w:fldChar w:fldCharType="separate"/>
      </w:r>
      <w:r>
        <w:t>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_Toc14571 </w:instrText>
      </w:r>
      <w:r>
        <w:rPr>
          <w:rFonts w:hint="eastAsia" w:asciiTheme="majorEastAsia" w:hAnsiTheme="majorEastAsia" w:eastAsiaTheme="majorEastAsia" w:cstheme="majorEastAsia"/>
          <w:szCs w:val="28"/>
        </w:rPr>
        <w:fldChar w:fldCharType="separate"/>
      </w:r>
      <w:r>
        <w:t>3.3 主要原辅材料</w:t>
      </w:r>
      <w:r>
        <w:tab/>
      </w:r>
      <w:r>
        <w:fldChar w:fldCharType="begin"/>
      </w:r>
      <w:r>
        <w:instrText xml:space="preserve"> PAGEREF _Toc14571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_Toc3418 </w:instrText>
      </w:r>
      <w:r>
        <w:rPr>
          <w:rFonts w:hint="eastAsia" w:asciiTheme="majorEastAsia" w:hAnsiTheme="majorEastAsia" w:eastAsiaTheme="majorEastAsia" w:cstheme="majorEastAsia"/>
          <w:szCs w:val="28"/>
        </w:rPr>
        <w:fldChar w:fldCharType="separate"/>
      </w:r>
      <w:r>
        <w:t>3.4 主要生产设备</w:t>
      </w:r>
      <w:r>
        <w:tab/>
      </w:r>
      <w:r>
        <w:fldChar w:fldCharType="begin"/>
      </w:r>
      <w:r>
        <w:instrText xml:space="preserve"> PAGEREF _Toc3418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_Toc26616 </w:instrText>
      </w:r>
      <w:r>
        <w:rPr>
          <w:rFonts w:hint="eastAsia" w:asciiTheme="majorEastAsia" w:hAnsiTheme="majorEastAsia" w:eastAsiaTheme="majorEastAsia" w:cstheme="majorEastAsia"/>
          <w:szCs w:val="28"/>
        </w:rPr>
        <w:fldChar w:fldCharType="separate"/>
      </w:r>
      <w:r>
        <w:rPr>
          <w:rFonts w:hint="eastAsia"/>
        </w:rPr>
        <w:t>3.5水源及水平衡</w:t>
      </w:r>
      <w:r>
        <w:tab/>
      </w:r>
      <w:r>
        <w:fldChar w:fldCharType="begin"/>
      </w:r>
      <w:r>
        <w:instrText xml:space="preserve"> PAGEREF _Toc26616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_Toc5450 </w:instrText>
      </w:r>
      <w:r>
        <w:rPr>
          <w:rFonts w:hint="eastAsia" w:asciiTheme="majorEastAsia" w:hAnsiTheme="majorEastAsia" w:eastAsiaTheme="majorEastAsia" w:cstheme="majorEastAsia"/>
          <w:szCs w:val="28"/>
        </w:rPr>
        <w:fldChar w:fldCharType="separate"/>
      </w:r>
      <w:r>
        <w:t>3.</w:t>
      </w:r>
      <w:r>
        <w:rPr>
          <w:rFonts w:hint="eastAsia"/>
        </w:rPr>
        <w:t>6</w:t>
      </w:r>
      <w:r>
        <w:t xml:space="preserve"> 生产工艺</w:t>
      </w:r>
      <w:r>
        <w:tab/>
      </w:r>
      <w:r>
        <w:fldChar w:fldCharType="begin"/>
      </w:r>
      <w:r>
        <w:instrText xml:space="preserve"> PAGEREF _Toc5450 \h </w:instrText>
      </w:r>
      <w:r>
        <w:fldChar w:fldCharType="separate"/>
      </w:r>
      <w:r>
        <w:t>11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_Toc18179 </w:instrText>
      </w:r>
      <w:r>
        <w:rPr>
          <w:rFonts w:hint="eastAsia" w:asciiTheme="majorEastAsia" w:hAnsiTheme="majorEastAsia" w:eastAsiaTheme="majorEastAsia" w:cstheme="majorEastAsia"/>
          <w:szCs w:val="28"/>
        </w:rPr>
        <w:fldChar w:fldCharType="separate"/>
      </w:r>
      <w:r>
        <w:rPr>
          <w:rFonts w:hint="eastAsia"/>
        </w:rPr>
        <w:t>3.7 项目变动情况</w:t>
      </w:r>
      <w:r>
        <w:tab/>
      </w:r>
      <w:r>
        <w:fldChar w:fldCharType="begin"/>
      </w:r>
      <w:r>
        <w:instrText xml:space="preserve"> PAGEREF _Toc18179 \h </w:instrText>
      </w:r>
      <w:r>
        <w:fldChar w:fldCharType="separate"/>
      </w:r>
      <w:r>
        <w:t>13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_Toc28984 </w:instrText>
      </w:r>
      <w:r>
        <w:rPr>
          <w:rFonts w:hint="eastAsia" w:asciiTheme="majorEastAsia" w:hAnsiTheme="majorEastAsia" w:eastAsiaTheme="majorEastAsia" w:cstheme="majorEastAsia"/>
          <w:szCs w:val="28"/>
        </w:rPr>
        <w:fldChar w:fldCharType="separate"/>
      </w:r>
      <w:r>
        <w:t>4  环境保护设施</w:t>
      </w:r>
      <w:r>
        <w:tab/>
      </w:r>
      <w:r>
        <w:fldChar w:fldCharType="begin"/>
      </w:r>
      <w:r>
        <w:instrText xml:space="preserve"> PAGEREF _Toc28984 \h </w:instrText>
      </w:r>
      <w:r>
        <w:fldChar w:fldCharType="separate"/>
      </w:r>
      <w:r>
        <w:t>14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_Toc12076 </w:instrText>
      </w:r>
      <w:r>
        <w:rPr>
          <w:rFonts w:hint="eastAsia" w:asciiTheme="majorEastAsia" w:hAnsiTheme="majorEastAsia" w:eastAsiaTheme="majorEastAsia" w:cstheme="majorEastAsia"/>
          <w:szCs w:val="28"/>
        </w:rPr>
        <w:fldChar w:fldCharType="separate"/>
      </w:r>
      <w:r>
        <w:t>4.1 污染物治理/处置设施</w:t>
      </w:r>
      <w:r>
        <w:tab/>
      </w:r>
      <w:r>
        <w:fldChar w:fldCharType="begin"/>
      </w:r>
      <w:r>
        <w:instrText xml:space="preserve"> PAGEREF _Toc12076 \h </w:instrText>
      </w:r>
      <w:r>
        <w:fldChar w:fldCharType="separate"/>
      </w:r>
      <w:r>
        <w:t>14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_Toc3975 </w:instrText>
      </w:r>
      <w:r>
        <w:rPr>
          <w:rFonts w:hint="eastAsia" w:asciiTheme="majorEastAsia" w:hAnsiTheme="majorEastAsia" w:eastAsiaTheme="majorEastAsia" w:cstheme="majorEastAsia"/>
          <w:szCs w:val="28"/>
        </w:rPr>
        <w:fldChar w:fldCharType="separate"/>
      </w:r>
      <w:r>
        <w:t>4.2 其他环保措施</w:t>
      </w:r>
      <w:r>
        <w:tab/>
      </w:r>
      <w:r>
        <w:fldChar w:fldCharType="begin"/>
      </w:r>
      <w:r>
        <w:instrText xml:space="preserve"> PAGEREF _Toc3975 \h </w:instrText>
      </w:r>
      <w:r>
        <w:fldChar w:fldCharType="separate"/>
      </w:r>
      <w:r>
        <w:t>15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_Toc28674 </w:instrText>
      </w:r>
      <w:r>
        <w:rPr>
          <w:rFonts w:hint="eastAsia" w:asciiTheme="majorEastAsia" w:hAnsiTheme="majorEastAsia" w:eastAsiaTheme="majorEastAsia" w:cstheme="majorEastAsia"/>
          <w:szCs w:val="28"/>
        </w:rPr>
        <w:fldChar w:fldCharType="separate"/>
      </w:r>
      <w:r>
        <w:t>4.3环保设施投资及“三同时”落实情况</w:t>
      </w:r>
      <w:r>
        <w:tab/>
      </w:r>
      <w:r>
        <w:fldChar w:fldCharType="begin"/>
      </w:r>
      <w:r>
        <w:instrText xml:space="preserve"> PAGEREF _Toc28674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_Toc6490 </w:instrText>
      </w:r>
      <w:r>
        <w:rPr>
          <w:rFonts w:hint="eastAsia" w:asciiTheme="majorEastAsia" w:hAnsiTheme="majorEastAsia" w:eastAsiaTheme="majorEastAsia" w:cstheme="majorEastAsia"/>
          <w:szCs w:val="28"/>
        </w:rPr>
        <w:fldChar w:fldCharType="separate"/>
      </w:r>
      <w:r>
        <w:t>5 建设项目环评报告书的主要结论与建议及审批部门决定</w:t>
      </w:r>
      <w:r>
        <w:tab/>
      </w:r>
      <w:r>
        <w:fldChar w:fldCharType="begin"/>
      </w:r>
      <w:r>
        <w:instrText xml:space="preserve"> PAGEREF _Toc6490 \h </w:instrText>
      </w:r>
      <w:r>
        <w:fldChar w:fldCharType="separate"/>
      </w:r>
      <w:r>
        <w:t>18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_Toc3752 </w:instrText>
      </w:r>
      <w:r>
        <w:rPr>
          <w:rFonts w:hint="eastAsia" w:asciiTheme="majorEastAsia" w:hAnsiTheme="majorEastAsia" w:eastAsiaTheme="majorEastAsia" w:cstheme="majorEastAsia"/>
          <w:szCs w:val="28"/>
        </w:rPr>
        <w:fldChar w:fldCharType="separate"/>
      </w:r>
      <w:r>
        <w:t>5.1 建设项目环评报告书</w:t>
      </w:r>
      <w:r>
        <w:rPr>
          <w:rFonts w:hint="eastAsia"/>
          <w:lang w:eastAsia="zh-CN"/>
        </w:rPr>
        <w:t>（表）</w:t>
      </w:r>
      <w:r>
        <w:t>的主要结论与建议</w:t>
      </w:r>
      <w:r>
        <w:tab/>
      </w:r>
      <w:r>
        <w:fldChar w:fldCharType="begin"/>
      </w:r>
      <w:r>
        <w:instrText xml:space="preserve"> PAGEREF _Toc3752 \h </w:instrText>
      </w:r>
      <w:r>
        <w:fldChar w:fldCharType="separate"/>
      </w:r>
      <w:r>
        <w:t>18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_Toc9644 </w:instrText>
      </w:r>
      <w:r>
        <w:rPr>
          <w:rFonts w:hint="eastAsia" w:asciiTheme="majorEastAsia" w:hAnsiTheme="majorEastAsia" w:eastAsiaTheme="majorEastAsia" w:cstheme="majorEastAsia"/>
          <w:szCs w:val="28"/>
        </w:rPr>
        <w:fldChar w:fldCharType="separate"/>
      </w:r>
      <w:r>
        <w:t>5.2 审批部门审批决定</w:t>
      </w:r>
      <w:r>
        <w:tab/>
      </w:r>
      <w:r>
        <w:fldChar w:fldCharType="begin"/>
      </w:r>
      <w:r>
        <w:instrText xml:space="preserve"> PAGEREF _Toc9644 \h </w:instrText>
      </w:r>
      <w:r>
        <w:fldChar w:fldCharType="separate"/>
      </w:r>
      <w:r>
        <w:t>22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_Toc23301 </w:instrText>
      </w:r>
      <w:r>
        <w:rPr>
          <w:rFonts w:hint="eastAsia" w:asciiTheme="majorEastAsia" w:hAnsiTheme="majorEastAsia" w:eastAsiaTheme="majorEastAsia" w:cstheme="majorEastAsia"/>
          <w:szCs w:val="28"/>
        </w:rPr>
        <w:fldChar w:fldCharType="separate"/>
      </w:r>
      <w:r>
        <w:t>6 验收执行标准</w:t>
      </w:r>
      <w:r>
        <w:tab/>
      </w:r>
      <w:r>
        <w:fldChar w:fldCharType="begin"/>
      </w:r>
      <w:r>
        <w:instrText xml:space="preserve"> PAGEREF _Toc23301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_Toc28217 </w:instrText>
      </w:r>
      <w:r>
        <w:rPr>
          <w:rFonts w:hint="eastAsia" w:asciiTheme="majorEastAsia" w:hAnsiTheme="majorEastAsia" w:eastAsiaTheme="majorEastAsia" w:cstheme="majorEastAsia"/>
          <w:szCs w:val="28"/>
        </w:rPr>
        <w:fldChar w:fldCharType="separate"/>
      </w:r>
      <w:r>
        <w:t>6.1 废气排放执行标准</w:t>
      </w:r>
      <w:r>
        <w:tab/>
      </w:r>
      <w:r>
        <w:fldChar w:fldCharType="begin"/>
      </w:r>
      <w:r>
        <w:instrText xml:space="preserve"> PAGEREF _Toc28217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_Toc29587 </w:instrText>
      </w:r>
      <w:r>
        <w:rPr>
          <w:rFonts w:hint="eastAsia" w:asciiTheme="majorEastAsia" w:hAnsiTheme="majorEastAsia" w:eastAsiaTheme="majorEastAsia" w:cstheme="majorEastAsia"/>
          <w:szCs w:val="28"/>
        </w:rPr>
        <w:fldChar w:fldCharType="separate"/>
      </w:r>
      <w:r>
        <w:rPr>
          <w:rFonts w:hint="eastAsia" w:ascii="Times New Roman" w:hAnsi="Times New Roman" w:eastAsia="宋体"/>
          <w:lang w:val="en-US" w:eastAsia="zh-CN"/>
        </w:rPr>
        <w:t>6.2</w:t>
      </w:r>
      <w:r>
        <w:rPr>
          <w:rFonts w:hint="eastAsia" w:ascii="Times New Roman" w:hAnsi="Times New Roman" w:eastAsia="宋体"/>
        </w:rPr>
        <w:t>废水排放控制标准</w:t>
      </w:r>
      <w:r>
        <w:tab/>
      </w:r>
      <w:r>
        <w:fldChar w:fldCharType="begin"/>
      </w:r>
      <w:r>
        <w:instrText xml:space="preserve"> PAGEREF _Toc29587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ind w:left="0" w:leftChars="0" w:firstLine="480" w:firstLineChars="200"/>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_Toc21642 </w:instrText>
      </w:r>
      <w:r>
        <w:rPr>
          <w:rFonts w:hint="eastAsia" w:asciiTheme="majorEastAsia" w:hAnsiTheme="majorEastAsia" w:eastAsiaTheme="majorEastAsia" w:cstheme="majorEastAsia"/>
          <w:szCs w:val="28"/>
        </w:rPr>
        <w:fldChar w:fldCharType="separate"/>
      </w:r>
      <w:r>
        <w:t>6.</w:t>
      </w:r>
      <w:r>
        <w:rPr>
          <w:rFonts w:hint="eastAsia"/>
          <w:lang w:val="en-US" w:eastAsia="zh-CN"/>
        </w:rPr>
        <w:t>3</w:t>
      </w:r>
      <w:r>
        <w:t xml:space="preserve"> 噪声执行标准</w:t>
      </w:r>
      <w:r>
        <w:tab/>
      </w:r>
      <w:r>
        <w:fldChar w:fldCharType="begin"/>
      </w:r>
      <w:r>
        <w:instrText xml:space="preserve"> PAGEREF _Toc21642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_Toc14636 </w:instrText>
      </w:r>
      <w:r>
        <w:rPr>
          <w:rFonts w:hint="eastAsia" w:asciiTheme="majorEastAsia" w:hAnsiTheme="majorEastAsia" w:eastAsiaTheme="majorEastAsia" w:cstheme="majorEastAsia"/>
          <w:szCs w:val="28"/>
        </w:rPr>
        <w:fldChar w:fldCharType="separate"/>
      </w:r>
      <w:r>
        <w:rPr>
          <w:rFonts w:hint="eastAsia"/>
        </w:rPr>
        <w:t>6.</w:t>
      </w:r>
      <w:r>
        <w:rPr>
          <w:rFonts w:hint="eastAsia"/>
          <w:lang w:val="en-US" w:eastAsia="zh-CN"/>
        </w:rPr>
        <w:t>4</w:t>
      </w:r>
      <w:r>
        <w:rPr>
          <w:rFonts w:hint="eastAsia"/>
        </w:rPr>
        <w:t>固体废物污染管控标准要求</w:t>
      </w:r>
      <w:r>
        <w:tab/>
      </w:r>
      <w:r>
        <w:fldChar w:fldCharType="begin"/>
      </w:r>
      <w:r>
        <w:instrText xml:space="preserve"> PAGEREF _Toc14636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_Toc13687 </w:instrText>
      </w:r>
      <w:r>
        <w:rPr>
          <w:rFonts w:hint="eastAsia" w:asciiTheme="majorEastAsia" w:hAnsiTheme="majorEastAsia" w:eastAsiaTheme="majorEastAsia" w:cstheme="majorEastAsia"/>
          <w:szCs w:val="28"/>
        </w:rPr>
        <w:fldChar w:fldCharType="separate"/>
      </w:r>
      <w:r>
        <w:t>7 验收监测内容</w:t>
      </w:r>
      <w:r>
        <w:tab/>
      </w:r>
      <w:r>
        <w:fldChar w:fldCharType="begin"/>
      </w:r>
      <w:r>
        <w:instrText xml:space="preserve"> PAGEREF _Toc13687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_Toc21239 </w:instrText>
      </w:r>
      <w:r>
        <w:rPr>
          <w:rFonts w:hint="eastAsia" w:asciiTheme="majorEastAsia" w:hAnsiTheme="majorEastAsia" w:eastAsiaTheme="majorEastAsia" w:cstheme="majorEastAsia"/>
          <w:szCs w:val="28"/>
        </w:rPr>
        <w:fldChar w:fldCharType="separate"/>
      </w:r>
      <w:r>
        <w:rPr>
          <w:rFonts w:hint="eastAsia"/>
        </w:rPr>
        <w:t>7.1验收监测内容</w:t>
      </w:r>
      <w:r>
        <w:tab/>
      </w:r>
      <w:r>
        <w:fldChar w:fldCharType="begin"/>
      </w:r>
      <w:r>
        <w:instrText xml:space="preserve"> PAGEREF _Toc21239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_Toc20610 </w:instrText>
      </w:r>
      <w:r>
        <w:rPr>
          <w:rFonts w:hint="eastAsia" w:asciiTheme="majorEastAsia" w:hAnsiTheme="majorEastAsia" w:eastAsiaTheme="majorEastAsia" w:cstheme="majorEastAsia"/>
          <w:szCs w:val="28"/>
        </w:rPr>
        <w:fldChar w:fldCharType="separate"/>
      </w:r>
      <w:r>
        <w:t>8 质量保证及质量控制</w:t>
      </w:r>
      <w:r>
        <w:tab/>
      </w:r>
      <w:r>
        <w:fldChar w:fldCharType="begin"/>
      </w:r>
      <w:r>
        <w:instrText xml:space="preserve"> PAGEREF _Toc20610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_Toc28206 </w:instrText>
      </w:r>
      <w:r>
        <w:rPr>
          <w:rFonts w:hint="eastAsia" w:asciiTheme="majorEastAsia" w:hAnsiTheme="majorEastAsia" w:eastAsiaTheme="majorEastAsia" w:cstheme="majorEastAsia"/>
          <w:szCs w:val="28"/>
        </w:rPr>
        <w:fldChar w:fldCharType="separate"/>
      </w:r>
      <w:r>
        <w:t>8.1</w:t>
      </w:r>
      <w:r>
        <w:rPr>
          <w:rFonts w:hint="eastAsia"/>
        </w:rPr>
        <w:t>监测分析方法与监测依据</w:t>
      </w:r>
      <w:r>
        <w:tab/>
      </w:r>
      <w:r>
        <w:fldChar w:fldCharType="begin"/>
      </w:r>
      <w:r>
        <w:instrText xml:space="preserve"> PAGEREF _Toc28206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_Toc18674 </w:instrText>
      </w:r>
      <w:r>
        <w:rPr>
          <w:rFonts w:hint="eastAsia" w:asciiTheme="majorEastAsia" w:hAnsiTheme="majorEastAsia" w:eastAsiaTheme="majorEastAsia" w:cstheme="majorEastAsia"/>
          <w:szCs w:val="28"/>
        </w:rPr>
        <w:fldChar w:fldCharType="separate"/>
      </w:r>
      <w:r>
        <w:t>8.2监测仪器</w:t>
      </w:r>
      <w:r>
        <w:tab/>
      </w:r>
      <w:r>
        <w:fldChar w:fldCharType="begin"/>
      </w:r>
      <w:r>
        <w:instrText xml:space="preserve"> PAGEREF _Toc18674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_Toc31043 </w:instrText>
      </w:r>
      <w:r>
        <w:rPr>
          <w:rFonts w:hint="eastAsia" w:asciiTheme="majorEastAsia" w:hAnsiTheme="majorEastAsia" w:eastAsiaTheme="majorEastAsia" w:cstheme="majorEastAsia"/>
          <w:szCs w:val="28"/>
        </w:rPr>
        <w:fldChar w:fldCharType="separate"/>
      </w:r>
      <w:r>
        <w:rPr>
          <w:rFonts w:hint="eastAsia"/>
        </w:rPr>
        <w:t>8.3 质量保证</w:t>
      </w:r>
      <w:r>
        <w:tab/>
      </w:r>
      <w:r>
        <w:fldChar w:fldCharType="begin"/>
      </w:r>
      <w:r>
        <w:instrText xml:space="preserve"> PAGEREF _Toc31043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_Toc205 </w:instrText>
      </w:r>
      <w:r>
        <w:rPr>
          <w:rFonts w:hint="eastAsia" w:asciiTheme="majorEastAsia" w:hAnsiTheme="majorEastAsia" w:eastAsiaTheme="majorEastAsia" w:cstheme="majorEastAsia"/>
          <w:szCs w:val="28"/>
        </w:rPr>
        <w:fldChar w:fldCharType="separate"/>
      </w:r>
      <w:r>
        <w:t>9 验收监测结果</w:t>
      </w:r>
      <w:r>
        <w:tab/>
      </w:r>
      <w:r>
        <w:fldChar w:fldCharType="begin"/>
      </w:r>
      <w:r>
        <w:instrText xml:space="preserve"> PAGEREF _Toc205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_Toc12560 </w:instrText>
      </w:r>
      <w:r>
        <w:rPr>
          <w:rFonts w:hint="eastAsia" w:asciiTheme="majorEastAsia" w:hAnsiTheme="majorEastAsia" w:eastAsiaTheme="majorEastAsia" w:cstheme="majorEastAsia"/>
          <w:szCs w:val="28"/>
        </w:rPr>
        <w:fldChar w:fldCharType="separate"/>
      </w:r>
      <w:r>
        <w:t>9.1生产工况</w:t>
      </w:r>
      <w:r>
        <w:tab/>
      </w:r>
      <w:r>
        <w:fldChar w:fldCharType="begin"/>
      </w:r>
      <w:r>
        <w:instrText xml:space="preserve"> PAGEREF _Toc12560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_Toc14035 </w:instrText>
      </w:r>
      <w:r>
        <w:rPr>
          <w:rFonts w:hint="eastAsia" w:asciiTheme="majorEastAsia" w:hAnsiTheme="majorEastAsia" w:eastAsiaTheme="majorEastAsia" w:cstheme="majorEastAsia"/>
          <w:szCs w:val="28"/>
        </w:rPr>
        <w:fldChar w:fldCharType="separate"/>
      </w:r>
      <w:r>
        <w:t>9.2 环境保护设施调试效果</w:t>
      </w:r>
      <w:r>
        <w:tab/>
      </w:r>
      <w:r>
        <w:fldChar w:fldCharType="begin"/>
      </w:r>
      <w:r>
        <w:instrText xml:space="preserve"> PAGEREF _Toc14035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_Toc13970 </w:instrText>
      </w:r>
      <w:r>
        <w:rPr>
          <w:rFonts w:hint="eastAsia" w:asciiTheme="majorEastAsia" w:hAnsiTheme="majorEastAsia" w:eastAsiaTheme="majorEastAsia" w:cstheme="majorEastAsia"/>
          <w:szCs w:val="28"/>
        </w:rPr>
        <w:fldChar w:fldCharType="separate"/>
      </w:r>
      <w:r>
        <w:rPr>
          <w:rFonts w:hint="eastAsia"/>
        </w:rPr>
        <w:t>10验收监测结论</w:t>
      </w:r>
      <w:r>
        <w:tab/>
      </w:r>
      <w:r>
        <w:fldChar w:fldCharType="begin"/>
      </w:r>
      <w:r>
        <w:instrText xml:space="preserve"> PAGEREF _Toc13970 \h </w:instrText>
      </w:r>
      <w:r>
        <w:fldChar w:fldCharType="separate"/>
      </w:r>
      <w:r>
        <w:t>40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_Toc17965 </w:instrText>
      </w:r>
      <w:r>
        <w:rPr>
          <w:rFonts w:hint="eastAsia" w:asciiTheme="majorEastAsia" w:hAnsiTheme="majorEastAsia" w:eastAsiaTheme="majorEastAsia" w:cstheme="majorEastAsia"/>
          <w:szCs w:val="28"/>
        </w:rPr>
        <w:fldChar w:fldCharType="separate"/>
      </w:r>
      <w:r>
        <w:t>10.1 环境保护设施调试效果</w:t>
      </w:r>
      <w:r>
        <w:tab/>
      </w:r>
      <w:r>
        <w:fldChar w:fldCharType="begin"/>
      </w:r>
      <w:r>
        <w:instrText xml:space="preserve"> PAGEREF _Toc17965 \h </w:instrText>
      </w:r>
      <w:r>
        <w:fldChar w:fldCharType="separate"/>
      </w:r>
      <w:r>
        <w:t>40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_Toc25859 </w:instrText>
      </w:r>
      <w:r>
        <w:rPr>
          <w:rFonts w:hint="eastAsia" w:asciiTheme="majorEastAsia" w:hAnsiTheme="majorEastAsia" w:eastAsiaTheme="majorEastAsia" w:cstheme="majorEastAsia"/>
          <w:szCs w:val="28"/>
        </w:rPr>
        <w:fldChar w:fldCharType="separate"/>
      </w:r>
      <w:r>
        <w:t>10.2环境管理检查</w:t>
      </w:r>
      <w:r>
        <w:tab/>
      </w:r>
      <w:r>
        <w:fldChar w:fldCharType="begin"/>
      </w:r>
      <w:r>
        <w:instrText xml:space="preserve"> PAGEREF _Toc25859 \h </w:instrText>
      </w:r>
      <w:r>
        <w:fldChar w:fldCharType="separate"/>
      </w:r>
      <w:r>
        <w:t>40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_Toc28928 </w:instrText>
      </w:r>
      <w:r>
        <w:rPr>
          <w:rFonts w:hint="eastAsia" w:asciiTheme="majorEastAsia" w:hAnsiTheme="majorEastAsia" w:eastAsiaTheme="majorEastAsia" w:cstheme="majorEastAsia"/>
          <w:szCs w:val="28"/>
        </w:rPr>
        <w:fldChar w:fldCharType="separate"/>
      </w:r>
      <w:r>
        <w:t>10.</w:t>
      </w:r>
      <w:r>
        <w:rPr>
          <w:rFonts w:hint="eastAsia"/>
          <w:lang w:val="en-US" w:eastAsia="zh-CN"/>
        </w:rPr>
        <w:t>3</w:t>
      </w:r>
      <w:r>
        <w:t xml:space="preserve"> 综合结论</w:t>
      </w:r>
      <w:r>
        <w:tab/>
      </w:r>
      <w:r>
        <w:fldChar w:fldCharType="begin"/>
      </w:r>
      <w:r>
        <w:instrText xml:space="preserve"> PAGEREF _Toc28928 \h </w:instrText>
      </w:r>
      <w:r>
        <w:fldChar w:fldCharType="separate"/>
      </w:r>
      <w:r>
        <w:t>41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_Toc24378 </w:instrText>
      </w:r>
      <w:r>
        <w:rPr>
          <w:rFonts w:hint="eastAsia" w:asciiTheme="majorEastAsia" w:hAnsiTheme="majorEastAsia" w:eastAsiaTheme="majorEastAsia" w:cstheme="majorEastAsia"/>
          <w:szCs w:val="28"/>
        </w:rPr>
        <w:fldChar w:fldCharType="separate"/>
      </w:r>
      <w:r>
        <w:t>10.</w:t>
      </w:r>
      <w:r>
        <w:rPr>
          <w:rFonts w:hint="eastAsia"/>
          <w:lang w:val="en-US" w:eastAsia="zh-CN"/>
        </w:rPr>
        <w:t>4</w:t>
      </w:r>
      <w:r>
        <w:t xml:space="preserve"> 建议与要求</w:t>
      </w:r>
      <w:r>
        <w:tab/>
      </w:r>
      <w:r>
        <w:fldChar w:fldCharType="begin"/>
      </w:r>
      <w:r>
        <w:instrText xml:space="preserve"> PAGEREF _Toc24378 \h </w:instrText>
      </w:r>
      <w:r>
        <w:fldChar w:fldCharType="separate"/>
      </w:r>
      <w:r>
        <w:t>41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_Toc15077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 xml:space="preserve">1 </w:t>
      </w:r>
      <w:r>
        <w:t>附图附件</w:t>
      </w:r>
      <w:r>
        <w:tab/>
      </w:r>
      <w:r>
        <w:fldChar w:fldCharType="begin"/>
      </w:r>
      <w:r>
        <w:instrText xml:space="preserve"> PAGEREF _Toc15077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_Toc24074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.1附图</w:t>
      </w:r>
      <w:r>
        <w:tab/>
      </w:r>
      <w:r>
        <w:fldChar w:fldCharType="begin"/>
      </w:r>
      <w:r>
        <w:instrText xml:space="preserve"> PAGEREF _Toc24074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_Toc31141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.2附件</w:t>
      </w:r>
      <w:r>
        <w:tab/>
      </w:r>
      <w:r>
        <w:fldChar w:fldCharType="begin"/>
      </w:r>
      <w:r>
        <w:instrText xml:space="preserve"> PAGEREF _Toc31141 \h </w:instrText>
      </w:r>
      <w:r>
        <w:fldChar w:fldCharType="separate"/>
      </w:r>
      <w:r>
        <w:t>42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rPr>
          <w:rFonts w:hint="eastAsia" w:asciiTheme="majorEastAsia" w:hAnsiTheme="majorEastAsia" w:eastAsiaTheme="majorEastAsia" w:cstheme="majorEastAsia"/>
          <w:color w:val="000000" w:themeColor="text1"/>
          <w:sz w:val="24"/>
          <w:szCs w:val="28"/>
          <w:lang w:val="en-US" w:eastAsia="zh-CN" w:bidi="ar-SA"/>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850" w:h="16783"/>
          <w:pgMar w:top="1440" w:right="1531" w:bottom="1440" w:left="1531" w:header="851" w:footer="992" w:gutter="0"/>
          <w:pgBorders>
            <w:top w:val="none" w:sz="0" w:space="0"/>
            <w:left w:val="none" w:sz="0" w:space="0"/>
            <w:bottom w:val="none" w:sz="0" w:space="0"/>
            <w:right w:val="none" w:sz="0" w:space="0"/>
          </w:pgBorders>
          <w:pgNumType w:start="1"/>
          <w:cols w:space="0" w:num="1"/>
          <w:docGrid w:type="lines" w:linePitch="355" w:charSpace="0"/>
        </w:sectPr>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r>
        <w:rPr>
          <w:rFonts w:hint="eastAsia" w:asciiTheme="majorEastAsia" w:hAnsiTheme="majorEastAsia" w:eastAsiaTheme="majorEastAsia" w:cstheme="majorEastAsia"/>
          <w:color w:val="000000" w:themeColor="text1"/>
          <w:szCs w:val="28"/>
          <w:lang w:val="en-US" w:eastAsia="zh-CN"/>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8"/>
          <w:lang w:val="en-US" w:eastAsia="zh-CN" w:bidi="ar-SA"/>
          <w14:textFill>
            <w14:solidFill>
              <w14:schemeClr w14:val="tx1"/>
            </w14:solidFill>
          </w14:textFill>
        </w:rPr>
        <w:t>建设项目工程竣工环境保护“三同时”验收登记表</w:t>
      </w:r>
    </w:p>
    <w:p>
      <w:pPr>
        <w:pStyle w:val="2"/>
      </w:pPr>
      <w:bookmarkStart w:id="0" w:name="_Toc497833555"/>
      <w:bookmarkStart w:id="1" w:name="_Toc19687"/>
      <w:bookmarkStart w:id="2" w:name="_Toc367196739"/>
      <w:r>
        <w:t xml:space="preserve">1 </w:t>
      </w:r>
      <w:bookmarkEnd w:id="0"/>
      <w:r>
        <w:t>项目概况</w:t>
      </w:r>
      <w:bookmarkEnd w:id="1"/>
    </w:p>
    <w:bookmarkEnd w:id="2"/>
    <w:p>
      <w:pPr>
        <w:pStyle w:val="3"/>
        <w:numPr>
          <w:ilvl w:val="1"/>
          <w:numId w:val="3"/>
        </w:numPr>
      </w:pPr>
      <w:bookmarkStart w:id="3" w:name="_Toc10664"/>
      <w:bookmarkStart w:id="4" w:name="_Toc367196741"/>
      <w:r>
        <w:t>项目基本情况</w:t>
      </w:r>
      <w:bookmarkEnd w:id="3"/>
    </w:p>
    <w:p>
      <w:pPr>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巫溪县华安墙材有限公司位于巫溪县上磺镇上磺村一社，主要进行页岩空心砖生产。本项目在保持砖厂生产工艺和生产规模不变的前提下，依托砖厂现有年产3500万匹标砖生产线，有效解决全县污水处理厂污泥处置难题，缓解污泥环境风险，拟在现有页岩砖生产线上增加生活污泥给料入口，利用生活污泥代替部分页岩作为原料生产页岩空心砖。项目总投资1300万元，其中环保投资35万元，环保投资占总投资的2.69%。</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2010年华安墙材委托重庆德和环境工程有限公司编制了《巫溪县空心砖生产线项目环境影响报告表》，并于2010年8月取得巫溪县生态环境局（原巫溪县环境保护局）出具的《重庆市建设项目环境影响评价文件批准书》（渝（巫溪）环准[2011]58号）。2012年10月取得了巫溪县生态环境局（原巫溪县环境保护局）出具的《重庆市建设项目竣工环境保护验收批复》（渝（溪）环验[2012]08号），且已取得最新排污许可证（编号为91500238563485582G001V），有效期为2023年7月19日至2028年7月18日，企业环保手续完善。</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202</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12</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巫溪县华安墙材有限公司</w:t>
      </w:r>
      <w:r>
        <w:rPr>
          <w:rFonts w:hint="default" w:ascii="Times New Roman" w:hAnsi="Times New Roman" w:cs="Times New Roman"/>
          <w:color w:val="auto"/>
          <w:sz w:val="24"/>
          <w:lang w:val="en-US" w:eastAsia="zh-CN"/>
        </w:rPr>
        <w:t>委托</w:t>
      </w:r>
      <w:r>
        <w:rPr>
          <w:rFonts w:hint="eastAsia" w:cs="Times New Roman"/>
          <w:color w:val="auto"/>
          <w:sz w:val="24"/>
          <w:lang w:val="en-US" w:eastAsia="zh-CN"/>
        </w:rPr>
        <w:t>重庆绿丰环保科技有限公司</w:t>
      </w:r>
      <w:r>
        <w:rPr>
          <w:rFonts w:hint="default" w:ascii="Times New Roman" w:hAnsi="Times New Roman" w:cs="Times New Roman"/>
          <w:color w:val="auto"/>
          <w:sz w:val="24"/>
          <w:lang w:val="en-US" w:eastAsia="zh-CN"/>
        </w:rPr>
        <w:t>编制完成了《</w:t>
      </w:r>
      <w:r>
        <w:rPr>
          <w:rFonts w:hint="eastAsia" w:cs="Times New Roman"/>
          <w:color w:val="auto"/>
          <w:sz w:val="24"/>
          <w:lang w:val="en-US" w:eastAsia="zh-CN"/>
        </w:rPr>
        <w:t>巫溪县华安墙材有限公司页岩砖加工技改项目</w:t>
      </w:r>
      <w:r>
        <w:rPr>
          <w:rFonts w:hint="default" w:ascii="Times New Roman" w:hAnsi="Times New Roman" w:cs="Times New Roman"/>
          <w:color w:val="auto"/>
          <w:sz w:val="24"/>
          <w:lang w:val="en-US" w:eastAsia="zh-CN"/>
        </w:rPr>
        <w:t>环境影响报告表》。202</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年0</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18</w:t>
      </w:r>
      <w:r>
        <w:rPr>
          <w:rFonts w:hint="default" w:ascii="Times New Roman" w:hAnsi="Times New Roman" w:cs="Times New Roman"/>
          <w:color w:val="auto"/>
          <w:sz w:val="24"/>
          <w:lang w:val="en-US" w:eastAsia="zh-CN"/>
        </w:rPr>
        <w:t>日，重庆市</w:t>
      </w:r>
      <w:r>
        <w:rPr>
          <w:rFonts w:hint="eastAsia" w:cs="Times New Roman"/>
          <w:color w:val="auto"/>
          <w:sz w:val="24"/>
          <w:lang w:val="en-US" w:eastAsia="zh-CN"/>
        </w:rPr>
        <w:t>巫溪县生态环境局</w:t>
      </w:r>
      <w:r>
        <w:rPr>
          <w:rFonts w:hint="default" w:ascii="Times New Roman" w:hAnsi="Times New Roman" w:cs="Times New Roman"/>
          <w:color w:val="auto"/>
          <w:sz w:val="24"/>
          <w:lang w:val="en-US" w:eastAsia="zh-CN"/>
        </w:rPr>
        <w:t>以</w:t>
      </w:r>
      <w:r>
        <w:rPr>
          <w:rFonts w:hint="eastAsia" w:cs="Times New Roman"/>
          <w:color w:val="auto"/>
          <w:sz w:val="24"/>
          <w:lang w:val="en-US" w:eastAsia="zh-CN"/>
        </w:rPr>
        <w:t>渝（巫溪 ）环准〔2024〕2号</w:t>
      </w:r>
      <w:r>
        <w:rPr>
          <w:rFonts w:hint="default" w:ascii="Times New Roman" w:hAnsi="Times New Roman" w:cs="Times New Roman"/>
          <w:color w:val="auto"/>
          <w:sz w:val="24"/>
          <w:lang w:val="en-US" w:eastAsia="zh-CN"/>
        </w:rPr>
        <w:t>文对该项目环境影响报告表进行批复。</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巫溪县华安墙材有限公司页岩砖加工技改项目</w:t>
      </w:r>
      <w:r>
        <w:rPr>
          <w:rFonts w:hint="default" w:ascii="Times New Roman" w:hAnsi="Times New Roman" w:eastAsia="宋体" w:cs="Times New Roman"/>
          <w:color w:val="auto"/>
          <w:sz w:val="24"/>
          <w:lang w:val="en-US" w:eastAsia="zh-CN"/>
        </w:rPr>
        <w:t>于20</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月开工建设，202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月竣工。</w:t>
      </w:r>
    </w:p>
    <w:p>
      <w:pPr>
        <w:spacing w:line="360" w:lineRule="auto"/>
        <w:ind w:firstLine="480" w:firstLineChars="200"/>
        <w:rPr>
          <w:rFonts w:hint="default" w:ascii="Times New Roman" w:hAnsi="Times New Roman" w:cs="Times New Roman"/>
          <w:color w:val="auto"/>
          <w:szCs w:val="24"/>
        </w:rPr>
      </w:pPr>
      <w:r>
        <w:rPr>
          <w:rFonts w:hint="default" w:ascii="Times New Roman" w:hAnsi="Times New Roman" w:eastAsia="宋体" w:cs="Times New Roman"/>
          <w:color w:val="auto"/>
          <w:sz w:val="24"/>
          <w:lang w:val="en-US" w:eastAsia="zh-CN"/>
        </w:rPr>
        <w:t>根据《中华人民共和国环境保护法》、《建设项目环境保护管理条例》、《建设项目竣工环境保护验收管理办法》等有关规定，按照环境保护</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三同时</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制度要求，该建设项目必须进行竣工环境保护验收。为此，</w:t>
      </w:r>
      <w:r>
        <w:rPr>
          <w:rFonts w:hint="eastAsia" w:cs="Times New Roman"/>
          <w:color w:val="auto"/>
          <w:sz w:val="24"/>
          <w:lang w:val="en-US" w:eastAsia="zh-CN"/>
        </w:rPr>
        <w:t>巫溪县华安墙材有限公司</w:t>
      </w:r>
      <w:r>
        <w:rPr>
          <w:rFonts w:hint="default" w:ascii="Times New Roman" w:hAnsi="Times New Roman" w:cs="Times New Roman"/>
          <w:color w:val="auto"/>
          <w:szCs w:val="24"/>
        </w:rPr>
        <w:t>开展</w:t>
      </w:r>
      <w:r>
        <w:rPr>
          <w:rFonts w:hint="eastAsia" w:cs="Times New Roman"/>
          <w:color w:val="auto"/>
          <w:szCs w:val="24"/>
          <w:lang w:eastAsia="zh-CN"/>
        </w:rPr>
        <w:t>巫溪县华安墙材有限公司页岩砖加工技改项目</w:t>
      </w:r>
      <w:r>
        <w:rPr>
          <w:rFonts w:hint="default" w:ascii="Times New Roman" w:hAnsi="Times New Roman" w:cs="Times New Roman"/>
          <w:color w:val="auto"/>
          <w:szCs w:val="24"/>
        </w:rPr>
        <w:t>竣工环境保护验收工作，并编制完成了《</w:t>
      </w:r>
      <w:r>
        <w:rPr>
          <w:rFonts w:hint="eastAsia" w:cs="Times New Roman"/>
          <w:color w:val="auto"/>
          <w:szCs w:val="24"/>
          <w:lang w:eastAsia="zh-CN"/>
        </w:rPr>
        <w:t>巫溪县华安墙材有限公司页岩砖加工技改项目</w:t>
      </w:r>
      <w:r>
        <w:rPr>
          <w:rFonts w:hint="default" w:ascii="Times New Roman" w:hAnsi="Times New Roman" w:cs="Times New Roman"/>
          <w:color w:val="auto"/>
          <w:szCs w:val="24"/>
        </w:rPr>
        <w:t>竣工环境保护验收监测报告》。</w:t>
      </w:r>
    </w:p>
    <w:p>
      <w:pPr>
        <w:pStyle w:val="12"/>
      </w:pPr>
    </w:p>
    <w:p>
      <w:pPr>
        <w:pStyle w:val="12"/>
      </w:pPr>
    </w:p>
    <w:p>
      <w:pPr>
        <w:pStyle w:val="12"/>
      </w:pPr>
    </w:p>
    <w:p>
      <w:pPr>
        <w:pStyle w:val="12"/>
        <w:keepNext w:val="0"/>
        <w:keepLines w:val="0"/>
        <w:pageBreakBefore/>
        <w:widowControl/>
        <w:kinsoku/>
        <w:wordWrap/>
        <w:overflowPunct/>
        <w:topLinePunct w:val="0"/>
        <w:autoSpaceDE/>
        <w:autoSpaceDN/>
        <w:bidi w:val="0"/>
        <w:adjustRightInd w:val="0"/>
        <w:snapToGrid w:val="0"/>
        <w:textAlignment w:val="baseline"/>
      </w:pPr>
    </w:p>
    <w:p>
      <w:pPr>
        <w:ind w:firstLine="480" w:firstLineChars="200"/>
        <w:jc w:val="both"/>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项目详细情况见表1-1。</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14:textFill>
            <w14:solidFill>
              <w14:schemeClr w14:val="tx1"/>
            </w14:solidFill>
          </w14:textFill>
        </w:rPr>
        <w:t>1-1</w:t>
      </w:r>
      <w:r>
        <w:rPr>
          <w:rFonts w:cs="Times New Roman" w:eastAsiaTheme="minorEastAsia"/>
          <w:b/>
          <w:bCs/>
          <w:color w:val="000000" w:themeColor="text1"/>
          <w:sz w:val="21"/>
          <w:szCs w:val="21"/>
          <w14:textFill>
            <w14:solidFill>
              <w14:schemeClr w14:val="tx1"/>
            </w14:solidFill>
          </w14:textFill>
        </w:rPr>
        <w:t xml:space="preserve">    验收项目</w:t>
      </w:r>
      <w:r>
        <w:rPr>
          <w:rFonts w:hint="eastAsia" w:cs="Times New Roman" w:eastAsiaTheme="minorEastAsia"/>
          <w:b/>
          <w:bCs/>
          <w:color w:val="000000" w:themeColor="text1"/>
          <w:sz w:val="21"/>
          <w:szCs w:val="21"/>
          <w14:textFill>
            <w14:solidFill>
              <w14:schemeClr w14:val="tx1"/>
            </w14:solidFill>
          </w14:textFill>
        </w:rPr>
        <w:t>详细情况一览表</w:t>
      </w:r>
    </w:p>
    <w:tbl>
      <w:tblPr>
        <w:tblStyle w:val="23"/>
        <w:tblW w:w="89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6"/>
        <w:gridCol w:w="1693"/>
        <w:gridCol w:w="75"/>
        <w:gridCol w:w="827"/>
        <w:gridCol w:w="911"/>
        <w:gridCol w:w="1414"/>
        <w:gridCol w:w="739"/>
        <w:gridCol w:w="622"/>
        <w:gridCol w:w="9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建设项目名称</w:t>
            </w:r>
          </w:p>
        </w:tc>
        <w:tc>
          <w:tcPr>
            <w:tcW w:w="7220" w:type="dxa"/>
            <w:gridSpan w:val="8"/>
            <w:vAlign w:val="center"/>
          </w:tcPr>
          <w:p>
            <w:pPr>
              <w:pStyle w:val="41"/>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页岩砖加工技改项目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建设</w:t>
            </w:r>
            <w:r>
              <w:rPr>
                <w:rFonts w:ascii="Times New Roman" w:hAnsi="Times New Roman" w:eastAsiaTheme="minorEastAsia"/>
                <w:kern w:val="2"/>
                <w:sz w:val="21"/>
                <w:szCs w:val="21"/>
              </w:rPr>
              <w:t>单位名称</w:t>
            </w:r>
          </w:p>
        </w:tc>
        <w:tc>
          <w:tcPr>
            <w:tcW w:w="7220" w:type="dxa"/>
            <w:gridSpan w:val="8"/>
            <w:vAlign w:val="center"/>
          </w:tcPr>
          <w:p>
            <w:pPr>
              <w:pStyle w:val="41"/>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巫溪县华安墙材有限公司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建设地点</w:t>
            </w:r>
          </w:p>
        </w:tc>
        <w:tc>
          <w:tcPr>
            <w:tcW w:w="4920" w:type="dxa"/>
            <w:gridSpan w:val="5"/>
            <w:vAlign w:val="center"/>
          </w:tcPr>
          <w:p>
            <w:pPr>
              <w:pStyle w:val="41"/>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巫溪县上磺镇上磺村一社</w:t>
            </w:r>
          </w:p>
        </w:tc>
        <w:tc>
          <w:tcPr>
            <w:tcW w:w="739"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邮编</w:t>
            </w:r>
          </w:p>
        </w:tc>
        <w:tc>
          <w:tcPr>
            <w:tcW w:w="1561" w:type="dxa"/>
            <w:gridSpan w:val="2"/>
            <w:vAlign w:val="center"/>
          </w:tcPr>
          <w:p>
            <w:pPr>
              <w:pStyle w:val="41"/>
              <w:rPr>
                <w:rFonts w:hint="default" w:ascii="Times New Roman" w:hAnsi="Times New Roman" w:eastAsiaTheme="minorEastAsia"/>
                <w:kern w:val="2"/>
                <w:sz w:val="21"/>
                <w:szCs w:val="21"/>
                <w:lang w:val="en-US" w:eastAsia="zh-CN"/>
              </w:rPr>
            </w:pPr>
            <w:r>
              <w:rPr>
                <w:rFonts w:hint="default" w:ascii="Times New Roman" w:hAnsi="Times New Roman" w:eastAsiaTheme="minorEastAsia"/>
                <w:kern w:val="2"/>
                <w:sz w:val="21"/>
                <w:szCs w:val="21"/>
                <w:lang w:val="en-US" w:eastAsia="zh-CN"/>
              </w:rPr>
              <w:t>40580</w:t>
            </w:r>
            <w:r>
              <w:rPr>
                <w:rFonts w:hint="default"/>
                <w:bCs/>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联系人</w:t>
            </w:r>
          </w:p>
        </w:tc>
        <w:tc>
          <w:tcPr>
            <w:tcW w:w="2595" w:type="dxa"/>
            <w:gridSpan w:val="3"/>
            <w:vAlign w:val="center"/>
          </w:tcPr>
          <w:p>
            <w:pPr>
              <w:pStyle w:val="41"/>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田绍伟</w:t>
            </w:r>
          </w:p>
        </w:tc>
        <w:tc>
          <w:tcPr>
            <w:tcW w:w="2325" w:type="dxa"/>
            <w:gridSpan w:val="2"/>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联系电话</w:t>
            </w:r>
          </w:p>
        </w:tc>
        <w:tc>
          <w:tcPr>
            <w:tcW w:w="2300" w:type="dxa"/>
            <w:gridSpan w:val="3"/>
            <w:vAlign w:val="center"/>
          </w:tcPr>
          <w:p>
            <w:pPr>
              <w:pStyle w:val="41"/>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手机：13272969888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建设项目性质</w:t>
            </w:r>
          </w:p>
        </w:tc>
        <w:tc>
          <w:tcPr>
            <w:tcW w:w="7220" w:type="dxa"/>
            <w:gridSpan w:val="8"/>
            <w:vAlign w:val="center"/>
          </w:tcPr>
          <w:p>
            <w:pPr>
              <w:pStyle w:val="41"/>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新建√     改扩建       技术改造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44"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环评报告审批部门</w:t>
            </w:r>
          </w:p>
        </w:tc>
        <w:tc>
          <w:tcPr>
            <w:tcW w:w="1768" w:type="dxa"/>
            <w:gridSpan w:val="2"/>
            <w:vAlign w:val="center"/>
          </w:tcPr>
          <w:p>
            <w:pPr>
              <w:pStyle w:val="41"/>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重庆市巫溪县生态环境局</w:t>
            </w:r>
          </w:p>
        </w:tc>
        <w:tc>
          <w:tcPr>
            <w:tcW w:w="827" w:type="dxa"/>
            <w:vAlign w:val="center"/>
          </w:tcPr>
          <w:p>
            <w:pPr>
              <w:pStyle w:val="41"/>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文号</w:t>
            </w:r>
          </w:p>
        </w:tc>
        <w:tc>
          <w:tcPr>
            <w:tcW w:w="2325" w:type="dxa"/>
            <w:gridSpan w:val="2"/>
            <w:vAlign w:val="center"/>
          </w:tcPr>
          <w:p>
            <w:pPr>
              <w:pStyle w:val="41"/>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val="en-US" w:eastAsia="zh-CN"/>
              </w:rPr>
              <w:t>渝（巫溪 ）环准〔2024〕2号</w:t>
            </w:r>
          </w:p>
        </w:tc>
        <w:tc>
          <w:tcPr>
            <w:tcW w:w="739" w:type="dxa"/>
            <w:vAlign w:val="center"/>
          </w:tcPr>
          <w:p>
            <w:pPr>
              <w:pStyle w:val="41"/>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时间</w:t>
            </w:r>
          </w:p>
        </w:tc>
        <w:tc>
          <w:tcPr>
            <w:tcW w:w="1561" w:type="dxa"/>
            <w:gridSpan w:val="2"/>
            <w:vAlign w:val="center"/>
          </w:tcPr>
          <w:p>
            <w:pPr>
              <w:pStyle w:val="41"/>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2024年01月18日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hint="eastAsia" w:ascii="Times New Roman" w:hAnsi="Times New Roman" w:eastAsiaTheme="minorEastAsia"/>
                <w:kern w:val="2"/>
                <w:sz w:val="21"/>
                <w:szCs w:val="21"/>
                <w:lang w:eastAsia="zh-CN"/>
              </w:rPr>
            </w:pPr>
            <w:r>
              <w:rPr>
                <w:rFonts w:ascii="Times New Roman" w:hAnsi="Times New Roman" w:eastAsiaTheme="minorEastAsia"/>
                <w:kern w:val="2"/>
                <w:sz w:val="21"/>
                <w:szCs w:val="21"/>
              </w:rPr>
              <w:t>环评报告</w:t>
            </w:r>
            <w:r>
              <w:rPr>
                <w:rFonts w:hint="eastAsia" w:ascii="Times New Roman" w:hAnsi="Times New Roman" w:eastAsiaTheme="minorEastAsia"/>
                <w:kern w:val="2"/>
                <w:sz w:val="21"/>
                <w:szCs w:val="21"/>
                <w:lang w:eastAsia="zh-CN"/>
              </w:rPr>
              <w:t>表</w:t>
            </w:r>
          </w:p>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编制单位</w:t>
            </w:r>
          </w:p>
        </w:tc>
        <w:tc>
          <w:tcPr>
            <w:tcW w:w="2595" w:type="dxa"/>
            <w:gridSpan w:val="3"/>
            <w:vAlign w:val="center"/>
          </w:tcPr>
          <w:p>
            <w:pPr>
              <w:pStyle w:val="41"/>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重庆绿丰环保科技有限公司</w:t>
            </w:r>
          </w:p>
        </w:tc>
        <w:tc>
          <w:tcPr>
            <w:tcW w:w="2325" w:type="dxa"/>
            <w:gridSpan w:val="2"/>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环境监理单位</w:t>
            </w:r>
          </w:p>
        </w:tc>
        <w:tc>
          <w:tcPr>
            <w:tcW w:w="2300" w:type="dxa"/>
            <w:gridSpan w:val="3"/>
            <w:vAlign w:val="center"/>
          </w:tcPr>
          <w:p>
            <w:pPr>
              <w:pStyle w:val="41"/>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开工建设时间</w:t>
            </w:r>
          </w:p>
        </w:tc>
        <w:tc>
          <w:tcPr>
            <w:tcW w:w="2595" w:type="dxa"/>
            <w:gridSpan w:val="3"/>
            <w:vAlign w:val="center"/>
          </w:tcPr>
          <w:p>
            <w:pPr>
              <w:pStyle w:val="41"/>
              <w:rPr>
                <w:rFonts w:ascii="Times New Roman" w:hAnsi="Times New Roman" w:eastAsiaTheme="minorEastAsia"/>
                <w:kern w:val="2"/>
                <w:sz w:val="21"/>
                <w:szCs w:val="21"/>
              </w:rPr>
            </w:pPr>
            <w:r>
              <w:rPr>
                <w:rFonts w:hint="eastAsia" w:ascii="Times New Roman" w:hAnsi="Times New Roman" w:eastAsiaTheme="minorEastAsia"/>
                <w:kern w:val="2"/>
                <w:sz w:val="21"/>
                <w:szCs w:val="21"/>
              </w:rPr>
              <w:t>20</w:t>
            </w:r>
            <w:r>
              <w:rPr>
                <w:rFonts w:hint="eastAsia" w:ascii="Times New Roman" w:hAnsi="Times New Roman" w:eastAsiaTheme="minorEastAsia"/>
                <w:kern w:val="2"/>
                <w:sz w:val="21"/>
                <w:szCs w:val="21"/>
                <w:lang w:val="en-US" w:eastAsia="zh-CN"/>
              </w:rPr>
              <w:t>24</w:t>
            </w:r>
            <w:r>
              <w:rPr>
                <w:rFonts w:hint="eastAsia" w:ascii="Times New Roman" w:hAnsi="Times New Roman" w:eastAsiaTheme="minorEastAsia"/>
                <w:kern w:val="2"/>
                <w:sz w:val="21"/>
                <w:szCs w:val="21"/>
              </w:rPr>
              <w:t>年</w:t>
            </w:r>
            <w:r>
              <w:rPr>
                <w:rFonts w:hint="eastAsia" w:ascii="Times New Roman" w:hAnsi="Times New Roman" w:eastAsiaTheme="minorEastAsia"/>
                <w:kern w:val="2"/>
                <w:sz w:val="21"/>
                <w:szCs w:val="21"/>
                <w:lang w:val="en-US" w:eastAsia="zh-CN"/>
              </w:rPr>
              <w:t>01</w:t>
            </w:r>
            <w:r>
              <w:rPr>
                <w:rFonts w:hint="eastAsia" w:ascii="Times New Roman" w:hAnsi="Times New Roman" w:eastAsiaTheme="minorEastAsia"/>
                <w:kern w:val="2"/>
                <w:sz w:val="21"/>
                <w:szCs w:val="21"/>
              </w:rPr>
              <w:t>月</w:t>
            </w:r>
          </w:p>
        </w:tc>
        <w:tc>
          <w:tcPr>
            <w:tcW w:w="2325" w:type="dxa"/>
            <w:gridSpan w:val="2"/>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投入试生产时间</w:t>
            </w:r>
          </w:p>
        </w:tc>
        <w:tc>
          <w:tcPr>
            <w:tcW w:w="2300" w:type="dxa"/>
            <w:gridSpan w:val="3"/>
            <w:vAlign w:val="center"/>
          </w:tcPr>
          <w:p>
            <w:pPr>
              <w:pStyle w:val="41"/>
              <w:rPr>
                <w:rFonts w:ascii="Times New Roman" w:hAnsi="Times New Roman" w:eastAsiaTheme="minorEastAsia"/>
                <w:kern w:val="2"/>
                <w:sz w:val="21"/>
                <w:szCs w:val="21"/>
              </w:rPr>
            </w:pPr>
            <w:r>
              <w:rPr>
                <w:rFonts w:hint="eastAsia" w:ascii="Times New Roman" w:hAnsi="Times New Roman" w:eastAsiaTheme="minorEastAsia"/>
                <w:color w:val="auto"/>
                <w:kern w:val="2"/>
                <w:sz w:val="21"/>
                <w:szCs w:val="21"/>
              </w:rPr>
              <w:t>20</w:t>
            </w:r>
            <w:r>
              <w:rPr>
                <w:rFonts w:hint="eastAsia" w:ascii="Times New Roman" w:hAnsi="Times New Roman" w:eastAsiaTheme="minorEastAsia"/>
                <w:color w:val="auto"/>
                <w:kern w:val="2"/>
                <w:sz w:val="21"/>
                <w:szCs w:val="21"/>
                <w:lang w:val="en-US" w:eastAsia="zh-CN"/>
              </w:rPr>
              <w:t>23</w:t>
            </w:r>
            <w:r>
              <w:rPr>
                <w:rFonts w:hint="eastAsia" w:ascii="Times New Roman" w:hAnsi="Times New Roman" w:eastAsiaTheme="minorEastAsia"/>
                <w:color w:val="auto"/>
                <w:kern w:val="2"/>
                <w:sz w:val="21"/>
                <w:szCs w:val="21"/>
              </w:rPr>
              <w:t>年</w:t>
            </w:r>
            <w:r>
              <w:rPr>
                <w:rFonts w:hint="eastAsia" w:ascii="Times New Roman" w:hAnsi="Times New Roman" w:eastAsiaTheme="minorEastAsia"/>
                <w:color w:val="auto"/>
                <w:kern w:val="2"/>
                <w:sz w:val="21"/>
                <w:szCs w:val="21"/>
                <w:lang w:val="en-US" w:eastAsia="zh-CN"/>
              </w:rPr>
              <w:t>2</w:t>
            </w:r>
            <w:r>
              <w:rPr>
                <w:rFonts w:hint="eastAsia" w:ascii="Times New Roman" w:hAnsi="Times New Roman" w:eastAsiaTheme="minorEastAsia"/>
                <w:color w:val="auto"/>
                <w:kern w:val="2"/>
                <w:sz w:val="21"/>
                <w:szCs w:val="21"/>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环保设施设计单位</w:t>
            </w:r>
          </w:p>
        </w:tc>
        <w:tc>
          <w:tcPr>
            <w:tcW w:w="2595" w:type="dxa"/>
            <w:gridSpan w:val="3"/>
            <w:vAlign w:val="center"/>
          </w:tcPr>
          <w:p>
            <w:pPr>
              <w:pStyle w:val="41"/>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eastAsia="zh-CN"/>
              </w:rPr>
              <w:t>巫溪县华安墙材有限公司</w:t>
            </w:r>
          </w:p>
        </w:tc>
        <w:tc>
          <w:tcPr>
            <w:tcW w:w="2325" w:type="dxa"/>
            <w:gridSpan w:val="2"/>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环保设施施工单位</w:t>
            </w:r>
          </w:p>
        </w:tc>
        <w:tc>
          <w:tcPr>
            <w:tcW w:w="2300" w:type="dxa"/>
            <w:gridSpan w:val="3"/>
            <w:vAlign w:val="center"/>
          </w:tcPr>
          <w:p>
            <w:pPr>
              <w:pStyle w:val="41"/>
              <w:rPr>
                <w:rFonts w:ascii="Times New Roman" w:hAnsi="Times New Roman" w:eastAsiaTheme="minorEastAsia"/>
                <w:color w:val="FF0000"/>
                <w:kern w:val="2"/>
                <w:sz w:val="21"/>
                <w:szCs w:val="21"/>
              </w:rPr>
            </w:pPr>
            <w:r>
              <w:rPr>
                <w:rFonts w:hint="eastAsia" w:ascii="Times New Roman" w:hAnsi="Times New Roman" w:eastAsiaTheme="minorEastAsia"/>
                <w:kern w:val="2"/>
                <w:sz w:val="21"/>
                <w:szCs w:val="21"/>
                <w:lang w:eastAsia="zh-CN"/>
              </w:rPr>
              <w:t>巫溪县华安墙材有限公司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环评设计生产能力</w:t>
            </w:r>
          </w:p>
        </w:tc>
        <w:tc>
          <w:tcPr>
            <w:tcW w:w="7220" w:type="dxa"/>
            <w:gridSpan w:val="8"/>
            <w:vAlign w:val="center"/>
          </w:tcPr>
          <w:p>
            <w:pPr>
              <w:pStyle w:val="41"/>
              <w:rPr>
                <w:rFonts w:hint="default" w:ascii="Times New Roman" w:hAnsi="Times New Roman" w:cs="Times New Roman" w:eastAsiaTheme="minorEastAsia"/>
                <w:kern w:val="2"/>
                <w:sz w:val="21"/>
                <w:szCs w:val="21"/>
                <w:lang w:eastAsia="zh-CN"/>
              </w:rPr>
            </w:pPr>
            <w:r>
              <w:rPr>
                <w:rFonts w:hint="default" w:ascii="Times New Roman" w:hAnsi="Times New Roman" w:cs="Times New Roman"/>
                <w:color w:val="000000" w:themeColor="text1"/>
                <w:lang w:val="en-US" w:eastAsia="zh-CN"/>
                <w14:textFill>
                  <w14:solidFill>
                    <w14:schemeClr w14:val="tx1"/>
                  </w14:solidFill>
                </w14:textFill>
              </w:rPr>
              <w:t>本项目在保持砖厂生产工艺和生产规模不变的前提下，依托砖厂现有年产3500万匹标砖生产线，拟在现有页岩砖生产线上增加生活污泥给料入口，利用生活污泥代替部分页岩作为原料生产页岩空心砖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实际建设生产能力</w:t>
            </w:r>
          </w:p>
        </w:tc>
        <w:tc>
          <w:tcPr>
            <w:tcW w:w="7220" w:type="dxa"/>
            <w:gridSpan w:val="8"/>
            <w:vAlign w:val="center"/>
          </w:tcPr>
          <w:p>
            <w:pPr>
              <w:pStyle w:val="41"/>
              <w:rPr>
                <w:rFonts w:hint="default" w:ascii="Times New Roman" w:hAnsi="Times New Roman" w:cs="Times New Roman" w:eastAsiaTheme="minorEastAsia"/>
                <w:kern w:val="2"/>
                <w:sz w:val="21"/>
                <w:szCs w:val="21"/>
                <w:lang w:eastAsia="zh-CN"/>
              </w:rPr>
            </w:pPr>
            <w:r>
              <w:rPr>
                <w:rFonts w:hint="default" w:ascii="Times New Roman" w:hAnsi="Times New Roman" w:cs="Times New Roman"/>
                <w:color w:val="000000" w:themeColor="text1"/>
                <w:lang w:val="en-US" w:eastAsia="zh-CN"/>
                <w14:textFill>
                  <w14:solidFill>
                    <w14:schemeClr w14:val="tx1"/>
                  </w14:solidFill>
                </w14:textFill>
              </w:rPr>
              <w:t>本项目在保持砖厂生产工艺和生产规模不变的前提下，依托砖厂现有年产3500万匹标砖生产线，拟在现有页岩砖生产线上增加生活污泥给料入口，利用生活污泥代替部分页岩作为原料生产页岩空心砖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概算</w:t>
            </w:r>
          </w:p>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总投资</w:t>
            </w:r>
          </w:p>
        </w:tc>
        <w:tc>
          <w:tcPr>
            <w:tcW w:w="1693" w:type="dxa"/>
            <w:vAlign w:val="center"/>
          </w:tcPr>
          <w:p>
            <w:pPr>
              <w:pStyle w:val="41"/>
              <w:rPr>
                <w:rFonts w:hint="eastAsia" w:ascii="Times New Roman" w:hAnsi="Times New Roman" w:eastAsiaTheme="minorEastAsia"/>
                <w:kern w:val="2"/>
                <w:sz w:val="21"/>
                <w:szCs w:val="21"/>
              </w:rPr>
            </w:pPr>
            <w:r>
              <w:rPr>
                <w:rFonts w:hint="default" w:ascii="Times New Roman" w:hAnsi="Times New Roman" w:eastAsia="宋体" w:cs="Times New Roman"/>
                <w:b w:val="0"/>
                <w:bCs w:val="0"/>
                <w:color w:val="auto"/>
                <w:lang w:val="en-US" w:eastAsia="zh-CN"/>
              </w:rPr>
              <w:t>1300</w:t>
            </w:r>
            <w:r>
              <w:rPr>
                <w:rFonts w:hint="eastAsia" w:ascii="Times New Roman" w:hAnsi="Times New Roman" w:eastAsiaTheme="minorEastAsia"/>
                <w:kern w:val="2"/>
                <w:sz w:val="21"/>
                <w:szCs w:val="21"/>
              </w:rPr>
              <w:t>万元</w:t>
            </w:r>
          </w:p>
        </w:tc>
        <w:tc>
          <w:tcPr>
            <w:tcW w:w="1813" w:type="dxa"/>
            <w:gridSpan w:val="3"/>
            <w:vAlign w:val="center"/>
          </w:tcPr>
          <w:p>
            <w:pPr>
              <w:pStyle w:val="41"/>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其中环保投资</w:t>
            </w:r>
          </w:p>
        </w:tc>
        <w:tc>
          <w:tcPr>
            <w:tcW w:w="1414" w:type="dxa"/>
            <w:vAlign w:val="center"/>
          </w:tcPr>
          <w:p>
            <w:pPr>
              <w:pStyle w:val="41"/>
              <w:rPr>
                <w:rFonts w:hint="default" w:ascii="Times New Roman" w:hAnsi="Times New Roman" w:eastAsiaTheme="minorEastAsia"/>
                <w:kern w:val="2"/>
                <w:sz w:val="21"/>
                <w:szCs w:val="21"/>
                <w:lang w:val="en-US" w:eastAsia="zh-CN"/>
              </w:rPr>
            </w:pPr>
            <w:r>
              <w:rPr>
                <w:rFonts w:hint="eastAsia" w:ascii="Times New Roman" w:hAnsi="Times New Roman" w:eastAsia="宋体" w:cs="Times New Roman"/>
                <w:b w:val="0"/>
                <w:bCs w:val="0"/>
                <w:color w:val="auto"/>
                <w:lang w:val="en-US" w:eastAsia="zh-CN"/>
              </w:rPr>
              <w:t>35</w:t>
            </w:r>
            <w:r>
              <w:rPr>
                <w:rFonts w:hint="eastAsia" w:ascii="Times New Roman" w:hAnsi="Times New Roman" w:eastAsiaTheme="minorEastAsia"/>
                <w:kern w:val="2"/>
                <w:sz w:val="21"/>
                <w:szCs w:val="21"/>
                <w:lang w:val="en-US" w:eastAsia="zh-CN"/>
              </w:rPr>
              <w:t>万元</w:t>
            </w:r>
          </w:p>
        </w:tc>
        <w:tc>
          <w:tcPr>
            <w:tcW w:w="1361" w:type="dxa"/>
            <w:gridSpan w:val="2"/>
            <w:vAlign w:val="center"/>
          </w:tcPr>
          <w:p>
            <w:pPr>
              <w:pStyle w:val="41"/>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比例</w:t>
            </w:r>
          </w:p>
        </w:tc>
        <w:tc>
          <w:tcPr>
            <w:tcW w:w="939" w:type="dxa"/>
            <w:vAlign w:val="center"/>
          </w:tcPr>
          <w:p>
            <w:pPr>
              <w:pStyle w:val="41"/>
              <w:rPr>
                <w:rFonts w:ascii="Times New Roman" w:hAnsi="Times New Roman" w:eastAsiaTheme="minorEastAsia"/>
                <w:kern w:val="2"/>
                <w:sz w:val="21"/>
                <w:szCs w:val="21"/>
              </w:rPr>
            </w:pPr>
            <w:r>
              <w:rPr>
                <w:rFonts w:hint="eastAsia" w:ascii="Times New Roman" w:hAnsi="Times New Roman" w:eastAsia="宋体" w:cs="Times New Roman"/>
                <w:b w:val="0"/>
                <w:bCs w:val="0"/>
                <w:color w:val="auto"/>
                <w:lang w:val="en-US" w:eastAsia="zh-CN"/>
              </w:rPr>
              <w:t>2.69</w:t>
            </w:r>
            <w:r>
              <w:rPr>
                <w:rFonts w:hint="eastAsia" w:ascii="Times New Roman" w:hAnsi="Times New Roman" w:eastAsiaTheme="minorEastAsia"/>
                <w:kern w:val="2"/>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实际</w:t>
            </w:r>
          </w:p>
          <w:p>
            <w:pPr>
              <w:pStyle w:val="41"/>
              <w:rPr>
                <w:rFonts w:ascii="Times New Roman" w:hAnsi="Times New Roman" w:eastAsiaTheme="minorEastAsia"/>
                <w:kern w:val="2"/>
                <w:sz w:val="21"/>
                <w:szCs w:val="21"/>
              </w:rPr>
            </w:pPr>
            <w:r>
              <w:rPr>
                <w:rFonts w:ascii="Times New Roman" w:hAnsi="Times New Roman" w:eastAsiaTheme="minorEastAsia"/>
                <w:kern w:val="2"/>
                <w:sz w:val="21"/>
                <w:szCs w:val="21"/>
              </w:rPr>
              <w:t>总投资</w:t>
            </w:r>
          </w:p>
        </w:tc>
        <w:tc>
          <w:tcPr>
            <w:tcW w:w="1693" w:type="dxa"/>
            <w:vAlign w:val="center"/>
          </w:tcPr>
          <w:p>
            <w:pPr>
              <w:pStyle w:val="41"/>
              <w:rPr>
                <w:rFonts w:hint="eastAsia" w:ascii="Times New Roman" w:hAnsi="Times New Roman" w:eastAsiaTheme="minorEastAsia"/>
                <w:kern w:val="2"/>
                <w:sz w:val="21"/>
                <w:szCs w:val="21"/>
              </w:rPr>
            </w:pPr>
            <w:r>
              <w:rPr>
                <w:rFonts w:hint="default" w:ascii="Times New Roman" w:hAnsi="Times New Roman" w:eastAsia="宋体" w:cs="Times New Roman"/>
                <w:b w:val="0"/>
                <w:bCs w:val="0"/>
                <w:color w:val="auto"/>
                <w:lang w:val="en-US" w:eastAsia="zh-CN"/>
              </w:rPr>
              <w:t>1300</w:t>
            </w:r>
            <w:r>
              <w:rPr>
                <w:rFonts w:hint="eastAsia" w:ascii="Times New Roman" w:hAnsi="Times New Roman" w:eastAsiaTheme="minorEastAsia"/>
                <w:kern w:val="2"/>
                <w:sz w:val="21"/>
                <w:szCs w:val="21"/>
              </w:rPr>
              <w:t>万元</w:t>
            </w:r>
          </w:p>
        </w:tc>
        <w:tc>
          <w:tcPr>
            <w:tcW w:w="1813" w:type="dxa"/>
            <w:gridSpan w:val="3"/>
            <w:vAlign w:val="center"/>
          </w:tcPr>
          <w:p>
            <w:pPr>
              <w:pStyle w:val="41"/>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其中环保投资</w:t>
            </w:r>
          </w:p>
        </w:tc>
        <w:tc>
          <w:tcPr>
            <w:tcW w:w="1414" w:type="dxa"/>
            <w:vAlign w:val="center"/>
          </w:tcPr>
          <w:p>
            <w:pPr>
              <w:pStyle w:val="41"/>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40万元</w:t>
            </w:r>
          </w:p>
        </w:tc>
        <w:tc>
          <w:tcPr>
            <w:tcW w:w="1361" w:type="dxa"/>
            <w:gridSpan w:val="2"/>
            <w:vAlign w:val="center"/>
          </w:tcPr>
          <w:p>
            <w:pPr>
              <w:pStyle w:val="41"/>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比例</w:t>
            </w:r>
          </w:p>
        </w:tc>
        <w:tc>
          <w:tcPr>
            <w:tcW w:w="939" w:type="dxa"/>
            <w:vAlign w:val="center"/>
          </w:tcPr>
          <w:p>
            <w:pPr>
              <w:pStyle w:val="41"/>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3.08</w:t>
            </w:r>
            <w:r>
              <w:rPr>
                <w:rFonts w:hint="eastAsia" w:ascii="Times New Roman" w:hAnsi="Times New Roman" w:eastAsiaTheme="minorEastAsia"/>
                <w:kern w:val="2"/>
                <w:sz w:val="21"/>
                <w:szCs w:val="21"/>
              </w:rPr>
              <w:t>%</w:t>
            </w:r>
          </w:p>
        </w:tc>
      </w:tr>
    </w:tbl>
    <w:p>
      <w:pPr>
        <w:pStyle w:val="3"/>
        <w:numPr>
          <w:ilvl w:val="1"/>
          <w:numId w:val="3"/>
        </w:numPr>
        <w:rPr>
          <w:rFonts w:cs="Times New Roman" w:eastAsiaTheme="minorEastAsia"/>
          <w:snapToGrid w:val="0"/>
          <w:color w:val="000000" w:themeColor="text1"/>
          <w:sz w:val="24"/>
          <w:szCs w:val="24"/>
          <w14:textFill>
            <w14:solidFill>
              <w14:schemeClr w14:val="tx1"/>
            </w14:solidFill>
          </w14:textFill>
        </w:rPr>
      </w:pPr>
      <w:bookmarkStart w:id="5" w:name="_Toc6234419"/>
      <w:bookmarkStart w:id="6" w:name="_Toc2695"/>
      <w:r>
        <w:rPr>
          <w:rFonts w:hint="eastAsia"/>
          <w:sz w:val="24"/>
          <w:szCs w:val="24"/>
        </w:rPr>
        <w:t>验收工作由来及工作程序</w:t>
      </w:r>
      <w:bookmarkEnd w:id="5"/>
      <w:bookmarkEnd w:id="6"/>
    </w:p>
    <w:p>
      <w:pPr>
        <w:ind w:firstLine="480" w:firstLineChars="200"/>
        <w:jc w:val="both"/>
        <w:rPr>
          <w:rFonts w:cs="Times New Roman" w:eastAsiaTheme="minorEastAsia"/>
          <w:color w:val="000000" w:themeColor="text1"/>
          <w:szCs w:val="24"/>
          <w14:textFill>
            <w14:solidFill>
              <w14:schemeClr w14:val="tx1"/>
            </w14:solidFill>
          </w14:textFill>
        </w:rPr>
      </w:pPr>
      <w:r>
        <w:rPr>
          <w:rFonts w:cs="Times New Roman" w:eastAsiaTheme="minorEastAsia"/>
          <w:color w:val="000000" w:themeColor="text1"/>
          <w:szCs w:val="24"/>
          <w14:textFill>
            <w14:solidFill>
              <w14:schemeClr w14:val="tx1"/>
            </w14:solidFill>
          </w14:textFill>
        </w:rPr>
        <w:t>根据《建设项目竣工环境保护验收暂行办法》（国环规环评[2017]4号）的规定</w:t>
      </w:r>
      <w:r>
        <w:rPr>
          <w:rFonts w:cs="Times New Roman" w:eastAsiaTheme="minorEastAsia"/>
          <w:szCs w:val="24"/>
        </w:rPr>
        <w:t>，</w:t>
      </w:r>
      <w:r>
        <w:rPr>
          <w:rFonts w:hint="eastAsia" w:cs="Times New Roman" w:eastAsiaTheme="minorEastAsia"/>
          <w:szCs w:val="24"/>
        </w:rPr>
        <w:t>该项目应开展</w:t>
      </w:r>
      <w:r>
        <w:rPr>
          <w:rFonts w:cs="Times New Roman" w:eastAsiaTheme="minorEastAsia"/>
          <w:szCs w:val="24"/>
        </w:rPr>
        <w:t>竣工环境保护验收</w:t>
      </w:r>
      <w:r>
        <w:rPr>
          <w:rFonts w:hint="eastAsia" w:cs="Times New Roman" w:eastAsiaTheme="minorEastAsia"/>
          <w:szCs w:val="24"/>
        </w:rPr>
        <w:t>，</w:t>
      </w:r>
      <w:r>
        <w:rPr>
          <w:rFonts w:hint="eastAsia" w:cs="Times New Roman" w:eastAsiaTheme="minorEastAsia"/>
          <w:szCs w:val="24"/>
          <w:lang w:eastAsia="zh-CN"/>
        </w:rPr>
        <w:t>巫溪县华安墙材有限公司</w:t>
      </w:r>
      <w:r>
        <w:rPr>
          <w:rFonts w:cs="Times New Roman" w:eastAsiaTheme="minorEastAsia"/>
          <w:szCs w:val="24"/>
        </w:rPr>
        <w:t>对</w:t>
      </w:r>
      <w:r>
        <w:rPr>
          <w:rFonts w:hint="eastAsia" w:cs="Times New Roman" w:eastAsiaTheme="minorEastAsia"/>
          <w:szCs w:val="24"/>
        </w:rPr>
        <w:t>“</w:t>
      </w:r>
      <w:r>
        <w:rPr>
          <w:rFonts w:hint="eastAsia" w:cs="Times New Roman" w:eastAsiaTheme="minorEastAsia"/>
          <w:szCs w:val="24"/>
          <w:lang w:eastAsia="zh-CN"/>
        </w:rPr>
        <w:t>巫溪县华安墙材有限公司页岩砖加工技改项目</w:t>
      </w:r>
      <w:r>
        <w:rPr>
          <w:rFonts w:hint="eastAsia" w:cs="Times New Roman" w:eastAsiaTheme="minorEastAsia"/>
          <w:color w:val="000000" w:themeColor="text1"/>
          <w:szCs w:val="24"/>
          <w14:textFill>
            <w14:solidFill>
              <w14:schemeClr w14:val="tx1"/>
            </w14:solidFill>
          </w14:textFill>
        </w:rPr>
        <w:t>”</w:t>
      </w:r>
      <w:r>
        <w:rPr>
          <w:rFonts w:cs="Times New Roman" w:eastAsiaTheme="minorEastAsia"/>
          <w:color w:val="000000" w:themeColor="text1"/>
          <w:szCs w:val="24"/>
          <w14:textFill>
            <w14:solidFill>
              <w14:schemeClr w14:val="tx1"/>
            </w14:solidFill>
          </w14:textFill>
        </w:rPr>
        <w:t>开展工程竣工环境保护验收报告编制工作。我公司组织专业技术人员对该项目进行了现场踏勘和资料调研工作，结合《</w:t>
      </w:r>
      <w:r>
        <w:rPr>
          <w:rFonts w:hint="eastAsia" w:cs="Times New Roman" w:eastAsiaTheme="minorEastAsia"/>
          <w:color w:val="000000" w:themeColor="text1"/>
          <w:szCs w:val="24"/>
          <w:lang w:eastAsia="zh-CN"/>
          <w14:textFill>
            <w14:solidFill>
              <w14:schemeClr w14:val="tx1"/>
            </w14:solidFill>
          </w14:textFill>
        </w:rPr>
        <w:t>巫溪县华安墙材有限公司页岩砖加工技改项目项目环境影响报告表》、渝（巫溪 ）环准〔2024〕2号文，及相关文件、标准和技术规范的要求，于20</w:t>
      </w:r>
      <w:r>
        <w:rPr>
          <w:rFonts w:hint="eastAsia" w:cs="Times New Roman" w:eastAsiaTheme="minorEastAsia"/>
          <w:color w:val="000000" w:themeColor="text1"/>
          <w:szCs w:val="24"/>
          <w:lang w:val="en-US" w:eastAsia="zh-CN"/>
          <w14:textFill>
            <w14:solidFill>
              <w14:schemeClr w14:val="tx1"/>
            </w14:solidFill>
          </w14:textFill>
        </w:rPr>
        <w:t>24</w:t>
      </w:r>
      <w:r>
        <w:rPr>
          <w:rFonts w:hint="eastAsia" w:cs="Times New Roman" w:eastAsiaTheme="minorEastAsia"/>
          <w:color w:val="000000" w:themeColor="text1"/>
          <w:szCs w:val="24"/>
          <w:lang w:eastAsia="zh-CN"/>
          <w14:textFill>
            <w14:solidFill>
              <w14:schemeClr w14:val="tx1"/>
            </w14:solidFill>
          </w14:textFill>
        </w:rPr>
        <w:t>年</w:t>
      </w:r>
      <w:r>
        <w:rPr>
          <w:rFonts w:hint="eastAsia" w:cs="Times New Roman" w:eastAsiaTheme="minorEastAsia"/>
          <w:color w:val="000000" w:themeColor="text1"/>
          <w:szCs w:val="24"/>
          <w:lang w:val="en-US" w:eastAsia="zh-CN"/>
          <w14:textFill>
            <w14:solidFill>
              <w14:schemeClr w14:val="tx1"/>
            </w14:solidFill>
          </w14:textFill>
        </w:rPr>
        <w:t>1</w:t>
      </w:r>
      <w:r>
        <w:rPr>
          <w:rFonts w:hint="eastAsia" w:cs="Times New Roman" w:eastAsiaTheme="minorEastAsia"/>
          <w:color w:val="000000" w:themeColor="text1"/>
          <w:szCs w:val="24"/>
          <w:lang w:eastAsia="zh-CN"/>
          <w14:textFill>
            <w14:solidFill>
              <w14:schemeClr w14:val="tx1"/>
            </w14:solidFill>
          </w14:textFill>
        </w:rPr>
        <w:t>月编制完成了项目验收监测方案，并委</w:t>
      </w:r>
      <w:r>
        <w:rPr>
          <w:rFonts w:hint="eastAsia" w:cs="Times New Roman" w:eastAsiaTheme="minorEastAsia"/>
          <w:color w:val="000000" w:themeColor="text1"/>
          <w:szCs w:val="24"/>
          <w:lang w:val="en-US" w:eastAsia="zh-CN"/>
          <w14:textFill>
            <w14:solidFill>
              <w14:schemeClr w14:val="tx1"/>
            </w14:solidFill>
          </w14:textFill>
        </w:rPr>
        <w:t>托重庆渝法检测技术服务有限公司对</w:t>
      </w:r>
      <w:r>
        <w:rPr>
          <w:rFonts w:hint="eastAsia" w:cs="Times New Roman" w:eastAsiaTheme="minorEastAsia"/>
          <w:color w:val="000000" w:themeColor="text1"/>
          <w:szCs w:val="24"/>
          <w:lang w:eastAsia="zh-CN"/>
          <w14:textFill>
            <w14:solidFill>
              <w14:schemeClr w14:val="tx1"/>
            </w14:solidFill>
          </w14:textFill>
        </w:rPr>
        <w:t>该项目实施了竣工环保验收监测，最终根</w:t>
      </w:r>
      <w:r>
        <w:rPr>
          <w:rFonts w:cs="Times New Roman" w:eastAsiaTheme="minorEastAsia"/>
          <w:color w:val="000000" w:themeColor="text1"/>
          <w:szCs w:val="24"/>
          <w14:textFill>
            <w14:solidFill>
              <w14:schemeClr w14:val="tx1"/>
            </w14:solidFill>
          </w14:textFill>
        </w:rPr>
        <w:t>据企业提供的资料、现场踏勘情况、竣工验收监测结果、验收技术规范、环评报告、批复等相关要求，编制完成了《</w:t>
      </w:r>
      <w:r>
        <w:rPr>
          <w:rFonts w:hint="eastAsia" w:cs="Times New Roman" w:eastAsiaTheme="minorEastAsia"/>
          <w:color w:val="000000" w:themeColor="text1"/>
          <w:szCs w:val="24"/>
          <w:lang w:eastAsia="zh-CN"/>
          <w14:textFill>
            <w14:solidFill>
              <w14:schemeClr w14:val="tx1"/>
            </w14:solidFill>
          </w14:textFill>
        </w:rPr>
        <w:t>巫溪县华安墙材有限公司页岩砖加工技改项目</w:t>
      </w:r>
      <w:r>
        <w:rPr>
          <w:rFonts w:cs="Times New Roman" w:eastAsiaTheme="minorEastAsia"/>
          <w:color w:val="000000" w:themeColor="text1"/>
          <w:szCs w:val="24"/>
          <w14:textFill>
            <w14:solidFill>
              <w14:schemeClr w14:val="tx1"/>
            </w14:solidFill>
          </w14:textFill>
        </w:rPr>
        <w:t>竣工环境保护验收监测报告》</w:t>
      </w:r>
      <w:r>
        <w:rPr>
          <w:rFonts w:hint="eastAsia" w:cs="Times New Roman" w:eastAsiaTheme="minorEastAsia"/>
          <w:color w:val="000000" w:themeColor="text1"/>
          <w:szCs w:val="24"/>
          <w14:textFill>
            <w14:solidFill>
              <w14:schemeClr w14:val="tx1"/>
            </w14:solidFill>
          </w14:textFill>
        </w:rPr>
        <w:t>。</w:t>
      </w:r>
    </w:p>
    <w:p>
      <w:pPr>
        <w:ind w:firstLine="480" w:firstLineChars="200"/>
        <w:jc w:val="both"/>
        <w:rPr>
          <w:rFonts w:cs="Times New Roman" w:eastAsiaTheme="minorEastAsia"/>
          <w:szCs w:val="24"/>
        </w:rPr>
      </w:pPr>
      <w:r>
        <w:rPr>
          <w:rFonts w:cs="Times New Roman" w:eastAsiaTheme="minorEastAsia"/>
          <w:szCs w:val="24"/>
        </w:rPr>
        <w:t>本次验收报告编制的工作程序见图</w:t>
      </w:r>
      <w:r>
        <w:rPr>
          <w:rFonts w:hint="eastAsia" w:cs="Times New Roman" w:eastAsiaTheme="minorEastAsia"/>
          <w:szCs w:val="24"/>
        </w:rPr>
        <w:t>1.1。</w:t>
      </w:r>
    </w:p>
    <w:p/>
    <w:p>
      <w:pPr>
        <w:rPr>
          <w:rFonts w:cs="Times New Roman" w:eastAsiaTheme="minorEastAsia"/>
          <w:color w:val="000000" w:themeColor="text1"/>
          <w:szCs w:val="26"/>
          <w14:textFill>
            <w14:solidFill>
              <w14:schemeClr w14:val="tx1"/>
            </w14:solidFill>
          </w14:textFill>
        </w:rPr>
      </w:pPr>
      <w:r>
        <w:drawing>
          <wp:inline distT="0" distB="0" distL="0" distR="0">
            <wp:extent cx="5555615" cy="5815965"/>
            <wp:effectExtent l="0" t="0" r="698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stretch>
                      <a:fillRect/>
                    </a:stretch>
                  </pic:blipFill>
                  <pic:spPr>
                    <a:xfrm>
                      <a:off x="0" y="0"/>
                      <a:ext cx="5555615" cy="5815965"/>
                    </a:xfrm>
                    <a:prstGeom prst="rect">
                      <a:avLst/>
                    </a:prstGeom>
                  </pic:spPr>
                </pic:pic>
              </a:graphicData>
            </a:graphic>
          </wp:inline>
        </w:drawing>
      </w:r>
    </w:p>
    <w:p>
      <w:pPr>
        <w:bidi w:val="0"/>
      </w:pPr>
    </w:p>
    <w:p>
      <w:pPr>
        <w:bidi w:val="0"/>
      </w:pPr>
    </w:p>
    <w:p>
      <w:r>
        <w:drawing>
          <wp:inline distT="0" distB="0" distL="0" distR="0">
            <wp:extent cx="5615305" cy="5521960"/>
            <wp:effectExtent l="0" t="0" r="825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stretch>
                      <a:fillRect/>
                    </a:stretch>
                  </pic:blipFill>
                  <pic:spPr>
                    <a:xfrm>
                      <a:off x="0" y="0"/>
                      <a:ext cx="5615305" cy="5521960"/>
                    </a:xfrm>
                    <a:prstGeom prst="rect">
                      <a:avLst/>
                    </a:prstGeom>
                  </pic:spPr>
                </pic:pic>
              </a:graphicData>
            </a:graphic>
          </wp:inline>
        </w:drawing>
      </w:r>
    </w:p>
    <w:p>
      <w:pPr>
        <w:spacing w:line="240" w:lineRule="auto"/>
        <w:jc w:val="center"/>
        <w:rPr>
          <w:b/>
          <w:bCs/>
          <w:sz w:val="21"/>
          <w:szCs w:val="21"/>
        </w:rPr>
      </w:pPr>
      <w:r>
        <w:rPr>
          <w:b/>
          <w:bCs/>
          <w:sz w:val="21"/>
          <w:szCs w:val="21"/>
        </w:rPr>
        <w:t>图1.1    验收报告编制的工作程序图</w:t>
      </w:r>
    </w:p>
    <w:p>
      <w:pPr>
        <w:pStyle w:val="3"/>
        <w:numPr>
          <w:ilvl w:val="1"/>
          <w:numId w:val="3"/>
        </w:numPr>
      </w:pPr>
      <w:bookmarkStart w:id="7" w:name="_Toc6234420"/>
      <w:r>
        <w:rPr>
          <w:rFonts w:hint="eastAsia"/>
        </w:rPr>
        <w:t xml:space="preserve"> </w:t>
      </w:r>
      <w:bookmarkStart w:id="8" w:name="_Toc18041"/>
      <w:r>
        <w:rPr>
          <w:rFonts w:hint="eastAsia"/>
        </w:rPr>
        <w:t>验收范围与内容</w:t>
      </w:r>
      <w:bookmarkEnd w:id="7"/>
      <w:bookmarkEnd w:id="8"/>
    </w:p>
    <w:p>
      <w:pPr>
        <w:ind w:firstLine="480" w:firstLineChars="200"/>
        <w:jc w:val="both"/>
        <w:rPr>
          <w:rFonts w:cs="Times New Roman" w:eastAsiaTheme="minorEastAsia"/>
          <w:szCs w:val="24"/>
        </w:rPr>
      </w:pPr>
      <w:r>
        <w:rPr>
          <w:rFonts w:hint="eastAsia" w:cs="Times New Roman" w:eastAsiaTheme="minorEastAsia"/>
          <w:szCs w:val="24"/>
        </w:rPr>
        <w:t>本次竣工环境保护验收范围为《</w:t>
      </w:r>
      <w:r>
        <w:rPr>
          <w:rFonts w:hint="eastAsia" w:cs="Times New Roman" w:eastAsiaTheme="minorEastAsia"/>
          <w:szCs w:val="24"/>
          <w:lang w:eastAsia="zh-CN"/>
        </w:rPr>
        <w:t>巫溪县华安墙材有限公司页岩砖加工技改项目</w:t>
      </w:r>
      <w:r>
        <w:rPr>
          <w:rFonts w:hint="eastAsia" w:cs="Times New Roman" w:eastAsiaTheme="minorEastAsia"/>
          <w:szCs w:val="24"/>
        </w:rPr>
        <w:t>环境影响报告表》全部建设工程内容</w:t>
      </w:r>
      <w:r>
        <w:rPr>
          <w:rFonts w:cs="Times New Roman" w:eastAsiaTheme="minorEastAsia"/>
          <w:szCs w:val="24"/>
        </w:rPr>
        <w:t>。</w:t>
      </w:r>
    </w:p>
    <w:p>
      <w:pPr>
        <w:pStyle w:val="3"/>
        <w:numPr>
          <w:ilvl w:val="1"/>
          <w:numId w:val="3"/>
        </w:numPr>
      </w:pPr>
      <w:bookmarkStart w:id="9" w:name="_Toc6234421"/>
      <w:bookmarkStart w:id="10" w:name="_Toc27428"/>
      <w:bookmarkStart w:id="11" w:name="_Toc427855234"/>
      <w:bookmarkStart w:id="12" w:name="_Toc427855133"/>
      <w:r>
        <w:rPr>
          <w:rFonts w:hint="eastAsia"/>
        </w:rPr>
        <w:t>致谢</w:t>
      </w:r>
      <w:bookmarkEnd w:id="9"/>
      <w:bookmarkEnd w:id="10"/>
    </w:p>
    <w:bookmarkEnd w:id="11"/>
    <w:bookmarkEnd w:id="12"/>
    <w:p>
      <w:pPr>
        <w:ind w:firstLine="480" w:firstLineChars="200"/>
        <w:jc w:val="both"/>
        <w:rPr>
          <w:rFonts w:cs="Times New Roman" w:eastAsiaTheme="minorEastAsia"/>
          <w:sz w:val="26"/>
          <w:szCs w:val="26"/>
        </w:rPr>
      </w:pPr>
      <w:r>
        <w:rPr>
          <w:rFonts w:hint="eastAsia" w:cs="Times New Roman" w:eastAsiaTheme="minorEastAsia"/>
          <w:szCs w:val="24"/>
        </w:rPr>
        <w:t>该报告在编制过程中得到了</w:t>
      </w:r>
      <w:r>
        <w:rPr>
          <w:rFonts w:hint="eastAsia" w:cs="Times New Roman" w:eastAsiaTheme="minorEastAsia"/>
          <w:szCs w:val="24"/>
          <w:lang w:eastAsia="zh-CN"/>
        </w:rPr>
        <w:t>重庆市巫溪县生态环境局</w:t>
      </w:r>
      <w:r>
        <w:rPr>
          <w:rFonts w:hint="eastAsia" w:cs="Times New Roman" w:eastAsiaTheme="minorEastAsia"/>
          <w:szCs w:val="24"/>
        </w:rPr>
        <w:t>的大力支持，以及</w:t>
      </w:r>
      <w:r>
        <w:rPr>
          <w:rFonts w:hint="eastAsia" w:cs="Times New Roman" w:eastAsiaTheme="minorEastAsia"/>
          <w:szCs w:val="24"/>
          <w:lang w:eastAsia="zh-CN"/>
        </w:rPr>
        <w:t>巫溪县华安墙材有限公司</w:t>
      </w:r>
      <w:r>
        <w:rPr>
          <w:rFonts w:hint="eastAsia" w:cs="Times New Roman" w:eastAsiaTheme="minorEastAsia"/>
          <w:szCs w:val="24"/>
        </w:rPr>
        <w:t>的密切配合，在此一并表示诚挚的谢意。</w:t>
      </w: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widowControl w:val="0"/>
        <w:jc w:val="both"/>
        <w:rPr>
          <w:rFonts w:cs="Times New Roman" w:eastAsiaTheme="minorEastAsia"/>
          <w:color w:val="000000" w:themeColor="text1"/>
          <w:sz w:val="26"/>
          <w:szCs w:val="26"/>
          <w14:textFill>
            <w14:solidFill>
              <w14:schemeClr w14:val="tx1"/>
            </w14:solidFill>
          </w14:textFill>
        </w:rPr>
        <w:sectPr>
          <w:headerReference r:id="rId13" w:type="default"/>
          <w:footerReference r:id="rId14" w:type="default"/>
          <w:pgSz w:w="11906" w:h="16838"/>
          <w:pgMar w:top="1440" w:right="1531" w:bottom="1440" w:left="1531" w:header="1134" w:footer="992" w:gutter="0"/>
          <w:pgBorders>
            <w:top w:val="none" w:sz="0" w:space="0"/>
            <w:left w:val="none" w:sz="0" w:space="0"/>
            <w:bottom w:val="none" w:sz="0" w:space="0"/>
            <w:right w:val="none" w:sz="0" w:space="0"/>
          </w:pgBorders>
          <w:pgNumType w:start="1"/>
          <w:cols w:space="720" w:num="1"/>
          <w:docGrid w:linePitch="312" w:charSpace="0"/>
        </w:sectPr>
      </w:pPr>
    </w:p>
    <w:bookmarkEnd w:id="4"/>
    <w:p>
      <w:pPr>
        <w:pStyle w:val="2"/>
      </w:pPr>
      <w:bookmarkStart w:id="13" w:name="_Toc22287"/>
      <w:r>
        <w:t>2 验收依据</w:t>
      </w:r>
      <w:bookmarkEnd w:id="13"/>
    </w:p>
    <w:p>
      <w:pPr>
        <w:pStyle w:val="3"/>
      </w:pPr>
      <w:bookmarkStart w:id="14" w:name="_Toc25088"/>
      <w:bookmarkStart w:id="15" w:name="_Toc534643335"/>
      <w:bookmarkStart w:id="16" w:name="_Toc6976"/>
      <w:bookmarkStart w:id="17" w:name="_Toc8017"/>
      <w:r>
        <w:t xml:space="preserve">2.1 </w:t>
      </w:r>
      <w:bookmarkEnd w:id="14"/>
      <w:bookmarkEnd w:id="15"/>
      <w:r>
        <w:rPr>
          <w:rFonts w:hint="eastAsia"/>
        </w:rPr>
        <w:t>环境保护有关法规、政策</w:t>
      </w:r>
      <w:bookmarkEnd w:id="16"/>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（2）《中华人民共和国环境影响评价法》（201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年修订）；</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（4）《中华人民共和国水污染防治法》（20</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8年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cs="Tahoma"/>
          <w:color w:val="000000" w:themeColor="text1"/>
          <w:kern w:val="2"/>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（6）《中华人民共和国噪声污染防治法》（</w:t>
      </w:r>
      <w:r>
        <w:rPr>
          <w:rFonts w:hint="eastAsia" w:ascii="Times New Roman" w:hAnsi="Times New Roman" w:eastAsia="宋体" w:cs="Times New Roman"/>
          <w:color w:val="000000" w:themeColor="text1"/>
          <w:sz w:val="24"/>
          <w:szCs w:val="24"/>
          <w14:textFill>
            <w14:solidFill>
              <w14:schemeClr w14:val="tx1"/>
            </w14:solidFill>
          </w14:textFill>
        </w:rPr>
        <w:t>20</w:t>
      </w:r>
      <w:r>
        <w:rPr>
          <w:rFonts w:hint="eastAsia" w:cs="Times New Roman"/>
          <w:color w:val="000000" w:themeColor="text1"/>
          <w:sz w:val="24"/>
          <w:szCs w:val="24"/>
          <w:lang w:val="en-US" w:eastAsia="zh-CN"/>
          <w14:textFill>
            <w14:solidFill>
              <w14:schemeClr w14:val="tx1"/>
            </w14:solidFill>
          </w14:textFill>
        </w:rPr>
        <w:t>22</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cs="Tahoma"/>
          <w:color w:val="000000" w:themeColor="text1"/>
          <w:kern w:val="2"/>
          <w:szCs w:val="24"/>
          <w14:textFill>
            <w14:solidFill>
              <w14:schemeClr w14:val="tx1"/>
            </w14:solidFill>
          </w14:textFill>
        </w:rPr>
        <w:t>。</w:t>
      </w:r>
    </w:p>
    <w:bookmarkEnd w:id="17"/>
    <w:p>
      <w:pPr>
        <w:pStyle w:val="3"/>
        <w:widowControl w:val="0"/>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18" w:name="_Toc13762"/>
      <w:r>
        <w:rPr>
          <w:rFonts w:cs="Times New Roman" w:eastAsiaTheme="minorEastAsia"/>
          <w:snapToGrid w:val="0"/>
          <w:color w:val="000000" w:themeColor="text1"/>
          <w:sz w:val="26"/>
          <w14:textFill>
            <w14:solidFill>
              <w14:schemeClr w14:val="tx1"/>
            </w14:solidFill>
          </w14:textFill>
        </w:rPr>
        <w:t>2.</w:t>
      </w:r>
      <w:r>
        <w:rPr>
          <w:rFonts w:hint="eastAsia" w:cs="Times New Roman" w:eastAsiaTheme="minorEastAsia"/>
          <w:snapToGrid w:val="0"/>
          <w:color w:val="000000" w:themeColor="text1"/>
          <w:sz w:val="26"/>
          <w:lang w:val="en-US" w:eastAsia="zh-CN"/>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w:t>
      </w:r>
      <w:r>
        <w:rPr>
          <w:rFonts w:hint="eastAsia" w:cs="Times New Roman" w:eastAsiaTheme="minorEastAsia"/>
          <w:snapToGrid w:val="0"/>
          <w:color w:val="000000" w:themeColor="text1"/>
          <w:sz w:val="26"/>
          <w14:textFill>
            <w14:solidFill>
              <w14:schemeClr w14:val="tx1"/>
            </w14:solidFill>
          </w14:textFill>
        </w:rPr>
        <w:t>建设项目竣工环境保护验收技术规范</w:t>
      </w:r>
      <w:bookmarkEnd w:id="18"/>
    </w:p>
    <w:p>
      <w:pPr>
        <w:ind w:firstLine="480" w:firstLineChars="200"/>
        <w:rPr>
          <w:rFonts w:hint="eastAsia"/>
        </w:rPr>
      </w:pPr>
      <w:r>
        <w:rPr>
          <w:rFonts w:hint="eastAsia"/>
        </w:rPr>
        <w:t>（1）《建设项目环境保护管理条例》（国务院令第</w:t>
      </w:r>
      <w:r>
        <w:rPr>
          <w:rFonts w:hint="eastAsia"/>
          <w:lang w:val="en-US" w:eastAsia="zh-CN"/>
        </w:rPr>
        <w:t>682</w:t>
      </w:r>
      <w:r>
        <w:rPr>
          <w:rFonts w:hint="eastAsia"/>
        </w:rPr>
        <w:t>号）；</w:t>
      </w:r>
    </w:p>
    <w:p>
      <w:pPr>
        <w:ind w:firstLine="480" w:firstLineChars="200"/>
        <w:rPr>
          <w:rFonts w:hint="eastAsia"/>
        </w:rPr>
      </w:pPr>
      <w:r>
        <w:rPr>
          <w:rFonts w:hint="eastAsia"/>
        </w:rPr>
        <w:t>（2）《建设项目竣工环境保护验收暂行办法》</w:t>
      </w:r>
      <w:r>
        <w:rPr>
          <w:rFonts w:hint="eastAsia"/>
          <w:lang w:eastAsia="zh-CN"/>
        </w:rPr>
        <w:t>（</w:t>
      </w:r>
      <w:r>
        <w:rPr>
          <w:rFonts w:hint="eastAsia"/>
        </w:rPr>
        <w:t>国环规环评〔2017〕4号</w:t>
      </w:r>
      <w:r>
        <w:rPr>
          <w:rFonts w:hint="eastAsia"/>
          <w:lang w:eastAsia="zh-CN"/>
        </w:rPr>
        <w:t>）</w:t>
      </w:r>
      <w:r>
        <w:rPr>
          <w:rFonts w:hint="eastAsia"/>
        </w:rPr>
        <w:t>；</w:t>
      </w:r>
    </w:p>
    <w:p>
      <w:pPr>
        <w:ind w:firstLine="480" w:firstLineChars="200"/>
        <w:rPr>
          <w:rFonts w:hint="eastAsia"/>
        </w:rPr>
      </w:pPr>
      <w:r>
        <w:rPr>
          <w:rFonts w:hint="eastAsia"/>
        </w:rPr>
        <w:t>（3）《建设项目环境影响评价分类管理名录》（2021年版）；</w:t>
      </w:r>
    </w:p>
    <w:p>
      <w:pPr>
        <w:ind w:firstLine="480" w:firstLineChars="200"/>
        <w:rPr>
          <w:rFonts w:hint="eastAsia"/>
        </w:rPr>
      </w:pPr>
      <w:r>
        <w:rPr>
          <w:rFonts w:hint="eastAsia"/>
        </w:rPr>
        <w:t>（4）《突发环境事件应急预案管理暂行办法》环发[2010]113号；</w:t>
      </w:r>
    </w:p>
    <w:p>
      <w:pPr>
        <w:ind w:firstLine="480" w:firstLineChars="200"/>
        <w:rPr>
          <w:rFonts w:hint="eastAsia"/>
        </w:rPr>
      </w:pPr>
      <w:r>
        <w:rPr>
          <w:rFonts w:hint="eastAsia"/>
        </w:rPr>
        <w:t>（5）《国务院关于印发水污染防治行动计划的通知》（国发[2015]17号）；</w:t>
      </w:r>
    </w:p>
    <w:p>
      <w:pPr>
        <w:ind w:firstLine="480" w:firstLineChars="200"/>
        <w:rPr>
          <w:rFonts w:hint="eastAsia"/>
        </w:rPr>
      </w:pPr>
      <w:r>
        <w:rPr>
          <w:rFonts w:hint="eastAsia"/>
        </w:rPr>
        <w:t>（6） 《建设项目竣工环境保护验收技术指南 污染影响类》</w:t>
      </w:r>
      <w:r>
        <w:rPr>
          <w:rFonts w:hint="eastAsia"/>
          <w:lang w:eastAsia="zh-CN"/>
        </w:rPr>
        <w:t>（</w:t>
      </w:r>
      <w:r>
        <w:rPr>
          <w:rFonts w:hint="eastAsia"/>
        </w:rPr>
        <w:t>生态环境部公告2018年 第9号</w:t>
      </w:r>
      <w:r>
        <w:rPr>
          <w:rFonts w:hint="eastAsia"/>
          <w:lang w:eastAsia="zh-CN"/>
        </w:rPr>
        <w:t>）</w:t>
      </w:r>
      <w:r>
        <w:rPr>
          <w:rFonts w:hint="eastAsia"/>
        </w:rPr>
        <w:t>。</w:t>
      </w:r>
    </w:p>
    <w:p>
      <w:pPr>
        <w:ind w:firstLine="480" w:firstLineChars="200"/>
        <w:rPr>
          <w:rFonts w:hint="eastAsia"/>
        </w:rPr>
      </w:pPr>
      <w:r>
        <w:rPr>
          <w:rFonts w:hint="eastAsia"/>
        </w:rPr>
        <w:t>（7）重庆市人民代表大会常务委员会公告[2010]第22号《重庆市环境保护条例》</w:t>
      </w:r>
      <w:r>
        <w:rPr>
          <w:rFonts w:hint="eastAsia"/>
          <w:lang w:eastAsia="zh-CN"/>
        </w:rPr>
        <w:t>（</w:t>
      </w:r>
      <w:r>
        <w:rPr>
          <w:rFonts w:hint="eastAsia"/>
        </w:rPr>
        <w:t>修正</w:t>
      </w:r>
      <w:r>
        <w:rPr>
          <w:rFonts w:hint="eastAsia"/>
          <w:lang w:eastAsia="zh-CN"/>
        </w:rPr>
        <w:t>）</w:t>
      </w:r>
      <w:r>
        <w:rPr>
          <w:rFonts w:hint="eastAsia"/>
        </w:rPr>
        <w:t>；</w:t>
      </w:r>
    </w:p>
    <w:p>
      <w:pPr>
        <w:ind w:firstLine="480" w:firstLineChars="200"/>
      </w:pPr>
      <w:r>
        <w:rPr>
          <w:rFonts w:hint="eastAsia"/>
        </w:rPr>
        <w:t>（8）重庆市人民政府第270号《重庆市环境噪声污染防治办法》</w:t>
      </w:r>
      <w:r>
        <w:t>。</w:t>
      </w:r>
    </w:p>
    <w:p>
      <w:pPr>
        <w:pStyle w:val="3"/>
        <w:widowControl w:val="0"/>
        <w:numPr>
          <w:ilvl w:val="1"/>
          <w:numId w:val="0"/>
        </w:numPr>
        <w:adjustRightInd/>
        <w:snapToGrid/>
        <w:textAlignment w:val="baseline"/>
        <w:rPr>
          <w:rFonts w:ascii="Times New Roman" w:hAnsi="Times New Roman" w:cs="Times New Roman" w:eastAsiaTheme="minorEastAsia"/>
          <w:snapToGrid w:val="0"/>
          <w:color w:val="000000" w:themeColor="text1"/>
          <w:sz w:val="26"/>
          <w14:textFill>
            <w14:solidFill>
              <w14:schemeClr w14:val="tx1"/>
            </w14:solidFill>
          </w14:textFill>
        </w:rPr>
      </w:pPr>
      <w:bookmarkStart w:id="19" w:name="_Toc29736"/>
      <w:r>
        <w:rPr>
          <w:rFonts w:ascii="Times New Roman" w:hAnsi="Times New Roman" w:cs="Times New Roman" w:eastAsiaTheme="minorEastAsia"/>
          <w:snapToGrid w:val="0"/>
          <w:color w:val="000000" w:themeColor="text1"/>
          <w:sz w:val="26"/>
          <w14:textFill>
            <w14:solidFill>
              <w14:schemeClr w14:val="tx1"/>
            </w14:solidFill>
          </w14:textFill>
        </w:rPr>
        <w:t>2.</w:t>
      </w:r>
      <w:r>
        <w:rPr>
          <w:rFonts w:hint="eastAsia" w:ascii="Times New Roman" w:hAnsi="Times New Roman" w:cs="Times New Roman" w:eastAsiaTheme="minorEastAsia"/>
          <w:snapToGrid w:val="0"/>
          <w:color w:val="000000" w:themeColor="text1"/>
          <w:sz w:val="26"/>
          <w:lang w:val="en-US" w:eastAsia="zh-CN"/>
          <w14:textFill>
            <w14:solidFill>
              <w14:schemeClr w14:val="tx1"/>
            </w14:solidFill>
          </w14:textFill>
        </w:rPr>
        <w:t>3</w:t>
      </w:r>
      <w:r>
        <w:rPr>
          <w:rFonts w:ascii="Times New Roman" w:hAnsi="Times New Roman" w:cs="Times New Roman" w:eastAsiaTheme="minorEastAsia"/>
          <w:snapToGrid w:val="0"/>
          <w:color w:val="000000" w:themeColor="text1"/>
          <w:sz w:val="26"/>
          <w14:textFill>
            <w14:solidFill>
              <w14:schemeClr w14:val="tx1"/>
            </w14:solidFill>
          </w14:textFill>
        </w:rPr>
        <w:t xml:space="preserve"> 建设项目</w:t>
      </w:r>
      <w:r>
        <w:rPr>
          <w:rFonts w:hint="eastAsia" w:ascii="Times New Roman" w:hAnsi="Times New Roman" w:cs="Times New Roman" w:eastAsiaTheme="minorEastAsia"/>
          <w:snapToGrid w:val="0"/>
          <w:color w:val="000000" w:themeColor="text1"/>
          <w:sz w:val="26"/>
          <w14:textFill>
            <w14:solidFill>
              <w14:schemeClr w14:val="tx1"/>
            </w14:solidFill>
          </w14:textFill>
        </w:rPr>
        <w:t>环境影响报告表</w:t>
      </w:r>
      <w:r>
        <w:rPr>
          <w:rFonts w:ascii="Times New Roman" w:hAnsi="Times New Roman" w:cs="Times New Roman" w:eastAsiaTheme="minorEastAsia"/>
          <w:snapToGrid w:val="0"/>
          <w:color w:val="000000" w:themeColor="text1"/>
          <w:sz w:val="26"/>
          <w14:textFill>
            <w14:solidFill>
              <w14:schemeClr w14:val="tx1"/>
            </w14:solidFill>
          </w14:textFill>
        </w:rPr>
        <w:t>及审批部门审批决定</w:t>
      </w:r>
      <w:bookmarkEnd w:id="19"/>
    </w:p>
    <w:p>
      <w:pPr>
        <w:ind w:firstLine="480" w:firstLineChars="200"/>
      </w:pPr>
      <w:r>
        <w:t>（1）《</w:t>
      </w:r>
      <w:r>
        <w:rPr>
          <w:rFonts w:hint="eastAsia"/>
          <w:lang w:eastAsia="zh-CN"/>
        </w:rPr>
        <w:t>巫溪县华安墙材有限公司页岩砖加工技改项目</w:t>
      </w:r>
      <w:r>
        <w:t>环境影响报告</w:t>
      </w:r>
      <w:r>
        <w:rPr>
          <w:rFonts w:hint="eastAsia"/>
        </w:rPr>
        <w:t>表</w:t>
      </w:r>
      <w:r>
        <w:t>》（</w:t>
      </w:r>
      <w:r>
        <w:rPr>
          <w:rFonts w:hint="eastAsia"/>
          <w:lang w:eastAsia="zh-CN"/>
        </w:rPr>
        <w:t>重庆绿丰环保科技有限公司</w:t>
      </w:r>
      <w:r>
        <w:t>，</w:t>
      </w:r>
      <w:r>
        <w:rPr>
          <w:rFonts w:hint="eastAsia"/>
          <w:lang w:eastAsia="zh-CN"/>
        </w:rPr>
        <w:t>20</w:t>
      </w:r>
      <w:r>
        <w:rPr>
          <w:rFonts w:hint="eastAsia"/>
          <w:lang w:val="en-US" w:eastAsia="zh-CN"/>
        </w:rPr>
        <w:t>23</w:t>
      </w:r>
      <w:r>
        <w:rPr>
          <w:rFonts w:hint="eastAsia"/>
          <w:lang w:eastAsia="zh-CN"/>
        </w:rPr>
        <w:t>年</w:t>
      </w:r>
      <w:r>
        <w:rPr>
          <w:rFonts w:hint="eastAsia"/>
          <w:lang w:val="en-US" w:eastAsia="zh-CN"/>
        </w:rPr>
        <w:t>12</w:t>
      </w:r>
      <w:r>
        <w:rPr>
          <w:rFonts w:hint="eastAsia"/>
          <w:lang w:eastAsia="zh-CN"/>
        </w:rPr>
        <w:t>月</w:t>
      </w:r>
      <w:r>
        <w:t>）；</w:t>
      </w:r>
    </w:p>
    <w:p>
      <w:pPr>
        <w:ind w:firstLine="480" w:firstLineChars="200"/>
        <w:rPr>
          <w:rFonts w:hint="eastAsia" w:eastAsia="宋体"/>
          <w:lang w:eastAsia="zh-CN"/>
        </w:rPr>
      </w:pPr>
      <w:r>
        <w:t>（2）《重庆市建设项目环境影响评价文件批准书》（</w:t>
      </w:r>
      <w:r>
        <w:rPr>
          <w:rFonts w:hint="eastAsia"/>
          <w:lang w:eastAsia="zh-CN"/>
        </w:rPr>
        <w:t>渝（巫溪 ）环准〔2024〕2号</w:t>
      </w:r>
      <w:r>
        <w:rPr>
          <w:rFonts w:hint="eastAsia"/>
        </w:rPr>
        <w:t>，</w:t>
      </w:r>
      <w:r>
        <w:rPr>
          <w:rFonts w:hint="eastAsia"/>
          <w:lang w:eastAsia="zh-CN"/>
        </w:rPr>
        <w:t>20</w:t>
      </w:r>
      <w:r>
        <w:rPr>
          <w:rFonts w:hint="eastAsia"/>
          <w:lang w:val="en-US" w:eastAsia="zh-CN"/>
        </w:rPr>
        <w:t>24</w:t>
      </w:r>
      <w:r>
        <w:rPr>
          <w:rFonts w:hint="eastAsia"/>
          <w:lang w:eastAsia="zh-CN"/>
        </w:rPr>
        <w:t>年</w:t>
      </w:r>
      <w:r>
        <w:rPr>
          <w:rFonts w:hint="eastAsia"/>
          <w:lang w:val="en-US" w:eastAsia="zh-CN"/>
        </w:rPr>
        <w:t>01</w:t>
      </w:r>
      <w:r>
        <w:rPr>
          <w:rFonts w:hint="eastAsia"/>
          <w:lang w:eastAsia="zh-CN"/>
        </w:rPr>
        <w:t>月</w:t>
      </w:r>
      <w:r>
        <w:rPr>
          <w:rFonts w:hint="eastAsia"/>
          <w:lang w:val="en-US" w:eastAsia="zh-CN"/>
        </w:rPr>
        <w:t>18</w:t>
      </w:r>
      <w:r>
        <w:rPr>
          <w:rFonts w:hint="eastAsia"/>
          <w:lang w:eastAsia="zh-CN"/>
        </w:rPr>
        <w:t>日</w:t>
      </w:r>
      <w:r>
        <w:t>）</w:t>
      </w:r>
      <w:r>
        <w:rPr>
          <w:rFonts w:hint="eastAsia"/>
          <w:lang w:eastAsia="zh-CN"/>
        </w:rPr>
        <w:t>；</w:t>
      </w:r>
    </w:p>
    <w:p>
      <w:pPr>
        <w:ind w:firstLine="480" w:firstLineChars="200"/>
      </w:pPr>
      <w:r>
        <w:t>（</w:t>
      </w:r>
      <w:r>
        <w:rPr>
          <w:rFonts w:hint="eastAsia"/>
          <w:lang w:val="en-US" w:eastAsia="zh-CN"/>
        </w:rPr>
        <w:t>3</w:t>
      </w:r>
      <w:r>
        <w:t>）</w:t>
      </w:r>
      <w:r>
        <w:rPr>
          <w:rFonts w:hint="eastAsia"/>
        </w:rPr>
        <w:t>建设单位提供的其他相关资料</w:t>
      </w:r>
      <w:r>
        <w:t>。</w:t>
      </w:r>
    </w:p>
    <w:p>
      <w:pPr>
        <w:widowControl w:val="0"/>
        <w:tabs>
          <w:tab w:val="left" w:pos="300"/>
          <w:tab w:val="left" w:pos="423"/>
          <w:tab w:val="left" w:pos="525"/>
        </w:tabs>
        <w:ind w:firstLine="520"/>
        <w:rPr>
          <w:rFonts w:cs="Times New Roman" w:eastAsiaTheme="minorEastAsia"/>
          <w:color w:val="000000" w:themeColor="text1"/>
          <w:szCs w:val="24"/>
          <w14:textFill>
            <w14:solidFill>
              <w14:schemeClr w14:val="tx1"/>
            </w14:solidFill>
          </w14:textFill>
        </w:rPr>
        <w:sectPr>
          <w:pgSz w:w="11906" w:h="16838"/>
          <w:pgMar w:top="1440" w:right="1531" w:bottom="1440" w:left="1531" w:header="851" w:footer="992" w:gutter="0"/>
          <w:pgBorders>
            <w:top w:val="none" w:sz="0" w:space="0"/>
            <w:left w:val="none" w:sz="0" w:space="0"/>
            <w:bottom w:val="none" w:sz="0" w:space="0"/>
            <w:right w:val="none" w:sz="0" w:space="0"/>
          </w:pgBorders>
          <w:cols w:space="720" w:num="1"/>
          <w:docGrid w:linePitch="312" w:charSpace="0"/>
        </w:sectPr>
      </w:pPr>
    </w:p>
    <w:p>
      <w:pPr>
        <w:pStyle w:val="2"/>
      </w:pPr>
      <w:bookmarkStart w:id="20" w:name="_Toc1444"/>
      <w:bookmarkStart w:id="21" w:name="_Toc497833569"/>
      <w:bookmarkStart w:id="22" w:name="_Toc367196750"/>
      <w:r>
        <w:t>3 项目建设情况</w:t>
      </w:r>
      <w:bookmarkEnd w:id="20"/>
    </w:p>
    <w:p>
      <w:pPr>
        <w:pStyle w:val="3"/>
      </w:pPr>
      <w:bookmarkStart w:id="23" w:name="_Toc18387"/>
      <w:r>
        <w:t>3.1 地理位置及平面布置</w:t>
      </w:r>
      <w:bookmarkEnd w:id="23"/>
    </w:p>
    <w:bookmarkEnd w:id="21"/>
    <w:p>
      <w:pPr>
        <w:pStyle w:val="4"/>
      </w:pPr>
      <w:r>
        <w:t>3.1.1 项目地理位置</w:t>
      </w:r>
    </w:p>
    <w:p>
      <w:pPr>
        <w:ind w:firstLine="480"/>
        <w:rPr>
          <w:color w:val="000000"/>
        </w:rPr>
      </w:pPr>
      <w:r>
        <w:rPr>
          <w:color w:val="000000"/>
        </w:rPr>
        <w:t>重庆市</w:t>
      </w:r>
      <w:r>
        <w:rPr>
          <w:rFonts w:hint="eastAsia"/>
          <w:color w:val="000000"/>
        </w:rPr>
        <w:t>巫溪县位于重庆市东北部，处大巴山东段南麓，是典型的山区农业县。巫溪县地处渝陕鄂三省交界，东连湖北省神农架林区、竹溪县，南接奉节县、巫山县，西临开州区、云阳县，北与城口县和陕西省镇坪县接壤</w:t>
      </w:r>
      <w:r>
        <w:rPr>
          <w:color w:val="000000"/>
        </w:rPr>
        <w:t>。</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本项目位于巫溪县上磺镇上磺村一社，具体地理位置见附图1。</w:t>
      </w:r>
    </w:p>
    <w:p>
      <w:pPr>
        <w:pStyle w:val="4"/>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平面布局</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主要建设内容为新建1个污泥储存间及1套输送系统，位于现有原料堆场南侧，占地面积约300m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，距离厂区办公室及厂区周边居民均较远。新建食堂1座，占地面积约200m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，其他工程均依托华安墙材现有设施。</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现有华安墙材厂区西侧为省道201，延申至厂区入口，原料堆场位于厂区西北侧，堆场东侧为上料、破碎筛分区域。厂区南侧布设2条隧道窑，隧道窑南侧为成品堆场。办公生活区域位于厂区大门内南侧。项目采矿区位于厂区北侧。</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项目生产区及办公生活区进行了有效分离，可以有效避免相互干扰和交叉污染。生产区内各生产区域有效分离开，形成了各自独立的生产系统，既可以相互协作，又不相互干扰。本项目噪声设备尽量远离周边环境保护目标布置，有效降低了生产噪声对周边环境的影响，不存在外部环境制约因素影响。</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综上所述，本项目基本不改变厂区现有平面布局，项目总平面布置见附图2。</w:t>
      </w:r>
    </w:p>
    <w:p>
      <w:pPr>
        <w:pStyle w:val="4"/>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3</w:t>
      </w:r>
      <w:r>
        <w:rPr>
          <w:rFonts w:cs="Times New Roman" w:eastAsiaTheme="minorEastAsia"/>
          <w:snapToGrid w:val="0"/>
          <w:color w:val="000000" w:themeColor="text1"/>
          <w:sz w:val="26"/>
          <w14:textFill>
            <w14:solidFill>
              <w14:schemeClr w14:val="tx1"/>
            </w14:solidFill>
          </w14:textFill>
        </w:rPr>
        <w:t xml:space="preserve"> 项目外环境及环境保护目标分布</w:t>
      </w:r>
    </w:p>
    <w:p>
      <w:pPr>
        <w:spacing w:line="360" w:lineRule="auto"/>
        <w:ind w:firstLine="56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巫溪县上磺镇上磺村一社，根据现场调查，主要以乡镇生态系统为主。项目西侧为省道201，北部和东部均为山地，四周有少量散户居民。主要大气环境保护目标为散住居民，项目评价范围内无风景名胜、自然保护区和重点文物保护单位等，不涉及学校、医院、养殖场等。本次验收主要环境保护目标分布情况具体见表3-1。</w:t>
      </w:r>
    </w:p>
    <w:p>
      <w:pPr>
        <w:pStyle w:val="83"/>
        <w:bidi w:val="0"/>
        <w:rPr>
          <w:rFonts w:hint="eastAsia" w:cs="Times New Roman" w:eastAsiaTheme="minorEastAsia"/>
          <w:b/>
          <w:bCs/>
          <w:sz w:val="21"/>
          <w:szCs w:val="21"/>
        </w:rPr>
      </w:pPr>
      <w:r>
        <w:rPr>
          <w:rFonts w:cs="Times New Roman" w:eastAsiaTheme="minorEastAsia"/>
          <w:b/>
          <w:bCs/>
          <w:sz w:val="21"/>
          <w:szCs w:val="21"/>
        </w:rPr>
        <w:t xml:space="preserve">表3-1 </w:t>
      </w:r>
      <w:r>
        <w:rPr>
          <w:rFonts w:hint="eastAsia" w:cs="Times New Roman" w:eastAsiaTheme="minorEastAsia"/>
          <w:b/>
          <w:bCs/>
          <w:sz w:val="21"/>
          <w:szCs w:val="21"/>
        </w:rPr>
        <w:t>主要环境保护目标分布情况一览表</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4"/>
        <w:gridCol w:w="1122"/>
        <w:gridCol w:w="820"/>
        <w:gridCol w:w="845"/>
        <w:gridCol w:w="1530"/>
        <w:gridCol w:w="1212"/>
        <w:gridCol w:w="914"/>
        <w:gridCol w:w="732"/>
        <w:gridCol w:w="1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6" w:type="pct"/>
            <w:vMerge w:val="restart"/>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序号</w:t>
            </w:r>
          </w:p>
        </w:tc>
        <w:tc>
          <w:tcPr>
            <w:tcW w:w="621" w:type="pct"/>
            <w:vMerge w:val="restart"/>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名称</w:t>
            </w:r>
          </w:p>
        </w:tc>
        <w:tc>
          <w:tcPr>
            <w:tcW w:w="922" w:type="pct"/>
            <w:gridSpan w:val="2"/>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坐标</w:t>
            </w:r>
          </w:p>
        </w:tc>
        <w:tc>
          <w:tcPr>
            <w:tcW w:w="847" w:type="pct"/>
            <w:vMerge w:val="restart"/>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保护内容</w:t>
            </w:r>
          </w:p>
        </w:tc>
        <w:tc>
          <w:tcPr>
            <w:tcW w:w="671" w:type="pct"/>
            <w:vMerge w:val="restart"/>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环境功能区</w:t>
            </w:r>
          </w:p>
        </w:tc>
        <w:tc>
          <w:tcPr>
            <w:tcW w:w="506" w:type="pct"/>
            <w:vMerge w:val="restart"/>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相对厂址</w:t>
            </w:r>
          </w:p>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方位</w:t>
            </w:r>
          </w:p>
        </w:tc>
        <w:tc>
          <w:tcPr>
            <w:tcW w:w="405" w:type="pct"/>
            <w:vMerge w:val="restart"/>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高差</w:t>
            </w:r>
          </w:p>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/m</w:t>
            </w:r>
          </w:p>
        </w:tc>
        <w:tc>
          <w:tcPr>
            <w:tcW w:w="677" w:type="pct"/>
            <w:vMerge w:val="restart"/>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相对厂界距离/m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6" w:type="pct"/>
            <w:vMerge w:val="continue"/>
            <w:tcBorders>
              <w:top w:val="nil"/>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21" w:type="pct"/>
            <w:vMerge w:val="continue"/>
            <w:tcBorders>
              <w:top w:val="nil"/>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54" w:type="pct"/>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X</w:t>
            </w:r>
          </w:p>
        </w:tc>
        <w:tc>
          <w:tcPr>
            <w:tcW w:w="467" w:type="pct"/>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Y</w:t>
            </w:r>
          </w:p>
        </w:tc>
        <w:tc>
          <w:tcPr>
            <w:tcW w:w="847" w:type="pct"/>
            <w:vMerge w:val="continue"/>
            <w:tcBorders>
              <w:top w:val="nil"/>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71" w:type="pct"/>
            <w:vMerge w:val="continue"/>
            <w:tcBorders>
              <w:top w:val="nil"/>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06" w:type="pct"/>
            <w:vMerge w:val="continue"/>
            <w:tcBorders>
              <w:top w:val="nil"/>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05" w:type="pct"/>
            <w:vMerge w:val="continue"/>
            <w:tcBorders>
              <w:top w:val="nil"/>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77" w:type="pct"/>
            <w:vMerge w:val="continue"/>
            <w:tcBorders>
              <w:top w:val="nil"/>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6"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w:t>
            </w:r>
          </w:p>
        </w:tc>
        <w:tc>
          <w:tcPr>
            <w:tcW w:w="621"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1#居民点</w:t>
            </w:r>
          </w:p>
        </w:tc>
        <w:tc>
          <w:tcPr>
            <w:tcW w:w="454"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-63</w:t>
            </w:r>
          </w:p>
        </w:tc>
        <w:tc>
          <w:tcPr>
            <w:tcW w:w="46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w:t>
            </w:r>
          </w:p>
        </w:tc>
        <w:tc>
          <w:tcPr>
            <w:tcW w:w="84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70户，210人</w:t>
            </w:r>
          </w:p>
        </w:tc>
        <w:tc>
          <w:tcPr>
            <w:tcW w:w="671" w:type="pct"/>
            <w:vMerge w:val="restar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大气环境</w:t>
            </w:r>
          </w:p>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二类</w:t>
            </w:r>
          </w:p>
        </w:tc>
        <w:tc>
          <w:tcPr>
            <w:tcW w:w="506"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w:t>
            </w:r>
          </w:p>
        </w:tc>
        <w:tc>
          <w:tcPr>
            <w:tcW w:w="405"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w:t>
            </w:r>
          </w:p>
        </w:tc>
        <w:tc>
          <w:tcPr>
            <w:tcW w:w="67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63~550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6"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w:t>
            </w:r>
          </w:p>
        </w:tc>
        <w:tc>
          <w:tcPr>
            <w:tcW w:w="621"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2#居民点</w:t>
            </w:r>
          </w:p>
        </w:tc>
        <w:tc>
          <w:tcPr>
            <w:tcW w:w="454"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-440</w:t>
            </w:r>
          </w:p>
        </w:tc>
        <w:tc>
          <w:tcPr>
            <w:tcW w:w="46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190</w:t>
            </w:r>
          </w:p>
        </w:tc>
        <w:tc>
          <w:tcPr>
            <w:tcW w:w="84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22户，66人</w:t>
            </w:r>
          </w:p>
        </w:tc>
        <w:tc>
          <w:tcPr>
            <w:tcW w:w="671"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06"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NW</w:t>
            </w:r>
          </w:p>
        </w:tc>
        <w:tc>
          <w:tcPr>
            <w:tcW w:w="405"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w:t>
            </w:r>
          </w:p>
        </w:tc>
        <w:tc>
          <w:tcPr>
            <w:tcW w:w="67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490~708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6"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w:t>
            </w:r>
          </w:p>
        </w:tc>
        <w:tc>
          <w:tcPr>
            <w:tcW w:w="621"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3#居民点</w:t>
            </w:r>
          </w:p>
        </w:tc>
        <w:tc>
          <w:tcPr>
            <w:tcW w:w="454"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-73</w:t>
            </w:r>
          </w:p>
        </w:tc>
        <w:tc>
          <w:tcPr>
            <w:tcW w:w="46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251</w:t>
            </w:r>
          </w:p>
        </w:tc>
        <w:tc>
          <w:tcPr>
            <w:tcW w:w="84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7户，21人</w:t>
            </w:r>
          </w:p>
        </w:tc>
        <w:tc>
          <w:tcPr>
            <w:tcW w:w="671"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06"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NW</w:t>
            </w:r>
          </w:p>
        </w:tc>
        <w:tc>
          <w:tcPr>
            <w:tcW w:w="405"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+36</w:t>
            </w:r>
          </w:p>
        </w:tc>
        <w:tc>
          <w:tcPr>
            <w:tcW w:w="67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267~410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6"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w:t>
            </w:r>
          </w:p>
        </w:tc>
        <w:tc>
          <w:tcPr>
            <w:tcW w:w="621"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4#居民点</w:t>
            </w:r>
          </w:p>
        </w:tc>
        <w:tc>
          <w:tcPr>
            <w:tcW w:w="454"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-287</w:t>
            </w:r>
          </w:p>
        </w:tc>
        <w:tc>
          <w:tcPr>
            <w:tcW w:w="46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371</w:t>
            </w:r>
          </w:p>
        </w:tc>
        <w:tc>
          <w:tcPr>
            <w:tcW w:w="84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17户，51人</w:t>
            </w:r>
          </w:p>
        </w:tc>
        <w:tc>
          <w:tcPr>
            <w:tcW w:w="671"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06"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NW</w:t>
            </w:r>
          </w:p>
        </w:tc>
        <w:tc>
          <w:tcPr>
            <w:tcW w:w="405"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+50</w:t>
            </w:r>
          </w:p>
        </w:tc>
        <w:tc>
          <w:tcPr>
            <w:tcW w:w="677"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490~765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6"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w:t>
            </w:r>
          </w:p>
        </w:tc>
        <w:tc>
          <w:tcPr>
            <w:tcW w:w="621"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5#居民点</w:t>
            </w:r>
          </w:p>
        </w:tc>
        <w:tc>
          <w:tcPr>
            <w:tcW w:w="454"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-500</w:t>
            </w:r>
          </w:p>
        </w:tc>
        <w:tc>
          <w:tcPr>
            <w:tcW w:w="467"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-80</w:t>
            </w:r>
          </w:p>
        </w:tc>
        <w:tc>
          <w:tcPr>
            <w:tcW w:w="847"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45户，135人</w:t>
            </w:r>
          </w:p>
        </w:tc>
        <w:tc>
          <w:tcPr>
            <w:tcW w:w="671"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06"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SW</w:t>
            </w:r>
          </w:p>
        </w:tc>
        <w:tc>
          <w:tcPr>
            <w:tcW w:w="405"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-34</w:t>
            </w:r>
          </w:p>
        </w:tc>
        <w:tc>
          <w:tcPr>
            <w:tcW w:w="677"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357~440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6"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6</w:t>
            </w:r>
          </w:p>
        </w:tc>
        <w:tc>
          <w:tcPr>
            <w:tcW w:w="621"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6#居民点</w:t>
            </w:r>
          </w:p>
        </w:tc>
        <w:tc>
          <w:tcPr>
            <w:tcW w:w="45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-228</w:t>
            </w:r>
          </w:p>
        </w:tc>
        <w:tc>
          <w:tcPr>
            <w:tcW w:w="46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-503</w:t>
            </w:r>
          </w:p>
        </w:tc>
        <w:tc>
          <w:tcPr>
            <w:tcW w:w="84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120户，360人</w:t>
            </w:r>
          </w:p>
        </w:tc>
        <w:tc>
          <w:tcPr>
            <w:tcW w:w="671"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06"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SW</w:t>
            </w:r>
          </w:p>
        </w:tc>
        <w:tc>
          <w:tcPr>
            <w:tcW w:w="405"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-20</w:t>
            </w:r>
          </w:p>
        </w:tc>
        <w:tc>
          <w:tcPr>
            <w:tcW w:w="67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557~890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6"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7</w:t>
            </w:r>
          </w:p>
        </w:tc>
        <w:tc>
          <w:tcPr>
            <w:tcW w:w="621"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7#居民点</w:t>
            </w:r>
          </w:p>
        </w:tc>
        <w:tc>
          <w:tcPr>
            <w:tcW w:w="45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212</w:t>
            </w:r>
          </w:p>
        </w:tc>
        <w:tc>
          <w:tcPr>
            <w:tcW w:w="46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-66</w:t>
            </w:r>
          </w:p>
        </w:tc>
        <w:tc>
          <w:tcPr>
            <w:tcW w:w="84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10户，30人</w:t>
            </w:r>
          </w:p>
        </w:tc>
        <w:tc>
          <w:tcPr>
            <w:tcW w:w="671"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06"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SE</w:t>
            </w:r>
          </w:p>
        </w:tc>
        <w:tc>
          <w:tcPr>
            <w:tcW w:w="405"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w:t>
            </w:r>
          </w:p>
        </w:tc>
        <w:tc>
          <w:tcPr>
            <w:tcW w:w="67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231~340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6"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w:t>
            </w:r>
          </w:p>
        </w:tc>
        <w:tc>
          <w:tcPr>
            <w:tcW w:w="621"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8#居民点</w:t>
            </w:r>
          </w:p>
        </w:tc>
        <w:tc>
          <w:tcPr>
            <w:tcW w:w="45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191</w:t>
            </w:r>
          </w:p>
        </w:tc>
        <w:tc>
          <w:tcPr>
            <w:tcW w:w="46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42</w:t>
            </w:r>
          </w:p>
        </w:tc>
        <w:tc>
          <w:tcPr>
            <w:tcW w:w="84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2户，6人</w:t>
            </w:r>
          </w:p>
        </w:tc>
        <w:tc>
          <w:tcPr>
            <w:tcW w:w="671"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06"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E</w:t>
            </w:r>
          </w:p>
        </w:tc>
        <w:tc>
          <w:tcPr>
            <w:tcW w:w="405"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+7</w:t>
            </w:r>
          </w:p>
        </w:tc>
        <w:tc>
          <w:tcPr>
            <w:tcW w:w="67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200~271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6"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9</w:t>
            </w:r>
          </w:p>
        </w:tc>
        <w:tc>
          <w:tcPr>
            <w:tcW w:w="621"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9#居民点</w:t>
            </w:r>
          </w:p>
        </w:tc>
        <w:tc>
          <w:tcPr>
            <w:tcW w:w="45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253</w:t>
            </w:r>
          </w:p>
        </w:tc>
        <w:tc>
          <w:tcPr>
            <w:tcW w:w="46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-77</w:t>
            </w:r>
          </w:p>
        </w:tc>
        <w:tc>
          <w:tcPr>
            <w:tcW w:w="84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40户，120人</w:t>
            </w:r>
          </w:p>
        </w:tc>
        <w:tc>
          <w:tcPr>
            <w:tcW w:w="671" w:type="pct"/>
            <w:vMerge w:val="continue"/>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06"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E</w:t>
            </w:r>
          </w:p>
        </w:tc>
        <w:tc>
          <w:tcPr>
            <w:tcW w:w="405"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-15</w:t>
            </w:r>
          </w:p>
        </w:tc>
        <w:tc>
          <w:tcPr>
            <w:tcW w:w="67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465~597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9"/>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备注：以华安墙材厂房大门为坐标原点</w:t>
            </w:r>
          </w:p>
        </w:tc>
      </w:tr>
    </w:tbl>
    <w:p>
      <w:pPr>
        <w:pStyle w:val="3"/>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24" w:name="_Toc497833573"/>
      <w:bookmarkStart w:id="25" w:name="_Toc18256"/>
      <w:r>
        <w:rPr>
          <w:rFonts w:cs="Times New Roman" w:eastAsiaTheme="minorEastAsia"/>
          <w:snapToGrid w:val="0"/>
          <w:color w:val="000000" w:themeColor="text1"/>
          <w:sz w:val="26"/>
          <w14:textFill>
            <w14:solidFill>
              <w14:schemeClr w14:val="tx1"/>
            </w14:solidFill>
          </w14:textFill>
        </w:rPr>
        <w:t>3.2 建设内容</w:t>
      </w:r>
      <w:bookmarkEnd w:id="24"/>
      <w:r>
        <w:rPr>
          <w:rFonts w:cs="Times New Roman" w:eastAsiaTheme="minorEastAsia"/>
          <w:snapToGrid w:val="0"/>
          <w:color w:val="000000" w:themeColor="text1"/>
          <w:sz w:val="26"/>
          <w14:textFill>
            <w14:solidFill>
              <w14:schemeClr w14:val="tx1"/>
            </w14:solidFill>
          </w14:textFill>
        </w:rPr>
        <w:t>基本情况</w:t>
      </w:r>
      <w:bookmarkEnd w:id="25"/>
    </w:p>
    <w:p>
      <w:pPr>
        <w:ind w:firstLine="480" w:firstLineChars="200"/>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14:textFill>
            <w14:solidFill>
              <w14:schemeClr w14:val="tx1"/>
            </w14:solidFill>
          </w14:textFill>
        </w:rPr>
        <w:t>（1）建设内容</w:t>
      </w:r>
    </w:p>
    <w:p>
      <w:pPr>
        <w:ind w:firstLine="480" w:firstLineChars="200"/>
        <w:jc w:val="both"/>
        <w:rPr>
          <w:rFonts w:cs="Times New Roman" w:eastAsiaTheme="minorEastAsia"/>
          <w:color w:val="000000" w:themeColor="text1"/>
          <w:szCs w:val="24"/>
          <w14:textFill>
            <w14:solidFill>
              <w14:schemeClr w14:val="tx1"/>
            </w14:solidFill>
          </w14:textFill>
        </w:rPr>
      </w:pPr>
      <w:r>
        <w:rPr>
          <w:rFonts w:hint="eastAsia" w:cs="Times New Roman"/>
          <w:b w:val="0"/>
          <w:bCs/>
          <w:color w:val="auto"/>
          <w:kern w:val="0"/>
          <w:sz w:val="24"/>
          <w:szCs w:val="24"/>
          <w:lang w:val="en-US" w:eastAsia="zh-CN" w:bidi="ar-SA"/>
        </w:rPr>
        <w:t>本项目主要新建1个污泥储存间、1套污泥输送系统以及1座食堂，占地面积约500m</w:t>
      </w:r>
      <w:r>
        <w:rPr>
          <w:rFonts w:hint="eastAsia" w:cs="Times New Roman"/>
          <w:b w:val="0"/>
          <w:bCs/>
          <w:color w:val="auto"/>
          <w:kern w:val="0"/>
          <w:sz w:val="24"/>
          <w:szCs w:val="24"/>
          <w:vertAlign w:val="superscript"/>
          <w:lang w:val="en-US" w:eastAsia="zh-CN" w:bidi="ar-SA"/>
        </w:rPr>
        <w:t>2</w:t>
      </w:r>
      <w:r>
        <w:rPr>
          <w:rFonts w:hint="eastAsia" w:cs="Times New Roman"/>
          <w:b w:val="0"/>
          <w:bCs/>
          <w:color w:val="auto"/>
          <w:kern w:val="0"/>
          <w:sz w:val="24"/>
          <w:szCs w:val="24"/>
          <w:lang w:val="en-US" w:eastAsia="zh-CN" w:bidi="ar-SA"/>
        </w:rPr>
        <w:t>，其他工程依托华安墙材现有设施，</w:t>
      </w:r>
      <w:r>
        <w:rPr>
          <w:rFonts w:hint="eastAsia" w:cs="Times New Roman" w:eastAsiaTheme="minorEastAsia"/>
          <w:color w:val="000000" w:themeColor="text1"/>
          <w:szCs w:val="24"/>
          <w:lang w:val="en-US" w:eastAsia="zh-CN"/>
          <w14:textFill>
            <w14:solidFill>
              <w14:schemeClr w14:val="tx1"/>
            </w14:solidFill>
          </w14:textFill>
        </w:rPr>
        <w:t>项目建设内容包括主体工程、辅助工程、公用工程和环保工程</w:t>
      </w:r>
      <w:r>
        <w:rPr>
          <w:rFonts w:cs="Times New Roman" w:eastAsiaTheme="minorEastAsia"/>
          <w:color w:val="000000" w:themeColor="text1"/>
          <w:szCs w:val="24"/>
          <w14:textFill>
            <w14:solidFill>
              <w14:schemeClr w14:val="tx1"/>
            </w14:solidFill>
          </w14:textFill>
        </w:rPr>
        <w:t>。项目建设内容见下表3-</w:t>
      </w:r>
      <w:r>
        <w:rPr>
          <w:rFonts w:hint="eastAsia" w:cs="Times New Roman" w:eastAsiaTheme="minorEastAsia"/>
          <w:color w:val="000000" w:themeColor="text1"/>
          <w:szCs w:val="24"/>
          <w14:textFill>
            <w14:solidFill>
              <w14:schemeClr w14:val="tx1"/>
            </w14:solidFill>
          </w14:textFill>
        </w:rPr>
        <w:t>2</w:t>
      </w:r>
      <w:r>
        <w:rPr>
          <w:rFonts w:cs="Times New Roman" w:eastAsiaTheme="minorEastAsia"/>
          <w:color w:val="000000" w:themeColor="text1"/>
          <w:szCs w:val="24"/>
          <w14:textFill>
            <w14:solidFill>
              <w14:schemeClr w14:val="tx1"/>
            </w14:solidFill>
          </w14:textFill>
        </w:rPr>
        <w:t>。</w:t>
      </w:r>
    </w:p>
    <w:p>
      <w:pPr>
        <w:pStyle w:val="12"/>
        <w:jc w:val="center"/>
        <w:rPr>
          <w:rFonts w:cs="Times New Roman" w:eastAsiaTheme="minorEastAsia"/>
          <w:b/>
          <w:bCs/>
          <w:sz w:val="21"/>
          <w:szCs w:val="21"/>
        </w:rPr>
      </w:pPr>
      <w:r>
        <w:rPr>
          <w:rFonts w:cs="Times New Roman" w:eastAsiaTheme="minorEastAsia"/>
          <w:b/>
          <w:bCs/>
          <w:sz w:val="21"/>
          <w:szCs w:val="21"/>
        </w:rPr>
        <w:t>表3-2    项目组成及建设内容</w:t>
      </w:r>
    </w:p>
    <w:tbl>
      <w:tblPr>
        <w:tblStyle w:val="23"/>
        <w:tblW w:w="506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05"/>
        <w:gridCol w:w="426"/>
        <w:gridCol w:w="772"/>
        <w:gridCol w:w="4407"/>
        <w:gridCol w:w="315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tcBorders>
              <w:right w:val="single" w:color="auto" w:sz="4" w:space="0"/>
            </w:tcBorders>
            <w:noWrap w:val="0"/>
            <w:vAlign w:val="center"/>
          </w:tcPr>
          <w:p>
            <w:pPr>
              <w:pStyle w:val="41"/>
              <w:rPr>
                <w:rFonts w:ascii="Times New Roman" w:hAnsi="Times New Roman" w:cs="Times New Roman" w:eastAsiaTheme="minorEastAsia"/>
                <w:b/>
                <w:bCs/>
                <w:color w:val="000000" w:themeColor="text1"/>
                <w:kern w:val="2"/>
                <w14:textFill>
                  <w14:solidFill>
                    <w14:schemeClr w14:val="tx1"/>
                  </w14:solidFill>
                </w14:textFill>
              </w:rPr>
            </w:pPr>
            <w:r>
              <w:rPr>
                <w:rFonts w:ascii="Times New Roman" w:hAnsi="Times New Roman" w:cs="Times New Roman" w:eastAsiaTheme="minorEastAsia"/>
                <w:b/>
                <w:bCs/>
                <w:color w:val="000000" w:themeColor="text1"/>
                <w:kern w:val="2"/>
                <w14:textFill>
                  <w14:solidFill>
                    <w14:schemeClr w14:val="tx1"/>
                  </w14:solidFill>
                </w14:textFill>
              </w:rPr>
              <w:t>类别</w:t>
            </w:r>
          </w:p>
        </w:tc>
        <w:tc>
          <w:tcPr>
            <w:tcW w:w="639" w:type="pct"/>
            <w:gridSpan w:val="2"/>
            <w:tcBorders>
              <w:left w:val="single" w:color="auto" w:sz="4" w:space="0"/>
              <w:right w:val="single" w:color="auto" w:sz="4" w:space="0"/>
            </w:tcBorders>
            <w:noWrap w:val="0"/>
            <w:vAlign w:val="center"/>
          </w:tcPr>
          <w:p>
            <w:pPr>
              <w:pStyle w:val="41"/>
              <w:rPr>
                <w:rFonts w:ascii="Times New Roman" w:hAnsi="Times New Roman" w:cs="Times New Roman" w:eastAsiaTheme="minorEastAsia"/>
                <w:b/>
                <w:bCs/>
                <w:color w:val="000000" w:themeColor="text1"/>
                <w:kern w:val="2"/>
                <w14:textFill>
                  <w14:solidFill>
                    <w14:schemeClr w14:val="tx1"/>
                  </w14:solidFill>
                </w14:textFill>
              </w:rPr>
            </w:pPr>
            <w:r>
              <w:rPr>
                <w:rFonts w:ascii="Times New Roman" w:hAnsi="Times New Roman" w:cs="Times New Roman" w:eastAsiaTheme="minorEastAsia"/>
                <w:b/>
                <w:bCs/>
                <w:color w:val="000000" w:themeColor="text1"/>
                <w:kern w:val="2"/>
                <w14:textFill>
                  <w14:solidFill>
                    <w14:schemeClr w14:val="tx1"/>
                  </w14:solidFill>
                </w14:textFill>
              </w:rPr>
              <w:t>项目</w:t>
            </w:r>
          </w:p>
          <w:p>
            <w:pPr>
              <w:pStyle w:val="41"/>
              <w:rPr>
                <w:rFonts w:hint="eastAsia" w:ascii="Times New Roman" w:hAnsi="Times New Roman" w:cs="Times New Roman" w:eastAsiaTheme="minorEastAsia"/>
                <w:b/>
                <w:bCs/>
                <w:color w:val="000000" w:themeColor="text1"/>
                <w:kern w:val="2"/>
                <w:lang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eastAsia="zh-CN"/>
                <w14:textFill>
                  <w14:solidFill>
                    <w14:schemeClr w14:val="tx1"/>
                  </w14:solidFill>
                </w14:textFill>
              </w:rPr>
              <w:t>组成</w:t>
            </w:r>
          </w:p>
        </w:tc>
        <w:tc>
          <w:tcPr>
            <w:tcW w:w="2352" w:type="pct"/>
            <w:tcBorders>
              <w:top w:val="single" w:color="auto" w:sz="4" w:space="0"/>
              <w:left w:val="single" w:color="auto" w:sz="4" w:space="0"/>
            </w:tcBorders>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主要建设</w:t>
            </w:r>
            <w:r>
              <w:rPr>
                <w:rFonts w:ascii="Times New Roman" w:hAnsi="Times New Roman" w:cs="Times New Roman" w:eastAsiaTheme="minorEastAsia"/>
                <w:b/>
                <w:bCs/>
                <w:color w:val="000000" w:themeColor="text1"/>
                <w:kern w:val="2"/>
                <w14:textFill>
                  <w14:solidFill>
                    <w14:schemeClr w14:val="tx1"/>
                  </w14:solidFill>
                </w14:textFill>
              </w:rPr>
              <w:t>规模与</w:t>
            </w: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内容</w:t>
            </w:r>
          </w:p>
        </w:tc>
        <w:tc>
          <w:tcPr>
            <w:tcW w:w="1684" w:type="pct"/>
            <w:tcBorders>
              <w:top w:val="single" w:color="auto" w:sz="4" w:space="0"/>
              <w:left w:val="single" w:color="auto" w:sz="4" w:space="0"/>
            </w:tcBorders>
            <w:noWrap w:val="0"/>
            <w:vAlign w:val="center"/>
          </w:tcPr>
          <w:p>
            <w:pPr>
              <w:pStyle w:val="41"/>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restar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主体</w:t>
            </w:r>
          </w:p>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工程</w:t>
            </w:r>
          </w:p>
        </w:tc>
        <w:tc>
          <w:tcPr>
            <w:tcW w:w="639" w:type="pct"/>
            <w:gridSpan w:val="2"/>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污泥储存</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间</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新建1个污泥储存</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间</w:t>
            </w:r>
            <w:r>
              <w:rPr>
                <w:rFonts w:hint="default" w:ascii="Times New Roman" w:hAnsi="Times New Roman" w:cs="Times New Roman" w:eastAsiaTheme="minorEastAsia"/>
                <w:color w:val="000000" w:themeColor="text1"/>
                <w:kern w:val="2"/>
                <w14:textFill>
                  <w14:solidFill>
                    <w14:schemeClr w14:val="tx1"/>
                  </w14:solidFill>
                </w14:textFill>
              </w:rPr>
              <w:t>，为半地埋式，占地面积约300m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2"/>
                <w14:textFill>
                  <w14:solidFill>
                    <w14:schemeClr w14:val="tx1"/>
                  </w14:solidFill>
                </w14:textFill>
              </w:rPr>
              <w:t>，位于原料堆场内南侧，主要设置1个污泥储存池（砖混结构），长宽高尺寸为12m×10m×5m，污泥储存</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最大储存量</w:t>
            </w:r>
            <w:r>
              <w:rPr>
                <w:rFonts w:hint="default" w:ascii="Times New Roman" w:hAnsi="Times New Roman" w:cs="Times New Roman" w:eastAsiaTheme="minorEastAsia"/>
                <w:color w:val="000000" w:themeColor="text1"/>
                <w:kern w:val="2"/>
                <w14:textFill>
                  <w14:solidFill>
                    <w14:schemeClr w14:val="tx1"/>
                  </w14:solidFill>
                </w14:textFill>
              </w:rPr>
              <w:t>约500m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2"/>
                <w14:textFill>
                  <w14:solidFill>
                    <w14:schemeClr w14:val="tx1"/>
                  </w14:solidFill>
                </w14:textFill>
              </w:rPr>
              <w:t>。污泥储存池旁设置有卸料平台，污泥暂存间密闭处理，进出通道采用软帘遮挡。</w:t>
            </w:r>
          </w:p>
        </w:tc>
        <w:tc>
          <w:tcPr>
            <w:tcW w:w="1684"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39" w:type="pct"/>
            <w:gridSpan w:val="2"/>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输送系统</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设置1套污泥输送系统，通过给料机将污泥储存池污泥通过输送管道送至生产线搅拌工序</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w:t>
            </w:r>
          </w:p>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工程</w:t>
            </w:r>
          </w:p>
        </w:tc>
        <w:tc>
          <w:tcPr>
            <w:tcW w:w="639" w:type="pct"/>
            <w:gridSpan w:val="2"/>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采矿区</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原项目</w:t>
            </w:r>
            <w:r>
              <w:rPr>
                <w:rFonts w:hint="default" w:ascii="Times New Roman" w:hAnsi="Times New Roman" w:cs="Times New Roman" w:eastAsiaTheme="minorEastAsia"/>
                <w:color w:val="000000" w:themeColor="text1"/>
                <w:kern w:val="2"/>
                <w14:textFill>
                  <w14:solidFill>
                    <w14:schemeClr w14:val="tx1"/>
                  </w14:solidFill>
                </w14:textFill>
              </w:rPr>
              <w:t>现有采矿区，矿区位于本项目北侧山体，开采矿种为页岩，开采方式为露天开采，生产规模为3万吨/年，矿区面积为0.016平方公里，有效期限12年，自2020年04月25日至2032年04月25日。</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39" w:type="pct"/>
            <w:gridSpan w:val="2"/>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破碎车间</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原项目</w:t>
            </w:r>
            <w:r>
              <w:rPr>
                <w:rFonts w:hint="default" w:ascii="Times New Roman" w:hAnsi="Times New Roman" w:cs="Times New Roman" w:eastAsiaTheme="minorEastAsia"/>
                <w:color w:val="000000" w:themeColor="text1"/>
                <w:kern w:val="2"/>
                <w14:textFill>
                  <w14:solidFill>
                    <w14:schemeClr w14:val="tx1"/>
                  </w14:solidFill>
                </w14:textFill>
              </w:rPr>
              <w:t>现有</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破碎车间，钢筋框架结构，</w:t>
            </w:r>
            <w:r>
              <w:rPr>
                <w:rFonts w:hint="default" w:ascii="Times New Roman" w:hAnsi="Times New Roman" w:cs="Times New Roman" w:eastAsiaTheme="minorEastAsia"/>
                <w:color w:val="000000" w:themeColor="text1"/>
                <w:kern w:val="2"/>
                <w14:textFill>
                  <w14:solidFill>
                    <w14:schemeClr w14:val="tx1"/>
                  </w14:solidFill>
                </w14:textFill>
              </w:rPr>
              <w:t>建筑面积约</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2"/>
                <w14:textFill>
                  <w14:solidFill>
                    <w14:schemeClr w14:val="tx1"/>
                  </w14:solidFill>
                </w14:textFill>
              </w:rPr>
              <w:t>000m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2"/>
                <w14:textFill>
                  <w14:solidFill>
                    <w14:schemeClr w14:val="tx1"/>
                  </w14:solidFill>
                </w14:textFill>
              </w:rPr>
              <w:t>，</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主要对煤矸石、页岩进行破碎及粉碎加工，布置有破碎机、粉碎机、筛分机等生产设备。</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39" w:type="pct"/>
            <w:gridSpan w:val="2"/>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制砖车间</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原项目</w:t>
            </w:r>
            <w:r>
              <w:rPr>
                <w:rFonts w:hint="default" w:ascii="Times New Roman" w:hAnsi="Times New Roman" w:cs="Times New Roman" w:eastAsiaTheme="minorEastAsia"/>
                <w:color w:val="000000" w:themeColor="text1"/>
                <w:kern w:val="2"/>
                <w14:textFill>
                  <w14:solidFill>
                    <w14:schemeClr w14:val="tx1"/>
                  </w14:solidFill>
                </w14:textFill>
              </w:rPr>
              <w:t>现有制砖车间，</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钢筋框架结构，</w:t>
            </w:r>
            <w:r>
              <w:rPr>
                <w:rFonts w:hint="default" w:ascii="Times New Roman" w:hAnsi="Times New Roman" w:cs="Times New Roman" w:eastAsiaTheme="minorEastAsia"/>
                <w:color w:val="000000" w:themeColor="text1"/>
                <w:kern w:val="2"/>
                <w14:textFill>
                  <w14:solidFill>
                    <w14:schemeClr w14:val="tx1"/>
                  </w14:solidFill>
                </w14:textFill>
              </w:rPr>
              <w:t>建筑面积约2000m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2"/>
                <w14:textFill>
                  <w14:solidFill>
                    <w14:schemeClr w14:val="tx1"/>
                  </w14:solidFill>
                </w14:textFill>
              </w:rPr>
              <w:t>，主要进行砖坯成型加工，布置有混料机、挤砖机、切坯机等设备。</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39" w:type="pct"/>
            <w:gridSpan w:val="2"/>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烧成车间</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依托现有烧制车间，彩钢棚结构，建筑面积约2500m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2"/>
                <w14:textFill>
                  <w14:solidFill>
                    <w14:schemeClr w14:val="tx1"/>
                  </w14:solidFill>
                </w14:textFill>
              </w:rPr>
              <w:t>，配套2条隧道窑（1条烘干，1条焙烧），用作干燥、隧道烧制、出窑、检验、成品等生产</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39" w:type="pct"/>
            <w:gridSpan w:val="2"/>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办公室</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依托现有</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1间办公室</w:t>
            </w:r>
            <w:r>
              <w:rPr>
                <w:rFonts w:hint="default" w:ascii="Times New Roman" w:hAnsi="Times New Roman" w:cs="Times New Roman" w:eastAsiaTheme="minorEastAsia"/>
                <w:color w:val="000000" w:themeColor="text1"/>
                <w:kern w:val="2"/>
                <w14:textFill>
                  <w14:solidFill>
                    <w14:schemeClr w14:val="tx1"/>
                  </w14:solidFill>
                </w14:textFill>
              </w:rPr>
              <w:t>，1F，建筑面积约100m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39" w:type="pct"/>
            <w:gridSpan w:val="2"/>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食堂</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新建食堂1座，占地面积约200m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39" w:type="pct"/>
            <w:gridSpan w:val="2"/>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配电房</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依托现有1个配电房，1F，建筑面积约30m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储运</w:t>
            </w:r>
          </w:p>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工程</w:t>
            </w:r>
          </w:p>
        </w:tc>
        <w:tc>
          <w:tcPr>
            <w:tcW w:w="227" w:type="pct"/>
            <w:vMerge w:val="restar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原料运</w:t>
            </w:r>
          </w:p>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输</w:t>
            </w:r>
          </w:p>
        </w:tc>
        <w:tc>
          <w:tcPr>
            <w:tcW w:w="412" w:type="pct"/>
            <w:tcBorders>
              <w:bottom w:val="single" w:color="auto" w:sz="4" w:space="0"/>
            </w:tcBorders>
            <w:noWrap w:val="0"/>
            <w:vAlign w:val="center"/>
          </w:tcPr>
          <w:p>
            <w:pPr>
              <w:pStyle w:val="41"/>
              <w:rPr>
                <w:rFonts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页岩</w:t>
            </w:r>
            <w:r>
              <w:rPr>
                <w:rFonts w:hint="default" w:ascii="Times New Roman" w:hAnsi="Times New Roman" w:cs="Times New Roman" w:eastAsiaTheme="minorEastAsia"/>
                <w:color w:val="000000" w:themeColor="text1"/>
                <w:kern w:val="2"/>
                <w14:textFill>
                  <w14:solidFill>
                    <w14:schemeClr w14:val="tx1"/>
                  </w14:solidFill>
                </w14:textFill>
              </w:rPr>
              <w:t>运输</w:t>
            </w:r>
          </w:p>
        </w:tc>
        <w:tc>
          <w:tcPr>
            <w:tcW w:w="2352"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页岩由挖掘机挖掘后，经</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建设单位自由</w:t>
            </w:r>
            <w:r>
              <w:rPr>
                <w:rFonts w:hint="default" w:ascii="Times New Roman" w:hAnsi="Times New Roman" w:cs="Times New Roman" w:eastAsiaTheme="minorEastAsia"/>
                <w:color w:val="000000" w:themeColor="text1"/>
                <w:kern w:val="2"/>
                <w14:textFill>
                  <w14:solidFill>
                    <w14:schemeClr w14:val="tx1"/>
                  </w14:solidFill>
                </w14:textFill>
              </w:rPr>
              <w:t>装载机运输</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载重20t，平均每天运输5趟。</w:t>
            </w:r>
          </w:p>
        </w:tc>
        <w:tc>
          <w:tcPr>
            <w:tcW w:w="1684"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bottom w:val="single" w:color="auto" w:sz="4" w:space="0"/>
            </w:tcBorders>
            <w:noWrap w:val="0"/>
            <w:vAlign w:val="center"/>
          </w:tcPr>
          <w:p>
            <w:pPr>
              <w:pStyle w:val="41"/>
              <w:rPr>
                <w:rFonts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煤矸石运输</w:t>
            </w:r>
          </w:p>
        </w:tc>
        <w:tc>
          <w:tcPr>
            <w:tcW w:w="2352"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由专业第三方运输，设置专用车辆1台，载重20t，对</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煤矸石</w:t>
            </w:r>
            <w:r>
              <w:rPr>
                <w:rFonts w:hint="default" w:ascii="Times New Roman" w:hAnsi="Times New Roman" w:cs="Times New Roman" w:eastAsiaTheme="minorEastAsia"/>
                <w:color w:val="000000" w:themeColor="text1"/>
                <w:kern w:val="2"/>
                <w14:textFill>
                  <w14:solidFill>
                    <w14:schemeClr w14:val="tx1"/>
                  </w14:solidFill>
                </w14:textFill>
              </w:rPr>
              <w:t>进行运输，平均每天运输1-2趟。</w:t>
            </w:r>
          </w:p>
        </w:tc>
        <w:tc>
          <w:tcPr>
            <w:tcW w:w="1684"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bottom w:val="single" w:color="auto" w:sz="4" w:space="0"/>
            </w:tcBorders>
            <w:noWrap w:val="0"/>
            <w:vAlign w:val="center"/>
          </w:tcPr>
          <w:p>
            <w:pPr>
              <w:pStyle w:val="41"/>
              <w:rPr>
                <w:rFonts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污泥运输</w:t>
            </w:r>
          </w:p>
        </w:tc>
        <w:tc>
          <w:tcPr>
            <w:tcW w:w="2352"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由专业第三方运输，设置专用车辆1台，载重20t，对干化后的污泥进行运输，平均每天运输1-2趟。</w:t>
            </w:r>
          </w:p>
        </w:tc>
        <w:tc>
          <w:tcPr>
            <w:tcW w:w="1684"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2"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restar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原料堆场</w:t>
            </w:r>
          </w:p>
        </w:tc>
        <w:tc>
          <w:tcPr>
            <w:tcW w:w="412" w:type="pct"/>
            <w:tcBorders>
              <w:bottom w:val="single" w:color="auto" w:sz="4" w:space="0"/>
            </w:tcBorders>
            <w:noWrap w:val="0"/>
            <w:vAlign w:val="center"/>
          </w:tcPr>
          <w:p>
            <w:pPr>
              <w:pStyle w:val="41"/>
              <w:rPr>
                <w:rFonts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页岩储存场</w:t>
            </w:r>
          </w:p>
        </w:tc>
        <w:tc>
          <w:tcPr>
            <w:tcW w:w="2352"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依托原料堆场，占地面积约2000m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2"/>
                <w14:textFill>
                  <w14:solidFill>
                    <w14:schemeClr w14:val="tx1"/>
                  </w14:solidFill>
                </w14:textFill>
              </w:rPr>
              <w:t>，顶部为彩钢瓦结构</w:t>
            </w:r>
          </w:p>
        </w:tc>
        <w:tc>
          <w:tcPr>
            <w:tcW w:w="1684"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bottom w:val="single" w:color="auto" w:sz="4" w:space="0"/>
            </w:tcBorders>
            <w:noWrap w:val="0"/>
            <w:vAlign w:val="center"/>
          </w:tcPr>
          <w:p>
            <w:pPr>
              <w:pStyle w:val="41"/>
              <w:rPr>
                <w:rFonts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煤矸石堆场</w:t>
            </w:r>
          </w:p>
        </w:tc>
        <w:tc>
          <w:tcPr>
            <w:tcW w:w="2352"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依托原料堆场，建筑面积约2000m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2"/>
                <w14:textFill>
                  <w14:solidFill>
                    <w14:schemeClr w14:val="tx1"/>
                  </w14:solidFill>
                </w14:textFill>
              </w:rPr>
              <w:t>，顶部为彩钢瓦结构</w:t>
            </w:r>
          </w:p>
        </w:tc>
        <w:tc>
          <w:tcPr>
            <w:tcW w:w="1684" w:type="pct"/>
            <w:tcBorders>
              <w:bottom w:val="single" w:color="auto" w:sz="4" w:space="0"/>
            </w:tcBorders>
            <w:noWrap w:val="0"/>
            <w:vAlign w:val="center"/>
          </w:tcPr>
          <w:p>
            <w:pPr>
              <w:pStyle w:val="41"/>
              <w:rPr>
                <w:rFonts w:hint="eastAsia" w:ascii="Times New Roman" w:hAnsi="Times New Roman" w:eastAsia="宋体" w:cs="Times New Roman"/>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noWrap w:val="0"/>
            <w:vAlign w:val="center"/>
          </w:tcPr>
          <w:p>
            <w:pPr>
              <w:pStyle w:val="41"/>
              <w:rPr>
                <w:rFonts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成品堆场</w:t>
            </w:r>
          </w:p>
        </w:tc>
        <w:tc>
          <w:tcPr>
            <w:tcW w:w="2352" w:type="pct"/>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占地面积约1000m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2"/>
                <w14:textFill>
                  <w14:solidFill>
                    <w14:schemeClr w14:val="tx1"/>
                  </w14:solidFill>
                </w14:textFill>
              </w:rPr>
              <w:t>，顶部为彩钢瓦结构</w:t>
            </w:r>
          </w:p>
        </w:tc>
        <w:tc>
          <w:tcPr>
            <w:tcW w:w="1684" w:type="pct"/>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公用</w:t>
            </w:r>
          </w:p>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工程</w:t>
            </w:r>
          </w:p>
        </w:tc>
        <w:tc>
          <w:tcPr>
            <w:tcW w:w="639" w:type="pct"/>
            <w:gridSpan w:val="2"/>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供水</w:t>
            </w:r>
          </w:p>
        </w:tc>
        <w:tc>
          <w:tcPr>
            <w:tcW w:w="2352"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由市政供水管网供给</w:t>
            </w:r>
          </w:p>
        </w:tc>
        <w:tc>
          <w:tcPr>
            <w:tcW w:w="1684"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39" w:type="pct"/>
            <w:gridSpan w:val="2"/>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排水</w:t>
            </w:r>
          </w:p>
        </w:tc>
        <w:tc>
          <w:tcPr>
            <w:tcW w:w="2352"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采取雨污分流，雨水经厂区雨水管网收集后排放；生产废水经沉淀后回用于生产，不外排，生活污水</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及食堂废水</w:t>
            </w:r>
            <w:r>
              <w:rPr>
                <w:rFonts w:hint="default" w:ascii="Times New Roman" w:hAnsi="Times New Roman" w:cs="Times New Roman" w:eastAsiaTheme="minorEastAsia"/>
                <w:color w:val="000000" w:themeColor="text1"/>
                <w:kern w:val="2"/>
                <w14:textFill>
                  <w14:solidFill>
                    <w14:schemeClr w14:val="tx1"/>
                  </w14:solidFill>
                </w14:textFill>
              </w:rPr>
              <w:t>经现有化粪池处理后用作农肥，不外排</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p>
        </w:tc>
        <w:tc>
          <w:tcPr>
            <w:tcW w:w="1684"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39" w:type="pct"/>
            <w:gridSpan w:val="2"/>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供电</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由市政供电系统供给</w:t>
            </w:r>
          </w:p>
        </w:tc>
        <w:tc>
          <w:tcPr>
            <w:tcW w:w="1684"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环保</w:t>
            </w:r>
          </w:p>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工程</w:t>
            </w:r>
          </w:p>
        </w:tc>
        <w:tc>
          <w:tcPr>
            <w:tcW w:w="227" w:type="pct"/>
            <w:vMerge w:val="restar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废气</w:t>
            </w:r>
          </w:p>
        </w:tc>
        <w:tc>
          <w:tcPr>
            <w:tcW w:w="412" w:type="pct"/>
            <w:tcBorders>
              <w:top w:val="single" w:color="auto" w:sz="4" w:space="0"/>
              <w:bottom w:val="single" w:color="auto" w:sz="4" w:space="0"/>
            </w:tcBorders>
            <w:noWrap w:val="0"/>
            <w:vAlign w:val="center"/>
          </w:tcPr>
          <w:p>
            <w:pPr>
              <w:pStyle w:val="41"/>
              <w:jc w:val="both"/>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粉碎、筛分粉尘</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在给料阶段增加喷雾装置，破碎、筛分工序采用全密闭厂房，粉尘再经布袋除尘器收集</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收集后经15m高排气筒（DA002）排放</w:t>
            </w:r>
            <w:r>
              <w:rPr>
                <w:rFonts w:hint="default" w:ascii="Times New Roman" w:hAnsi="Times New Roman" w:cs="Times New Roman" w:eastAsiaTheme="minorEastAsia"/>
                <w:color w:val="000000" w:themeColor="text1"/>
                <w:kern w:val="2"/>
                <w14:textFill>
                  <w14:solidFill>
                    <w14:schemeClr w14:val="tx1"/>
                  </w14:solidFill>
                </w14:textFill>
              </w:rPr>
              <w:t>。</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运输粉尘</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采取通过路面硬化</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r>
              <w:rPr>
                <w:rFonts w:hint="default" w:ascii="Times New Roman" w:hAnsi="Times New Roman" w:cs="Times New Roman" w:eastAsiaTheme="minorEastAsia"/>
                <w:color w:val="000000" w:themeColor="text1"/>
                <w:kern w:val="2"/>
                <w14:textFill>
                  <w14:solidFill>
                    <w14:schemeClr w14:val="tx1"/>
                  </w14:solidFill>
                </w14:textFill>
              </w:rPr>
              <w:t>密闭运输</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r>
              <w:rPr>
                <w:rFonts w:hint="default" w:ascii="Times New Roman" w:hAnsi="Times New Roman" w:cs="Times New Roman" w:eastAsiaTheme="minorEastAsia"/>
                <w:color w:val="000000" w:themeColor="text1"/>
                <w:kern w:val="2"/>
                <w14:textFill>
                  <w14:solidFill>
                    <w14:schemeClr w14:val="tx1"/>
                  </w14:solidFill>
                </w14:textFill>
              </w:rPr>
              <w:t>采用专用车辆运输</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r>
              <w:rPr>
                <w:rFonts w:hint="default" w:ascii="Times New Roman" w:hAnsi="Times New Roman" w:cs="Times New Roman" w:eastAsiaTheme="minorEastAsia"/>
                <w:color w:val="000000" w:themeColor="text1"/>
                <w:kern w:val="2"/>
                <w14:textFill>
                  <w14:solidFill>
                    <w14:schemeClr w14:val="tx1"/>
                  </w14:solidFill>
                </w14:textFill>
              </w:rPr>
              <w:t>定期洒水</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r>
              <w:rPr>
                <w:rFonts w:hint="default" w:ascii="Times New Roman" w:hAnsi="Times New Roman" w:cs="Times New Roman" w:eastAsiaTheme="minorEastAsia"/>
                <w:color w:val="000000" w:themeColor="text1"/>
                <w:kern w:val="2"/>
                <w14:textFill>
                  <w14:solidFill>
                    <w14:schemeClr w14:val="tx1"/>
                  </w14:solidFill>
                </w14:textFill>
              </w:rPr>
              <w:t>定期清洁</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r>
              <w:rPr>
                <w:rFonts w:hint="default" w:ascii="Times New Roman" w:hAnsi="Times New Roman" w:cs="Times New Roman" w:eastAsiaTheme="minorEastAsia"/>
                <w:color w:val="000000" w:themeColor="text1"/>
                <w:kern w:val="2"/>
                <w14:textFill>
                  <w14:solidFill>
                    <w14:schemeClr w14:val="tx1"/>
                  </w14:solidFill>
                </w14:textFill>
              </w:rPr>
              <w:t>车辆进出厂对轮胎等进行冲洗</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r>
              <w:rPr>
                <w:rFonts w:hint="default" w:ascii="Times New Roman" w:hAnsi="Times New Roman" w:cs="Times New Roman" w:eastAsiaTheme="minorEastAsia"/>
                <w:color w:val="000000" w:themeColor="text1"/>
                <w:kern w:val="2"/>
                <w14:textFill>
                  <w14:solidFill>
                    <w14:schemeClr w14:val="tx1"/>
                  </w14:solidFill>
                </w14:textFill>
              </w:rPr>
              <w:t>厂区绿化等措施降尘防尘后</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26" w:name="_Toc497833574"/>
          </w:p>
        </w:tc>
        <w:tc>
          <w:tcPr>
            <w:tcW w:w="227" w:type="pct"/>
            <w:vMerge w:val="continue"/>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原料堆场粉尘</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采取外围建设不低于堆放高度的密闭围墙、防风抑尘网等措施</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r>
              <w:rPr>
                <w:rFonts w:hint="default" w:ascii="Times New Roman" w:hAnsi="Times New Roman" w:cs="Times New Roman" w:eastAsiaTheme="minorEastAsia"/>
                <w:color w:val="000000" w:themeColor="text1"/>
                <w:kern w:val="2"/>
                <w14:textFill>
                  <w14:solidFill>
                    <w14:schemeClr w14:val="tx1"/>
                  </w14:solidFill>
                </w14:textFill>
              </w:rPr>
              <w:t>场内配备喷雾、覆盖和围挡等防风抑尘措施</w:t>
            </w:r>
            <w:r>
              <w:rPr>
                <w:rFonts w:hint="default" w:ascii="Times New Roman" w:hAnsi="Times New Roman" w:cs="Times New Roman" w:eastAsiaTheme="minorEastAsia"/>
                <w:color w:val="000000" w:themeColor="text1"/>
                <w:kern w:val="2"/>
                <w:lang w:eastAsia="zh-CN"/>
                <w14:textFill>
                  <w14:solidFill>
                    <w14:schemeClr w14:val="tx1"/>
                  </w14:solidFill>
                </w14:textFill>
              </w:rPr>
              <w:t>，</w:t>
            </w:r>
            <w:r>
              <w:rPr>
                <w:rFonts w:hint="default" w:ascii="Times New Roman" w:hAnsi="Times New Roman" w:cs="Times New Roman" w:eastAsiaTheme="minorEastAsia"/>
                <w:color w:val="000000" w:themeColor="text1"/>
                <w:kern w:val="2"/>
                <w14:textFill>
                  <w14:solidFill>
                    <w14:schemeClr w14:val="tx1"/>
                  </w14:solidFill>
                </w14:textFill>
              </w:rPr>
              <w:t>种植树木绿化等措施抑尘。</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隧道窑干燥、烧制烟气</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隧道窑烟气经1#脱硫塔脱硫除尘后经15m高排气筒（DA001）排放</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污泥暂存臭气</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在污泥暂存池表面喷洒除臭剂+现场喷洒天然植物提取液</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top w:val="single" w:color="auto" w:sz="4" w:space="0"/>
              <w:bottom w:val="single" w:color="auto" w:sz="4" w:space="0"/>
            </w:tcBorders>
            <w:noWrap w:val="0"/>
            <w:vAlign w:val="center"/>
          </w:tcPr>
          <w:p>
            <w:pPr>
              <w:pStyle w:val="41"/>
              <w:rPr>
                <w:rFonts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食堂油烟</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设置集气罩及1台油烟净化器处理</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restar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废水</w:t>
            </w:r>
          </w:p>
        </w:tc>
        <w:tc>
          <w:tcPr>
            <w:tcW w:w="412" w:type="pct"/>
            <w:tcBorders>
              <w:top w:val="single" w:color="auto" w:sz="4" w:space="0"/>
              <w:bottom w:val="single" w:color="auto" w:sz="4" w:space="0"/>
            </w:tcBorders>
            <w:noWrap w:val="0"/>
            <w:vAlign w:val="center"/>
          </w:tcPr>
          <w:p>
            <w:pPr>
              <w:pStyle w:val="41"/>
              <w:rPr>
                <w:rFonts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生活污水</w:t>
            </w:r>
          </w:p>
        </w:tc>
        <w:tc>
          <w:tcPr>
            <w:tcW w:w="2352"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依托现有1座化粪池，处理规模为10m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2"/>
                <w14:textFill>
                  <w14:solidFill>
                    <w14:schemeClr w14:val="tx1"/>
                  </w14:solidFill>
                </w14:textFill>
              </w:rPr>
              <w:t>，食堂废水经食堂隔油池沉淀后，与生活污水一起通过化粪池收集后用作农肥，不排放。</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top w:val="single" w:color="auto" w:sz="4" w:space="0"/>
              <w:bottom w:val="single" w:color="auto" w:sz="4" w:space="0"/>
            </w:tcBorders>
            <w:noWrap w:val="0"/>
            <w:vAlign w:val="center"/>
          </w:tcPr>
          <w:p>
            <w:pPr>
              <w:pStyle w:val="41"/>
              <w:rPr>
                <w:rFonts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生产废水</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项目采区及破碎抑尘用水蒸发损耗不外排；</w:t>
            </w:r>
          </w:p>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车辆冲洗废水依托现有沉淀池沉淀处理后循环使用，不外排。</w:t>
            </w:r>
          </w:p>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脱硫废水循环使用，不外排，定期更换回用于生产。</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噪声</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合理布置高噪声设备</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restar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固废</w:t>
            </w:r>
          </w:p>
        </w:tc>
        <w:tc>
          <w:tcPr>
            <w:tcW w:w="41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一般</w:t>
            </w:r>
          </w:p>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固废</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脱硫石膏</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外售。布袋除尘器收集粉尘</w:t>
            </w:r>
            <w:r>
              <w:rPr>
                <w:rFonts w:hint="default" w:ascii="Times New Roman" w:hAnsi="Times New Roman" w:cs="Times New Roman" w:eastAsiaTheme="minorEastAsia"/>
                <w:color w:val="000000" w:themeColor="text1"/>
                <w:kern w:val="2"/>
                <w14:textFill>
                  <w14:solidFill>
                    <w14:schemeClr w14:val="tx1"/>
                  </w14:solidFill>
                </w14:textFill>
              </w:rPr>
              <w:t>、废砖坯和不合格砖作为制砖原料使用，生活垃圾交环卫部门处理。</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27" w:type="pct"/>
            <w:vMerge w:val="continue"/>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1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危险</w:t>
            </w:r>
          </w:p>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废物</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含油废棉纱、废机油、废油桶暂存于危废间，并定期委托有资质单位定期处理。</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23" w:type="pct"/>
            <w:vMerge w:val="continue"/>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39" w:type="pct"/>
            <w:gridSpan w:val="2"/>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土壤及地下水</w:t>
            </w:r>
          </w:p>
        </w:tc>
        <w:tc>
          <w:tcPr>
            <w:tcW w:w="235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厂区内进行分区防渗，污泥储存间、危废暂存间设置为重点防渗区；其他生产区域为一般防渗区域，生活办公区域、厂区道路及空地为简单防渗区域。</w:t>
            </w:r>
          </w:p>
        </w:tc>
        <w:tc>
          <w:tcPr>
            <w:tcW w:w="1684" w:type="pct"/>
            <w:tcBorders>
              <w:top w:val="single" w:color="auto" w:sz="4" w:space="0"/>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val="0"/>
        <w:snapToGrid w:val="0"/>
        <w:textAlignment w:val="auto"/>
      </w:pPr>
      <w:r>
        <w:rPr>
          <w:rFonts w:hint="eastAsia"/>
        </w:rPr>
        <w:t>（2）生产制度</w:t>
      </w:r>
    </w:p>
    <w:p>
      <w:pPr>
        <w:ind w:firstLine="480" w:firstLineChars="200"/>
        <w:rPr>
          <w:rFonts w:hint="eastAsia" w:eastAsia="宋体"/>
          <w:lang w:val="en-US" w:eastAsia="zh-CN"/>
        </w:rPr>
      </w:pPr>
      <w:r>
        <w:rPr>
          <w:rFonts w:hint="eastAsia"/>
        </w:rPr>
        <w:t>根据业主提供资料，项目生产制度如下表3-3。</w:t>
      </w:r>
      <w:r>
        <w:rPr>
          <w:rFonts w:hint="eastAsia"/>
          <w:lang w:val="en-US" w:eastAsia="zh-CN"/>
        </w:rPr>
        <w:t xml:space="preserve"> </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表3-3    项目生产制度一览表</w:t>
      </w:r>
    </w:p>
    <w:tbl>
      <w:tblPr>
        <w:tblStyle w:val="23"/>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01"/>
        <w:gridCol w:w="1117"/>
        <w:gridCol w:w="1535"/>
        <w:gridCol w:w="150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1"/>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序号</w:t>
            </w:r>
          </w:p>
        </w:tc>
        <w:tc>
          <w:tcPr>
            <w:tcW w:w="1601" w:type="dxa"/>
            <w:tcBorders>
              <w:tl2br w:val="nil"/>
              <w:tr2bl w:val="nil"/>
            </w:tcBorders>
            <w:vAlign w:val="center"/>
          </w:tcPr>
          <w:p>
            <w:pPr>
              <w:pStyle w:val="41"/>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生产制度</w:t>
            </w:r>
          </w:p>
        </w:tc>
        <w:tc>
          <w:tcPr>
            <w:tcW w:w="1117" w:type="dxa"/>
            <w:tcBorders>
              <w:tl2br w:val="nil"/>
              <w:tr2bl w:val="nil"/>
            </w:tcBorders>
            <w:vAlign w:val="center"/>
          </w:tcPr>
          <w:p>
            <w:pPr>
              <w:pStyle w:val="41"/>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单位</w:t>
            </w:r>
          </w:p>
        </w:tc>
        <w:tc>
          <w:tcPr>
            <w:tcW w:w="1535" w:type="dxa"/>
            <w:tcBorders>
              <w:tl2br w:val="nil"/>
              <w:tr2bl w:val="nil"/>
            </w:tcBorders>
            <w:vAlign w:val="center"/>
          </w:tcPr>
          <w:p>
            <w:pPr>
              <w:pStyle w:val="41"/>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环评阶段</w:t>
            </w:r>
          </w:p>
        </w:tc>
        <w:tc>
          <w:tcPr>
            <w:tcW w:w="1505" w:type="dxa"/>
            <w:tcBorders>
              <w:tl2br w:val="nil"/>
              <w:tr2bl w:val="nil"/>
            </w:tcBorders>
            <w:vAlign w:val="center"/>
          </w:tcPr>
          <w:p>
            <w:pPr>
              <w:pStyle w:val="41"/>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验收阶段</w:t>
            </w:r>
          </w:p>
        </w:tc>
        <w:tc>
          <w:tcPr>
            <w:tcW w:w="2370" w:type="dxa"/>
            <w:tcBorders>
              <w:tl2br w:val="nil"/>
              <w:tr2bl w:val="nil"/>
            </w:tcBorders>
            <w:vAlign w:val="center"/>
          </w:tcPr>
          <w:p>
            <w:pPr>
              <w:pStyle w:val="41"/>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bookmarkStart w:id="27" w:name="_Toc16870"/>
            <w:r>
              <w:rPr>
                <w:rFonts w:hint="eastAsia" w:ascii="Times New Roman" w:hAnsi="Times New Roman" w:eastAsiaTheme="minorEastAsia"/>
                <w:color w:val="000000" w:themeColor="text1"/>
                <w:kern w:val="2"/>
                <w14:textFill>
                  <w14:solidFill>
                    <w14:schemeClr w14:val="tx1"/>
                  </w14:solidFill>
                </w14:textFill>
              </w:rPr>
              <w:t>1</w:t>
            </w:r>
          </w:p>
        </w:tc>
        <w:tc>
          <w:tcPr>
            <w:tcW w:w="1601"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年工作日</w:t>
            </w:r>
            <w:bookmarkEnd w:id="27"/>
          </w:p>
        </w:tc>
        <w:tc>
          <w:tcPr>
            <w:tcW w:w="1117"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bookmarkStart w:id="28" w:name="_Toc15082"/>
            <w:r>
              <w:rPr>
                <w:rFonts w:ascii="Times New Roman" w:hAnsi="Times New Roman" w:eastAsiaTheme="minorEastAsia"/>
                <w:color w:val="000000" w:themeColor="text1"/>
                <w:kern w:val="2"/>
                <w14:textFill>
                  <w14:solidFill>
                    <w14:schemeClr w14:val="tx1"/>
                  </w14:solidFill>
                </w14:textFill>
              </w:rPr>
              <w:t>天</w:t>
            </w:r>
            <w:bookmarkEnd w:id="28"/>
          </w:p>
        </w:tc>
        <w:tc>
          <w:tcPr>
            <w:tcW w:w="1535" w:type="dxa"/>
            <w:tcBorders>
              <w:tl2br w:val="nil"/>
              <w:tr2bl w:val="nil"/>
            </w:tcBorders>
            <w:vAlign w:val="center"/>
          </w:tcPr>
          <w:p>
            <w:pPr>
              <w:pStyle w:val="41"/>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330</w:t>
            </w:r>
          </w:p>
        </w:tc>
        <w:tc>
          <w:tcPr>
            <w:tcW w:w="1505" w:type="dxa"/>
            <w:tcBorders>
              <w:tl2br w:val="nil"/>
              <w:tr2bl w:val="nil"/>
            </w:tcBorders>
            <w:vAlign w:val="center"/>
          </w:tcPr>
          <w:p>
            <w:pPr>
              <w:pStyle w:val="41"/>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330</w:t>
            </w:r>
          </w:p>
        </w:tc>
        <w:tc>
          <w:tcPr>
            <w:tcW w:w="2370"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bookmarkStart w:id="29" w:name="_Toc4951"/>
            <w:r>
              <w:rPr>
                <w:rFonts w:hint="eastAsia" w:ascii="Times New Roman" w:hAnsi="Times New Roman" w:eastAsiaTheme="minorEastAsia"/>
                <w:color w:val="000000" w:themeColor="text1"/>
                <w:kern w:val="2"/>
                <w14:textFill>
                  <w14:solidFill>
                    <w14:schemeClr w14:val="tx1"/>
                  </w14:solidFill>
                </w14:textFill>
              </w:rPr>
              <w:t>与环评一致</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bookmarkStart w:id="30" w:name="_Toc20322"/>
            <w:r>
              <w:rPr>
                <w:rFonts w:hint="eastAsia" w:ascii="Times New Roman" w:hAnsi="Times New Roman" w:eastAsiaTheme="minorEastAsia"/>
                <w:color w:val="000000" w:themeColor="text1"/>
                <w:kern w:val="2"/>
                <w14:textFill>
                  <w14:solidFill>
                    <w14:schemeClr w14:val="tx1"/>
                  </w14:solidFill>
                </w14:textFill>
              </w:rPr>
              <w:t>2</w:t>
            </w:r>
          </w:p>
        </w:tc>
        <w:tc>
          <w:tcPr>
            <w:tcW w:w="1601"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工作制度</w:t>
            </w:r>
            <w:bookmarkEnd w:id="30"/>
          </w:p>
        </w:tc>
        <w:tc>
          <w:tcPr>
            <w:tcW w:w="1117"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bookmarkStart w:id="31" w:name="_Toc31424"/>
            <w:r>
              <w:rPr>
                <w:rFonts w:ascii="Times New Roman" w:hAnsi="Times New Roman" w:eastAsiaTheme="minorEastAsia"/>
                <w:color w:val="000000" w:themeColor="text1"/>
                <w:kern w:val="2"/>
                <w14:textFill>
                  <w14:solidFill>
                    <w14:schemeClr w14:val="tx1"/>
                  </w14:solidFill>
                </w14:textFill>
              </w:rPr>
              <w:t>/</w:t>
            </w:r>
            <w:bookmarkEnd w:id="31"/>
          </w:p>
        </w:tc>
        <w:tc>
          <w:tcPr>
            <w:tcW w:w="1535"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24</w:t>
            </w:r>
            <w:r>
              <w:rPr>
                <w:rFonts w:hint="eastAsia" w:ascii="Times New Roman" w:hAnsi="Times New Roman" w:eastAsiaTheme="minorEastAsia"/>
                <w:color w:val="000000" w:themeColor="text1"/>
                <w:kern w:val="2"/>
                <w14:textFill>
                  <w14:solidFill>
                    <w14:schemeClr w14:val="tx1"/>
                  </w14:solidFill>
                </w14:textFill>
              </w:rPr>
              <w:t>小时制</w:t>
            </w:r>
          </w:p>
        </w:tc>
        <w:tc>
          <w:tcPr>
            <w:tcW w:w="1505"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24</w:t>
            </w:r>
            <w:r>
              <w:rPr>
                <w:rFonts w:hint="eastAsia" w:ascii="Times New Roman" w:hAnsi="Times New Roman" w:eastAsiaTheme="minorEastAsia"/>
                <w:color w:val="000000" w:themeColor="text1"/>
                <w:kern w:val="2"/>
                <w14:textFill>
                  <w14:solidFill>
                    <w14:schemeClr w14:val="tx1"/>
                  </w14:solidFill>
                </w14:textFill>
              </w:rPr>
              <w:t>小时制</w:t>
            </w:r>
          </w:p>
        </w:tc>
        <w:tc>
          <w:tcPr>
            <w:tcW w:w="2370"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bookmarkStart w:id="32" w:name="_Toc4683"/>
            <w:r>
              <w:rPr>
                <w:rFonts w:hint="eastAsia" w:ascii="Times New Roman" w:hAnsi="Times New Roman" w:eastAsiaTheme="minorEastAsia"/>
                <w:color w:val="000000" w:themeColor="text1"/>
                <w:kern w:val="2"/>
                <w14:textFill>
                  <w14:solidFill>
                    <w14:schemeClr w14:val="tx1"/>
                  </w14:solidFill>
                </w14:textFill>
              </w:rPr>
              <w:t>与环评一致</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bookmarkStart w:id="33" w:name="_Toc23108"/>
            <w:r>
              <w:rPr>
                <w:rFonts w:hint="eastAsia" w:ascii="Times New Roman" w:hAnsi="Times New Roman" w:eastAsiaTheme="minorEastAsia"/>
                <w:color w:val="000000" w:themeColor="text1"/>
                <w:kern w:val="2"/>
                <w14:textFill>
                  <w14:solidFill>
                    <w14:schemeClr w14:val="tx1"/>
                  </w14:solidFill>
                </w14:textFill>
              </w:rPr>
              <w:t>3</w:t>
            </w:r>
          </w:p>
        </w:tc>
        <w:tc>
          <w:tcPr>
            <w:tcW w:w="1601"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劳动定员</w:t>
            </w:r>
            <w:bookmarkEnd w:id="33"/>
          </w:p>
        </w:tc>
        <w:tc>
          <w:tcPr>
            <w:tcW w:w="1117"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bookmarkStart w:id="34" w:name="_Toc12921"/>
            <w:r>
              <w:rPr>
                <w:rFonts w:ascii="Times New Roman" w:hAnsi="Times New Roman" w:eastAsiaTheme="minorEastAsia"/>
                <w:color w:val="000000" w:themeColor="text1"/>
                <w:kern w:val="2"/>
                <w14:textFill>
                  <w14:solidFill>
                    <w14:schemeClr w14:val="tx1"/>
                  </w14:solidFill>
                </w14:textFill>
              </w:rPr>
              <w:t>人</w:t>
            </w:r>
            <w:bookmarkEnd w:id="34"/>
          </w:p>
        </w:tc>
        <w:tc>
          <w:tcPr>
            <w:tcW w:w="1535" w:type="dxa"/>
            <w:tcBorders>
              <w:tl2br w:val="nil"/>
              <w:tr2bl w:val="nil"/>
            </w:tcBorders>
            <w:vAlign w:val="center"/>
          </w:tcPr>
          <w:p>
            <w:pPr>
              <w:pStyle w:val="41"/>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26</w:t>
            </w:r>
          </w:p>
        </w:tc>
        <w:tc>
          <w:tcPr>
            <w:tcW w:w="1505" w:type="dxa"/>
            <w:tcBorders>
              <w:tl2br w:val="nil"/>
              <w:tr2bl w:val="nil"/>
            </w:tcBorders>
            <w:vAlign w:val="center"/>
          </w:tcPr>
          <w:p>
            <w:pPr>
              <w:pStyle w:val="41"/>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26</w:t>
            </w:r>
          </w:p>
        </w:tc>
        <w:tc>
          <w:tcPr>
            <w:tcW w:w="2370" w:type="dxa"/>
            <w:tcBorders>
              <w:tl2br w:val="nil"/>
              <w:tr2bl w:val="nil"/>
            </w:tcBorders>
            <w:vAlign w:val="center"/>
          </w:tcPr>
          <w:p>
            <w:pPr>
              <w:pStyle w:val="41"/>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rPr>
        <w:t>（</w:t>
      </w:r>
      <w:r>
        <w:rPr>
          <w:rFonts w:hint="eastAsia"/>
          <w:lang w:val="en-US" w:eastAsia="zh-CN"/>
        </w:rPr>
        <w:t>3</w:t>
      </w:r>
      <w:r>
        <w:rPr>
          <w:rFonts w:hint="eastAsia"/>
        </w:rPr>
        <w:t>）</w:t>
      </w:r>
      <w:r>
        <w:rPr>
          <w:rFonts w:hint="eastAsia"/>
          <w:lang w:eastAsia="zh-CN"/>
        </w:rPr>
        <w:t>产品方案</w:t>
      </w:r>
    </w:p>
    <w:p>
      <w:pPr>
        <w:ind w:firstLine="480" w:firstLineChars="200"/>
        <w:rPr>
          <w:rFonts w:hint="eastAsia"/>
        </w:rPr>
      </w:pPr>
      <w:r>
        <w:rPr>
          <w:rFonts w:hint="eastAsia"/>
        </w:rPr>
        <w:t>项目主要沥青混凝土和水泥稳定碎石的生产，产品方案详见下表。</w:t>
      </w:r>
    </w:p>
    <w:p>
      <w:pPr>
        <w:spacing w:line="240" w:lineRule="auto"/>
        <w:jc w:val="center"/>
        <w:rPr>
          <w:rFonts w:hint="eastAsia"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lang w:val="en-US" w:eastAsia="zh-CN"/>
          <w14:textFill>
            <w14:solidFill>
              <w14:schemeClr w14:val="tx1"/>
            </w14:solidFill>
          </w14:textFill>
        </w:rPr>
        <w:t>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4</w:t>
      </w:r>
      <w:r>
        <w:rPr>
          <w:rFonts w:hint="eastAsia" w:cs="Times New Roman" w:eastAsiaTheme="minorEastAsia"/>
          <w:b/>
          <w:bCs/>
          <w:color w:val="000000" w:themeColor="text1"/>
          <w:sz w:val="21"/>
          <w:szCs w:val="21"/>
          <w14:textFill>
            <w14:solidFill>
              <w14:schemeClr w14:val="tx1"/>
            </w14:solidFill>
          </w14:textFill>
        </w:rPr>
        <w:t xml:space="preserve">  本项目产品方案一览表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340"/>
        <w:gridCol w:w="1335"/>
        <w:gridCol w:w="1335"/>
        <w:gridCol w:w="1335"/>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noWrap w:val="0"/>
            <w:vAlign w:val="center"/>
          </w:tcPr>
          <w:p>
            <w:pPr>
              <w:pStyle w:val="41"/>
              <w:rPr>
                <w:rFonts w:hint="eastAsia" w:ascii="Times New Roman" w:hAnsi="Times New Roman" w:cs="Times New Roman" w:eastAsiaTheme="minorEastAsia"/>
                <w:b/>
                <w:bCs/>
                <w:color w:val="000000" w:themeColor="text1"/>
                <w:kern w:val="2"/>
                <w:lang w:val="zh-CN" w:eastAsia="zh-CN"/>
                <w14:textFill>
                  <w14:solidFill>
                    <w14:schemeClr w14:val="tx1"/>
                  </w14:solidFill>
                </w14:textFill>
              </w:rPr>
            </w:pPr>
            <w:r>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t>产品名称</w:t>
            </w:r>
          </w:p>
        </w:tc>
        <w:tc>
          <w:tcPr>
            <w:tcW w:w="2340" w:type="dxa"/>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t>规格</w:t>
            </w:r>
          </w:p>
        </w:tc>
        <w:tc>
          <w:tcPr>
            <w:tcW w:w="1335" w:type="dxa"/>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t>折标准砖块</w:t>
            </w:r>
          </w:p>
        </w:tc>
        <w:tc>
          <w:tcPr>
            <w:tcW w:w="1335" w:type="dxa"/>
            <w:noWrap w:val="0"/>
            <w:vAlign w:val="center"/>
          </w:tcPr>
          <w:p>
            <w:pPr>
              <w:pStyle w:val="41"/>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t>年产量</w:t>
            </w:r>
          </w:p>
          <w:p>
            <w:pPr>
              <w:pStyle w:val="41"/>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t>（万块/年）</w:t>
            </w:r>
          </w:p>
        </w:tc>
        <w:tc>
          <w:tcPr>
            <w:tcW w:w="1335" w:type="dxa"/>
            <w:noWrap w:val="0"/>
            <w:vAlign w:val="center"/>
          </w:tcPr>
          <w:p>
            <w:pPr>
              <w:pStyle w:val="41"/>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t>成品砖质量（kg/标砖）</w:t>
            </w:r>
          </w:p>
        </w:tc>
        <w:tc>
          <w:tcPr>
            <w:tcW w:w="1433" w:type="dxa"/>
            <w:noWrap w:val="0"/>
            <w:vAlign w:val="center"/>
          </w:tcPr>
          <w:p>
            <w:pPr>
              <w:pStyle w:val="41"/>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14:textFill>
                  <w14:solidFill>
                    <w14:schemeClr w14:val="tx1"/>
                  </w14:solidFill>
                </w14:textFill>
              </w:rPr>
              <w:t>折标准砖产量（万块/年）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空心页岩砖</w:t>
            </w:r>
          </w:p>
        </w:tc>
        <w:tc>
          <w:tcPr>
            <w:tcW w:w="2340" w:type="dxa"/>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240mm×115mm×53mm</w:t>
            </w:r>
          </w:p>
        </w:tc>
        <w:tc>
          <w:tcPr>
            <w:tcW w:w="1335" w:type="dxa"/>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1.0</w:t>
            </w:r>
          </w:p>
        </w:tc>
        <w:tc>
          <w:tcPr>
            <w:tcW w:w="1335" w:type="dxa"/>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3500</w:t>
            </w:r>
          </w:p>
        </w:tc>
        <w:tc>
          <w:tcPr>
            <w:tcW w:w="1335" w:type="dxa"/>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2.5</w:t>
            </w:r>
          </w:p>
        </w:tc>
        <w:tc>
          <w:tcPr>
            <w:tcW w:w="1433" w:type="dxa"/>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3500</w:t>
            </w:r>
          </w:p>
        </w:tc>
      </w:tr>
    </w:tbl>
    <w:p>
      <w:pPr>
        <w:pStyle w:val="3"/>
      </w:pPr>
      <w:bookmarkStart w:id="35" w:name="_Toc14571"/>
      <w:r>
        <w:t>3.3 主要原辅材料</w:t>
      </w:r>
      <w:bookmarkEnd w:id="26"/>
      <w:bookmarkEnd w:id="35"/>
    </w:p>
    <w:p>
      <w:pPr>
        <w:ind w:firstLine="480" w:firstLineChars="200"/>
        <w:rPr>
          <w:rFonts w:hint="eastAsia"/>
        </w:rPr>
      </w:pPr>
      <w:r>
        <w:rPr>
          <w:rFonts w:hint="eastAsia"/>
        </w:rPr>
        <w:t>本次技改项目主要采用城镇生活污泥作为原料制砖，本项目利用的城镇污泥由重庆市巫溪排水有限责任公司（不限于）负责运输至厂区原料堆场，本项目不涉及污泥脱水干化处置和厂外运输。</w:t>
      </w:r>
    </w:p>
    <w:p>
      <w:pPr>
        <w:ind w:firstLine="480" w:firstLineChars="200"/>
      </w:pPr>
      <w:r>
        <w:rPr>
          <w:rFonts w:hint="eastAsia"/>
        </w:rPr>
        <w:t>根据建设单位提供资料，煤矸石、污泥等均由供应商运输至厂内，页岩由企业在厂区北侧的矿山开采后，经厂区自有装载机运输至厂内</w:t>
      </w:r>
      <w:r>
        <w:rPr>
          <w:rFonts w:hint="eastAsia"/>
          <w:lang w:val="en-US" w:eastAsia="zh-CN"/>
        </w:rPr>
        <w:t>。</w:t>
      </w:r>
      <w:r>
        <w:rPr>
          <w:rFonts w:hint="eastAsia"/>
        </w:rPr>
        <w:t>根据业主提供</w:t>
      </w:r>
      <w:r>
        <w:rPr>
          <w:rFonts w:hint="eastAsia"/>
          <w:lang w:val="en-US" w:eastAsia="zh-CN"/>
        </w:rPr>
        <w:t>该企业运营阶段时的</w:t>
      </w:r>
      <w:r>
        <w:rPr>
          <w:rFonts w:hint="eastAsia"/>
        </w:rPr>
        <w:t>原辅材料消耗情况，实际</w:t>
      </w:r>
      <w:r>
        <w:t>原辅材料消耗</w:t>
      </w:r>
      <w:r>
        <w:rPr>
          <w:rFonts w:hint="eastAsia"/>
        </w:rPr>
        <w:t>量见</w:t>
      </w:r>
      <w:r>
        <w:t>表</w:t>
      </w:r>
      <w:r>
        <w:rPr>
          <w:rFonts w:hint="eastAsia"/>
        </w:rPr>
        <w:t>3-</w:t>
      </w:r>
      <w:r>
        <w:rPr>
          <w:rFonts w:hint="eastAsia"/>
          <w:lang w:val="en-US" w:eastAsia="zh-CN"/>
        </w:rPr>
        <w:t>5</w:t>
      </w:r>
      <w:r>
        <w:t>。</w:t>
      </w:r>
    </w:p>
    <w:p>
      <w:pPr>
        <w:spacing w:line="240" w:lineRule="auto"/>
        <w:jc w:val="center"/>
        <w:rPr>
          <w:rFonts w:cs="Times New Roman" w:eastAsiaTheme="minorEastAsia"/>
          <w:b/>
          <w:bCs/>
          <w:sz w:val="21"/>
          <w:szCs w:val="21"/>
        </w:rPr>
      </w:pPr>
      <w:r>
        <w:rPr>
          <w:rFonts w:cs="Times New Roman" w:eastAsiaTheme="minorEastAsia"/>
          <w:b/>
          <w:bCs/>
          <w:sz w:val="21"/>
          <w:szCs w:val="21"/>
        </w:rPr>
        <w:t>表3</w:t>
      </w:r>
      <w:r>
        <w:rPr>
          <w:rFonts w:hint="eastAsia" w:cs="Times New Roman" w:eastAsiaTheme="minorEastAsia"/>
          <w:b/>
          <w:bCs/>
          <w:sz w:val="21"/>
          <w:szCs w:val="21"/>
        </w:rPr>
        <w:t>-</w:t>
      </w:r>
      <w:r>
        <w:rPr>
          <w:rFonts w:hint="eastAsia" w:cs="Times New Roman" w:eastAsiaTheme="minorEastAsia"/>
          <w:b/>
          <w:bCs/>
          <w:sz w:val="21"/>
          <w:szCs w:val="21"/>
          <w:lang w:val="en-US" w:eastAsia="zh-CN"/>
        </w:rPr>
        <w:t>5</w:t>
      </w:r>
      <w:r>
        <w:rPr>
          <w:rFonts w:cs="Times New Roman" w:eastAsiaTheme="minorEastAsia"/>
          <w:b/>
          <w:bCs/>
          <w:sz w:val="21"/>
          <w:szCs w:val="21"/>
        </w:rPr>
        <w:t xml:space="preserve">    </w:t>
      </w:r>
      <w:r>
        <w:rPr>
          <w:rFonts w:hint="eastAsia" w:cs="Times New Roman" w:eastAsiaTheme="minorEastAsia"/>
          <w:b/>
          <w:bCs/>
          <w:sz w:val="21"/>
          <w:szCs w:val="21"/>
          <w:lang w:val="en-US" w:eastAsia="zh-CN"/>
        </w:rPr>
        <w:t>项目</w:t>
      </w:r>
      <w:r>
        <w:rPr>
          <w:rFonts w:cs="Times New Roman" w:eastAsiaTheme="minorEastAsia"/>
          <w:b/>
          <w:bCs/>
          <w:sz w:val="21"/>
          <w:szCs w:val="21"/>
        </w:rPr>
        <w:t>主要原辅材料消耗一览表</w:t>
      </w:r>
    </w:p>
    <w:tbl>
      <w:tblPr>
        <w:tblStyle w:val="23"/>
        <w:tblW w:w="505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8"/>
        <w:gridCol w:w="850"/>
        <w:gridCol w:w="1210"/>
        <w:gridCol w:w="1201"/>
        <w:gridCol w:w="1782"/>
        <w:gridCol w:w="1060"/>
        <w:gridCol w:w="1140"/>
        <w:gridCol w:w="13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序号</w:t>
            </w:r>
          </w:p>
        </w:tc>
        <w:tc>
          <w:tcPr>
            <w:tcW w:w="465"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种类</w:t>
            </w:r>
          </w:p>
        </w:tc>
        <w:tc>
          <w:tcPr>
            <w:tcW w:w="662" w:type="pct"/>
            <w:vMerge w:val="restart"/>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原料名称</w:t>
            </w:r>
          </w:p>
        </w:tc>
        <w:tc>
          <w:tcPr>
            <w:tcW w:w="1632" w:type="pct"/>
            <w:gridSpan w:val="2"/>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本项目消耗量</w:t>
            </w:r>
          </w:p>
        </w:tc>
        <w:tc>
          <w:tcPr>
            <w:tcW w:w="580" w:type="pct"/>
            <w:vMerge w:val="restart"/>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储存方式</w:t>
            </w:r>
          </w:p>
        </w:tc>
        <w:tc>
          <w:tcPr>
            <w:tcW w:w="624"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最大储存量 t/a</w:t>
            </w:r>
          </w:p>
        </w:tc>
        <w:tc>
          <w:tcPr>
            <w:tcW w:w="717"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vMerge w:val="continue"/>
            <w:tcBorders>
              <w:top w:val="nil"/>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465" w:type="pct"/>
            <w:vMerge w:val="continue"/>
            <w:tcBorders>
              <w:top w:val="nil"/>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62" w:type="pct"/>
            <w:vMerge w:val="continue"/>
            <w:tcBorders>
              <w:top w:val="nil"/>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57" w:type="pct"/>
            <w:tcBorders>
              <w:right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比例</w:t>
            </w:r>
          </w:p>
        </w:tc>
        <w:tc>
          <w:tcPr>
            <w:tcW w:w="975" w:type="pct"/>
            <w:tcBorders>
              <w:left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消耗量t/a</w:t>
            </w:r>
          </w:p>
        </w:tc>
        <w:tc>
          <w:tcPr>
            <w:tcW w:w="580"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24" w:type="pct"/>
            <w:vMerge w:val="continue"/>
            <w:tcBorders>
              <w:top w:val="nil"/>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717" w:type="pct"/>
            <w:vMerge w:val="continue"/>
            <w:tcBorders>
              <w:top w:val="nil"/>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1</w:t>
            </w:r>
          </w:p>
        </w:tc>
        <w:tc>
          <w:tcPr>
            <w:tcW w:w="465" w:type="pct"/>
            <w:vMerge w:val="restart"/>
            <w:tcBorders>
              <w:bottom w:val="single" w:color="000000" w:sz="8"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主要原料</w:t>
            </w:r>
          </w:p>
        </w:tc>
        <w:tc>
          <w:tcPr>
            <w:tcW w:w="662"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煤矸石</w:t>
            </w:r>
          </w:p>
        </w:tc>
        <w:tc>
          <w:tcPr>
            <w:tcW w:w="657" w:type="pct"/>
            <w:tcBorders>
              <w:right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22.53%</w:t>
            </w:r>
          </w:p>
        </w:tc>
        <w:tc>
          <w:tcPr>
            <w:tcW w:w="975" w:type="pct"/>
            <w:tcBorders>
              <w:left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23766.8（湿基）</w:t>
            </w:r>
          </w:p>
        </w:tc>
        <w:tc>
          <w:tcPr>
            <w:tcW w:w="580" w:type="pct"/>
            <w:vMerge w:val="restart"/>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原料场堆存</w:t>
            </w:r>
          </w:p>
        </w:tc>
        <w:tc>
          <w:tcPr>
            <w:tcW w:w="624" w:type="pct"/>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2000</w:t>
            </w:r>
          </w:p>
        </w:tc>
        <w:tc>
          <w:tcPr>
            <w:tcW w:w="717" w:type="pct"/>
            <w:vMerge w:val="restart"/>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页岩砖生产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2</w:t>
            </w:r>
          </w:p>
        </w:tc>
        <w:tc>
          <w:tcPr>
            <w:tcW w:w="465" w:type="pct"/>
            <w:vMerge w:val="continue"/>
            <w:tcBorders>
              <w:top w:val="nil"/>
              <w:bottom w:val="single" w:color="000000" w:sz="8"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62"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页岩</w:t>
            </w:r>
          </w:p>
        </w:tc>
        <w:tc>
          <w:tcPr>
            <w:tcW w:w="657" w:type="pct"/>
            <w:tcBorders>
              <w:bottom w:val="single" w:color="auto" w:sz="4" w:space="0"/>
              <w:right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63.64%</w:t>
            </w:r>
          </w:p>
        </w:tc>
        <w:tc>
          <w:tcPr>
            <w:tcW w:w="975" w:type="pct"/>
            <w:tcBorders>
              <w:left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67129.6（湿基）</w:t>
            </w:r>
          </w:p>
        </w:tc>
        <w:tc>
          <w:tcPr>
            <w:tcW w:w="580"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24"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6000</w:t>
            </w:r>
          </w:p>
        </w:tc>
        <w:tc>
          <w:tcPr>
            <w:tcW w:w="717"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3</w:t>
            </w:r>
          </w:p>
        </w:tc>
        <w:tc>
          <w:tcPr>
            <w:tcW w:w="465" w:type="pct"/>
            <w:vMerge w:val="continue"/>
            <w:tcBorders>
              <w:top w:val="nil"/>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62"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污泥</w:t>
            </w:r>
          </w:p>
        </w:tc>
        <w:tc>
          <w:tcPr>
            <w:tcW w:w="657" w:type="pct"/>
            <w:tcBorders>
              <w:bottom w:val="single" w:color="auto" w:sz="4" w:space="0"/>
              <w:right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13.83%</w:t>
            </w:r>
          </w:p>
        </w:tc>
        <w:tc>
          <w:tcPr>
            <w:tcW w:w="975" w:type="pct"/>
            <w:tcBorders>
              <w:left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14583.3（湿基）</w:t>
            </w:r>
          </w:p>
        </w:tc>
        <w:tc>
          <w:tcPr>
            <w:tcW w:w="580" w:type="pct"/>
            <w:vMerge w:val="continue"/>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24"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500</w:t>
            </w:r>
          </w:p>
        </w:tc>
        <w:tc>
          <w:tcPr>
            <w:tcW w:w="717" w:type="pct"/>
            <w:vMerge w:val="continue"/>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4</w:t>
            </w:r>
          </w:p>
        </w:tc>
        <w:tc>
          <w:tcPr>
            <w:tcW w:w="465"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辅料</w:t>
            </w:r>
          </w:p>
        </w:tc>
        <w:tc>
          <w:tcPr>
            <w:tcW w:w="662" w:type="pct"/>
            <w:tcBorders>
              <w:top w:val="single" w:color="auto" w:sz="4" w:space="0"/>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氢氧化钠</w:t>
            </w:r>
          </w:p>
        </w:tc>
        <w:tc>
          <w:tcPr>
            <w:tcW w:w="1632" w:type="pct"/>
            <w:gridSpan w:val="2"/>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35</w:t>
            </w:r>
          </w:p>
        </w:tc>
        <w:tc>
          <w:tcPr>
            <w:tcW w:w="580"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袋装堆存</w:t>
            </w:r>
          </w:p>
        </w:tc>
        <w:tc>
          <w:tcPr>
            <w:tcW w:w="624" w:type="pct"/>
            <w:tcBorders>
              <w:bottom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w:t>
            </w:r>
          </w:p>
        </w:tc>
        <w:tc>
          <w:tcPr>
            <w:tcW w:w="717"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废气治理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5</w:t>
            </w:r>
          </w:p>
        </w:tc>
        <w:tc>
          <w:tcPr>
            <w:tcW w:w="465"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62" w:type="pct"/>
            <w:tcBorders>
              <w:top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碳酸钙</w:t>
            </w:r>
          </w:p>
        </w:tc>
        <w:tc>
          <w:tcPr>
            <w:tcW w:w="1632" w:type="pct"/>
            <w:gridSpan w:val="2"/>
            <w:tcBorders>
              <w:top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w:t>
            </w:r>
          </w:p>
        </w:tc>
        <w:tc>
          <w:tcPr>
            <w:tcW w:w="580"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袋装堆存</w:t>
            </w:r>
          </w:p>
        </w:tc>
        <w:tc>
          <w:tcPr>
            <w:tcW w:w="624" w:type="pct"/>
            <w:tcBorders>
              <w:top w:val="single" w:color="auto" w:sz="4" w:space="0"/>
            </w:tcBorders>
            <w:noWrap w:val="0"/>
            <w:vAlign w:val="center"/>
          </w:tcPr>
          <w:p>
            <w:pPr>
              <w:pStyle w:val="41"/>
              <w:rPr>
                <w:rFonts w:hint="eastAsia" w:ascii="Times New Roman" w:hAnsi="Times New Roman" w:cs="Times New Roman" w:eastAsiaTheme="minorEastAsia"/>
                <w:color w:val="000000" w:themeColor="text1"/>
                <w:kern w:val="2"/>
                <w:lang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w:t>
            </w:r>
          </w:p>
        </w:tc>
        <w:tc>
          <w:tcPr>
            <w:tcW w:w="717"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废气治理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6</w:t>
            </w:r>
          </w:p>
        </w:tc>
        <w:tc>
          <w:tcPr>
            <w:tcW w:w="465" w:type="pct"/>
            <w:vMerge w:val="continue"/>
            <w:tcBorders>
              <w:top w:val="nil"/>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62"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机油</w:t>
            </w:r>
          </w:p>
        </w:tc>
        <w:tc>
          <w:tcPr>
            <w:tcW w:w="1632" w:type="pct"/>
            <w:gridSpan w:val="2"/>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0.5</w:t>
            </w:r>
          </w:p>
        </w:tc>
        <w:tc>
          <w:tcPr>
            <w:tcW w:w="580"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桶装堆存</w:t>
            </w:r>
          </w:p>
        </w:tc>
        <w:tc>
          <w:tcPr>
            <w:tcW w:w="624"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0.1</w:t>
            </w:r>
          </w:p>
        </w:tc>
        <w:tc>
          <w:tcPr>
            <w:tcW w:w="717" w:type="pct"/>
            <w:tcBorders>
              <w:bottom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需要时外购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7</w:t>
            </w:r>
          </w:p>
        </w:tc>
        <w:tc>
          <w:tcPr>
            <w:tcW w:w="465" w:type="pct"/>
            <w:vMerge w:val="continue"/>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62"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柴油</w:t>
            </w:r>
          </w:p>
        </w:tc>
        <w:tc>
          <w:tcPr>
            <w:tcW w:w="1632" w:type="pct"/>
            <w:gridSpan w:val="2"/>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0.5</w:t>
            </w:r>
          </w:p>
        </w:tc>
        <w:tc>
          <w:tcPr>
            <w:tcW w:w="580"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桶装堆存</w:t>
            </w:r>
          </w:p>
        </w:tc>
        <w:tc>
          <w:tcPr>
            <w:tcW w:w="624"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0.1</w:t>
            </w:r>
          </w:p>
        </w:tc>
        <w:tc>
          <w:tcPr>
            <w:tcW w:w="717" w:type="pct"/>
            <w:tcBorders>
              <w:top w:val="single" w:color="auto" w:sz="4" w:space="0"/>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需要时外购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8</w:t>
            </w:r>
          </w:p>
        </w:tc>
        <w:tc>
          <w:tcPr>
            <w:tcW w:w="465" w:type="pct"/>
            <w:vMerge w:val="restar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能</w:t>
            </w:r>
          </w:p>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源</w:t>
            </w:r>
          </w:p>
        </w:tc>
        <w:tc>
          <w:tcPr>
            <w:tcW w:w="662"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水</w:t>
            </w:r>
          </w:p>
        </w:tc>
        <w:tc>
          <w:tcPr>
            <w:tcW w:w="1632" w:type="pct"/>
            <w:gridSpan w:val="2"/>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16106.2</w:t>
            </w:r>
            <w:r>
              <w:rPr>
                <w:rFonts w:hint="default" w:ascii="Times New Roman" w:hAnsi="Times New Roman" w:cs="Times New Roman" w:eastAsiaTheme="minorEastAsia"/>
                <w:color w:val="000000" w:themeColor="text1"/>
                <w:kern w:val="2"/>
                <w14:textFill>
                  <w14:solidFill>
                    <w14:schemeClr w14:val="tx1"/>
                  </w14:solidFill>
                </w14:textFill>
              </w:rPr>
              <w:t>m</w:t>
            </w:r>
            <w:r>
              <w:rPr>
                <w:rFonts w:hint="default" w:ascii="Times New Roman" w:hAnsi="Times New Roman" w:cs="Times New Roman" w:eastAsiaTheme="minorEastAsia"/>
                <w:color w:val="000000" w:themeColor="text1"/>
                <w:kern w:val="2"/>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2"/>
                <w14:textFill>
                  <w14:solidFill>
                    <w14:schemeClr w14:val="tx1"/>
                  </w14:solidFill>
                </w14:textFill>
              </w:rPr>
              <w:t>/a</w:t>
            </w:r>
          </w:p>
        </w:tc>
        <w:tc>
          <w:tcPr>
            <w:tcW w:w="580"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c>
          <w:tcPr>
            <w:tcW w:w="624"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w:t>
            </w:r>
          </w:p>
        </w:tc>
        <w:tc>
          <w:tcPr>
            <w:tcW w:w="717"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市政供水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9</w:t>
            </w:r>
          </w:p>
        </w:tc>
        <w:tc>
          <w:tcPr>
            <w:tcW w:w="465" w:type="pct"/>
            <w:vMerge w:val="continue"/>
            <w:tcBorders>
              <w:top w:val="nil"/>
            </w:tcBorders>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p>
        </w:tc>
        <w:tc>
          <w:tcPr>
            <w:tcW w:w="662"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电</w:t>
            </w:r>
          </w:p>
        </w:tc>
        <w:tc>
          <w:tcPr>
            <w:tcW w:w="1632" w:type="pct"/>
            <w:gridSpan w:val="2"/>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280</w:t>
            </w:r>
            <w:r>
              <w:rPr>
                <w:rFonts w:hint="default" w:ascii="Times New Roman" w:hAnsi="Times New Roman" w:cs="Times New Roman" w:eastAsiaTheme="minorEastAsia"/>
                <w:color w:val="000000" w:themeColor="text1"/>
                <w:kern w:val="2"/>
                <w14:textFill>
                  <w14:solidFill>
                    <w14:schemeClr w14:val="tx1"/>
                  </w14:solidFill>
                </w14:textFill>
              </w:rPr>
              <w:t>万度/a</w:t>
            </w:r>
          </w:p>
        </w:tc>
        <w:tc>
          <w:tcPr>
            <w:tcW w:w="580" w:type="pct"/>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c>
          <w:tcPr>
            <w:tcW w:w="624"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w:t>
            </w:r>
          </w:p>
        </w:tc>
        <w:tc>
          <w:tcPr>
            <w:tcW w:w="717" w:type="pct"/>
            <w:noWrap w:val="0"/>
            <w:vAlign w:val="center"/>
          </w:tcPr>
          <w:p>
            <w:pPr>
              <w:pStyle w:val="41"/>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市政供电</w:t>
            </w:r>
          </w:p>
        </w:tc>
      </w:tr>
    </w:tbl>
    <w:p>
      <w:pPr>
        <w:spacing w:line="240" w:lineRule="auto"/>
        <w:jc w:val="center"/>
        <w:rPr>
          <w:rFonts w:cs="Times New Roman" w:eastAsiaTheme="minorEastAsia"/>
          <w:b/>
          <w:bCs/>
          <w:sz w:val="21"/>
          <w:szCs w:val="21"/>
        </w:rPr>
      </w:pPr>
    </w:p>
    <w:p>
      <w:pPr>
        <w:pStyle w:val="3"/>
      </w:pPr>
      <w:bookmarkStart w:id="36" w:name="_Toc3418"/>
      <w:r>
        <w:t>3.4 主要生产设备</w:t>
      </w:r>
      <w:bookmarkEnd w:id="36"/>
    </w:p>
    <w:p>
      <w:pPr>
        <w:ind w:firstLine="480" w:firstLineChars="200"/>
      </w:pPr>
      <w:bookmarkStart w:id="37" w:name="_Toc497833575"/>
      <w:r>
        <w:rPr>
          <w:rFonts w:hint="eastAsia"/>
        </w:rPr>
        <w:t>本项目仅新增1台污泥给料机和输送设备，其他生产设备均依托华安墙材现有设备，主要设备见下表所示</w:t>
      </w:r>
      <w:r>
        <w:t>主要设备配置情况见表3</w:t>
      </w:r>
      <w:r>
        <w:rPr>
          <w:rFonts w:hint="eastAsia"/>
        </w:rPr>
        <w:t>-</w:t>
      </w:r>
      <w:r>
        <w:rPr>
          <w:rFonts w:hint="eastAsia"/>
          <w:lang w:val="en-US" w:eastAsia="zh-CN"/>
        </w:rPr>
        <w:t>6</w:t>
      </w:r>
      <w:r>
        <w:t>。</w:t>
      </w:r>
    </w:p>
    <w:p>
      <w:pPr>
        <w:pStyle w:val="83"/>
        <w:rPr>
          <w:color w:val="000000" w:themeColor="text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6</w:t>
      </w:r>
      <w:r>
        <w:rPr>
          <w:rFonts w:cs="Times New Roman" w:eastAsiaTheme="minorEastAsia"/>
          <w:b/>
          <w:bCs/>
          <w:color w:val="000000" w:themeColor="text1"/>
          <w:sz w:val="21"/>
          <w:szCs w:val="21"/>
          <w14:textFill>
            <w14:solidFill>
              <w14:schemeClr w14:val="tx1"/>
            </w14:solidFill>
          </w14:textFill>
        </w:rPr>
        <w:t xml:space="preserve">  项目主要设备表</w:t>
      </w:r>
      <w:r>
        <w:rPr>
          <w:color w:val="000000" w:themeColor="text1"/>
          <w14:textFill>
            <w14:solidFill>
              <w14:schemeClr w14:val="tx1"/>
            </w14:solidFill>
          </w14:textFill>
        </w:rPr>
        <w:t>表</w:t>
      </w:r>
    </w:p>
    <w:tbl>
      <w:tblPr>
        <w:tblStyle w:val="23"/>
        <w:tblW w:w="4997" w:type="pct"/>
        <w:tblInd w:w="0" w:type="dxa"/>
        <w:tblLayout w:type="autofit"/>
        <w:tblCellMar>
          <w:top w:w="0" w:type="dxa"/>
          <w:left w:w="108" w:type="dxa"/>
          <w:bottom w:w="0" w:type="dxa"/>
          <w:right w:w="108" w:type="dxa"/>
        </w:tblCellMar>
      </w:tblPr>
      <w:tblGrid>
        <w:gridCol w:w="705"/>
        <w:gridCol w:w="2160"/>
        <w:gridCol w:w="2146"/>
        <w:gridCol w:w="2068"/>
        <w:gridCol w:w="1078"/>
        <w:gridCol w:w="1078"/>
      </w:tblGrid>
      <w:tr>
        <w:tblPrEx>
          <w:tblCellMar>
            <w:top w:w="0" w:type="dxa"/>
            <w:left w:w="108" w:type="dxa"/>
            <w:bottom w:w="0" w:type="dxa"/>
            <w:right w:w="108" w:type="dxa"/>
          </w:tblCellMar>
        </w:tblPrEx>
        <w:trPr>
          <w:trHeight w:val="397" w:hRule="atLeast"/>
        </w:trPr>
        <w:tc>
          <w:tcPr>
            <w:tcW w:w="382" w:type="pct"/>
            <w:tcBorders>
              <w:top w:val="single" w:color="000000" w:sz="8" w:space="0"/>
              <w:left w:val="single" w:color="000000" w:sz="8" w:space="0"/>
              <w:bottom w:val="single" w:color="auto" w:sz="4"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序号</w:t>
            </w:r>
          </w:p>
        </w:tc>
        <w:tc>
          <w:tcPr>
            <w:tcW w:w="1169" w:type="pct"/>
            <w:tcBorders>
              <w:top w:val="single" w:color="000000" w:sz="8" w:space="0"/>
              <w:left w:val="single" w:color="000000" w:sz="8" w:space="0"/>
              <w:bottom w:val="single" w:color="auto" w:sz="4"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主要工艺</w:t>
            </w:r>
          </w:p>
        </w:tc>
        <w:tc>
          <w:tcPr>
            <w:tcW w:w="1161" w:type="pct"/>
            <w:tcBorders>
              <w:top w:val="single" w:color="000000" w:sz="8" w:space="0"/>
              <w:left w:val="single" w:color="000000" w:sz="8" w:space="0"/>
              <w:bottom w:val="single" w:color="auto" w:sz="4"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设备名称</w:t>
            </w:r>
          </w:p>
        </w:tc>
        <w:tc>
          <w:tcPr>
            <w:tcW w:w="1119" w:type="pct"/>
            <w:tcBorders>
              <w:top w:val="single" w:color="000000" w:sz="8" w:space="0"/>
              <w:left w:val="single" w:color="000000" w:sz="8" w:space="0"/>
              <w:bottom w:val="single" w:color="auto" w:sz="4"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型号/规格</w:t>
            </w:r>
          </w:p>
        </w:tc>
        <w:tc>
          <w:tcPr>
            <w:tcW w:w="583" w:type="pct"/>
            <w:tcBorders>
              <w:top w:val="single" w:color="000000" w:sz="8" w:space="0"/>
              <w:left w:val="single" w:color="000000" w:sz="8" w:space="0"/>
              <w:bottom w:val="single" w:color="auto" w:sz="4"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数量</w:t>
            </w:r>
          </w:p>
        </w:tc>
        <w:tc>
          <w:tcPr>
            <w:tcW w:w="583" w:type="pct"/>
            <w:tcBorders>
              <w:top w:val="single" w:color="000000" w:sz="8" w:space="0"/>
              <w:left w:val="single" w:color="000000" w:sz="8" w:space="0"/>
              <w:bottom w:val="single" w:color="auto" w:sz="4"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备注</w:t>
            </w:r>
          </w:p>
        </w:tc>
      </w:tr>
      <w:tr>
        <w:trPr>
          <w:trHeight w:val="397" w:hRule="atLeast"/>
        </w:trPr>
        <w:tc>
          <w:tcPr>
            <w:tcW w:w="382"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w:t>
            </w:r>
          </w:p>
        </w:tc>
        <w:tc>
          <w:tcPr>
            <w:tcW w:w="1169"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原料储存</w:t>
            </w:r>
          </w:p>
        </w:tc>
        <w:tc>
          <w:tcPr>
            <w:tcW w:w="1161"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污泥储存池</w:t>
            </w:r>
          </w:p>
        </w:tc>
        <w:tc>
          <w:tcPr>
            <w:tcW w:w="1119"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容量500m</w:t>
            </w:r>
            <w:r>
              <w:rPr>
                <w:rFonts w:hint="eastAsia"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p>
        </w:tc>
        <w:tc>
          <w:tcPr>
            <w:tcW w:w="583"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1个</w:t>
            </w:r>
          </w:p>
        </w:tc>
        <w:tc>
          <w:tcPr>
            <w:tcW w:w="583"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r>
      <w:tr>
        <w:trPr>
          <w:trHeight w:val="397" w:hRule="atLeast"/>
        </w:trPr>
        <w:tc>
          <w:tcPr>
            <w:tcW w:w="382" w:type="pct"/>
            <w:vMerge w:val="restart"/>
            <w:tcBorders>
              <w:top w:val="nil"/>
              <w:left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w:t>
            </w:r>
          </w:p>
        </w:tc>
        <w:tc>
          <w:tcPr>
            <w:tcW w:w="1169" w:type="pct"/>
            <w:vMerge w:val="restart"/>
            <w:tcBorders>
              <w:top w:val="nil"/>
              <w:left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原料输送</w:t>
            </w:r>
          </w:p>
        </w:tc>
        <w:tc>
          <w:tcPr>
            <w:tcW w:w="1161"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给料机</w:t>
            </w:r>
          </w:p>
        </w:tc>
        <w:tc>
          <w:tcPr>
            <w:tcW w:w="1119"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c>
          <w:tcPr>
            <w:tcW w:w="583"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1台</w:t>
            </w:r>
          </w:p>
        </w:tc>
        <w:tc>
          <w:tcPr>
            <w:tcW w:w="583"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382" w:type="pct"/>
            <w:vMerge w:val="continue"/>
            <w:tcBorders>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1169" w:type="pct"/>
            <w:vMerge w:val="continue"/>
            <w:tcBorders>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1161"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输送管道</w:t>
            </w:r>
          </w:p>
        </w:tc>
        <w:tc>
          <w:tcPr>
            <w:tcW w:w="1119"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长度约55m</w:t>
            </w:r>
          </w:p>
        </w:tc>
        <w:tc>
          <w:tcPr>
            <w:tcW w:w="583" w:type="pct"/>
            <w:tcBorders>
              <w:top w:val="nil"/>
              <w:left w:val="single" w:color="000000" w:sz="8" w:space="0"/>
              <w:bottom w:val="single" w:color="000000" w:sz="8" w:space="0"/>
              <w:right w:val="single" w:color="000000" w:sz="8"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1套</w:t>
            </w:r>
          </w:p>
        </w:tc>
        <w:tc>
          <w:tcPr>
            <w:tcW w:w="583" w:type="pct"/>
            <w:tcBorders>
              <w:top w:val="nil"/>
              <w:left w:val="single" w:color="000000" w:sz="8" w:space="0"/>
              <w:bottom w:val="single" w:color="000000" w:sz="8" w:space="0"/>
              <w:right w:val="single" w:color="000000" w:sz="8" w:space="0"/>
            </w:tcBorders>
            <w:noWrap/>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r>
      <w:bookmarkEnd w:id="37"/>
    </w:tbl>
    <w:p>
      <w:pPr>
        <w:pStyle w:val="3"/>
      </w:pPr>
      <w:bookmarkStart w:id="38" w:name="_Toc26616"/>
      <w:bookmarkStart w:id="39" w:name="_Toc497833576"/>
      <w:r>
        <w:rPr>
          <w:rFonts w:hint="eastAsia"/>
        </w:rPr>
        <w:t>3.5</w:t>
      </w:r>
      <w:bookmarkEnd w:id="38"/>
      <w:r>
        <w:rPr>
          <w:rFonts w:hint="eastAsia"/>
        </w:rPr>
        <w:t>水平衡及物料平衡分析</w:t>
      </w:r>
    </w:p>
    <w:p>
      <w:pPr>
        <w:pStyle w:val="80"/>
        <w:numPr>
          <w:ilvl w:val="0"/>
          <w:numId w:val="4"/>
        </w:numPr>
        <w:ind w:firstLine="48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水平衡</w:t>
      </w:r>
    </w:p>
    <w:p>
      <w:pPr>
        <w:ind w:firstLine="480" w:firstLineChars="200"/>
        <w:rPr>
          <w:rFonts w:hint="eastAsia" w:ascii="Times New Roman" w:hAnsi="Times New Roman" w:eastAsia="宋体"/>
        </w:rPr>
      </w:pPr>
      <w:r>
        <w:rPr>
          <w:rFonts w:hint="eastAsia" w:ascii="Times New Roman" w:hAnsi="Times New Roman" w:eastAsia="宋体"/>
        </w:rPr>
        <w:t>本项目新增食堂。本项目实施后由于添加了含水率高于页岩的污泥作为制砖原料，原料整体含水率提高了，故本项目实施后制坯用水量减少</w:t>
      </w:r>
      <w:r>
        <w:rPr>
          <w:rFonts w:hint="eastAsia" w:ascii="Times New Roman" w:hAnsi="Times New Roman" w:eastAsia="宋体"/>
          <w:lang w:eastAsia="zh-CN"/>
        </w:rPr>
        <w:t>。</w:t>
      </w:r>
      <w:r>
        <w:rPr>
          <w:rFonts w:hint="eastAsia" w:ascii="Times New Roman" w:hAnsi="Times New Roman" w:eastAsia="宋体"/>
        </w:rPr>
        <w:t>项目水平衡图，见下图。</w:t>
      </w:r>
    </w:p>
    <w:p>
      <w:pPr>
        <w:pStyle w:val="80"/>
        <w:ind w:firstLine="480"/>
        <w:rPr>
          <w:color w:val="000000" w:themeColor="text1"/>
          <w:highlight w:val="none"/>
          <w14:textFill>
            <w14:solidFill>
              <w14:schemeClr w14:val="tx1"/>
            </w14:solidFill>
          </w14:textFill>
        </w:rPr>
      </w:pPr>
      <w:r>
        <w:rPr>
          <w:rFonts w:hint="eastAsia"/>
          <w:color w:val="0000FF"/>
          <w:sz w:val="24"/>
          <w:szCs w:val="24"/>
        </w:rPr>
        <mc:AlternateContent>
          <mc:Choice Requires="wpc">
            <w:drawing>
              <wp:inline distT="0" distB="0" distL="114300" distR="114300">
                <wp:extent cx="5499735" cy="4156710"/>
                <wp:effectExtent l="0" t="0" r="0" b="15240"/>
                <wp:docPr id="55" name="画布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直接箭头连接符 1"/>
                        <wps:cNvCnPr/>
                        <wps:spPr>
                          <a:xfrm>
                            <a:off x="542925" y="489099"/>
                            <a:ext cx="532765" cy="1270"/>
                          </a:xfrm>
                          <a:prstGeom prst="straightConnector1">
                            <a:avLst/>
                          </a:prstGeom>
                          <a:ln w="9525" cap="flat" cmpd="sng">
                            <a:solidFill>
                              <a:srgbClr val="000000"/>
                            </a:solidFill>
                            <a:prstDash val="solid"/>
                            <a:headEnd type="none" w="med" len="med"/>
                            <a:tailEnd type="triangle" w="med" len="med"/>
                          </a:ln>
                        </wps:spPr>
                        <wps:bodyPr/>
                      </wps:wsp>
                      <wps:wsp>
                        <wps:cNvPr id="2" name="矩形 2"/>
                        <wps:cNvSpPr/>
                        <wps:spPr>
                          <a:xfrm>
                            <a:off x="1067435" y="336653"/>
                            <a:ext cx="1075055" cy="270593"/>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办公生活用水</w:t>
                              </w:r>
                            </w:p>
                          </w:txbxContent>
                        </wps:txbx>
                        <wps:bodyPr upright="1"/>
                      </wps:wsp>
                      <wps:wsp>
                        <wps:cNvPr id="6" name="直接箭头连接符 6"/>
                        <wps:cNvCnPr/>
                        <wps:spPr>
                          <a:xfrm flipV="1">
                            <a:off x="1287145" y="176584"/>
                            <a:ext cx="95250" cy="119416"/>
                          </a:xfrm>
                          <a:prstGeom prst="straightConnector1">
                            <a:avLst/>
                          </a:prstGeom>
                          <a:ln w="9525" cap="flat" cmpd="sng">
                            <a:solidFill>
                              <a:srgbClr val="000000"/>
                            </a:solidFill>
                            <a:prstDash val="sysDot"/>
                            <a:headEnd type="none" w="med" len="med"/>
                            <a:tailEnd type="triangle" w="med" len="med"/>
                          </a:ln>
                        </wps:spPr>
                        <wps:bodyPr/>
                      </wps:wsp>
                      <wps:wsp>
                        <wps:cNvPr id="9" name="直接箭头连接符 9"/>
                        <wps:cNvCnPr/>
                        <wps:spPr>
                          <a:xfrm>
                            <a:off x="2146935" y="470043"/>
                            <a:ext cx="396240" cy="1906"/>
                          </a:xfrm>
                          <a:prstGeom prst="straightConnector1">
                            <a:avLst/>
                          </a:prstGeom>
                          <a:ln w="9525" cap="flat" cmpd="sng">
                            <a:solidFill>
                              <a:srgbClr val="000000"/>
                            </a:solidFill>
                            <a:prstDash val="solid"/>
                            <a:headEnd type="none" w="med" len="med"/>
                            <a:tailEnd type="triangle" w="med" len="med"/>
                          </a:ln>
                        </wps:spPr>
                        <wps:bodyPr/>
                      </wps:wsp>
                      <wps:wsp>
                        <wps:cNvPr id="10" name="矩形 10"/>
                        <wps:cNvSpPr/>
                        <wps:spPr>
                          <a:xfrm>
                            <a:off x="2543175" y="329030"/>
                            <a:ext cx="1151890" cy="270593"/>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现有生化池</w:t>
                              </w:r>
                            </w:p>
                          </w:txbxContent>
                        </wps:txbx>
                        <wps:bodyPr upright="1"/>
                      </wps:wsp>
                      <wps:wsp>
                        <wps:cNvPr id="11" name="直接箭头连接符 11"/>
                        <wps:cNvCnPr/>
                        <wps:spPr>
                          <a:xfrm>
                            <a:off x="3695700" y="454164"/>
                            <a:ext cx="428625" cy="3811"/>
                          </a:xfrm>
                          <a:prstGeom prst="straightConnector1">
                            <a:avLst/>
                          </a:prstGeom>
                          <a:ln w="9525" cap="flat" cmpd="sng">
                            <a:solidFill>
                              <a:srgbClr val="000000"/>
                            </a:solidFill>
                            <a:prstDash val="solid"/>
                            <a:headEnd type="none" w="med" len="med"/>
                            <a:tailEnd type="triangle" w="med" len="med"/>
                          </a:ln>
                        </wps:spPr>
                        <wps:bodyPr/>
                      </wps:wsp>
                      <wps:wsp>
                        <wps:cNvPr id="12" name="文本框 12"/>
                        <wps:cNvSpPr txBox="1"/>
                        <wps:spPr>
                          <a:xfrm>
                            <a:off x="4098290" y="321310"/>
                            <a:ext cx="963295" cy="262890"/>
                          </a:xfrm>
                          <a:prstGeom prst="rect">
                            <a:avLst/>
                          </a:prstGeom>
                          <a:noFill/>
                          <a:ln>
                            <a:noFill/>
                          </a:ln>
                        </wps:spPr>
                        <wps:txbx>
                          <w:txbxContent>
                            <w:p>
                              <w:r>
                                <w:rPr>
                                  <w:rFonts w:hint="eastAsia"/>
                                </w:rPr>
                                <w:t>用作农肥</w:t>
                              </w:r>
                            </w:p>
                          </w:txbxContent>
                        </wps:txbx>
                        <wps:bodyPr upright="1"/>
                      </wps:wsp>
                      <wps:wsp>
                        <wps:cNvPr id="17" name="文本框 17"/>
                        <wps:cNvSpPr txBox="1"/>
                        <wps:spPr>
                          <a:xfrm>
                            <a:off x="0" y="1676912"/>
                            <a:ext cx="782320" cy="454799"/>
                          </a:xfrm>
                          <a:prstGeom prst="rect">
                            <a:avLst/>
                          </a:prstGeom>
                          <a:noFill/>
                          <a:ln>
                            <a:noFill/>
                          </a:ln>
                        </wps:spPr>
                        <wps:txbx>
                          <w:txbxContent>
                            <w:p>
                              <w:pPr>
                                <w:keepNext w:val="0"/>
                                <w:keepLines w:val="0"/>
                                <w:pageBreakBefore w:val="0"/>
                                <w:widowControl w:val="0"/>
                                <w:kinsoku/>
                                <w:wordWrap w:val="0"/>
                                <w:overflowPunct/>
                                <w:topLinePunct w:val="0"/>
                                <w:autoSpaceDE w:val="0"/>
                                <w:autoSpaceDN w:val="0"/>
                                <w:bidi w:val="0"/>
                                <w:adjustRightInd/>
                                <w:snapToGrid/>
                                <w:jc w:val="left"/>
                                <w:textAlignment w:val="auto"/>
                                <w:rPr>
                                  <w:rFonts w:hint="eastAsia"/>
                                  <w:lang w:val="en-US" w:eastAsia="zh-CN"/>
                                </w:rPr>
                              </w:pPr>
                              <w:r>
                                <w:rPr>
                                  <w:rFonts w:hint="eastAsia"/>
                                  <w:lang w:val="en-US" w:eastAsia="zh-CN"/>
                                </w:rPr>
                                <w:t>新鲜水</w:t>
                              </w:r>
                            </w:p>
                            <w:p>
                              <w:pPr>
                                <w:keepNext w:val="0"/>
                                <w:keepLines w:val="0"/>
                                <w:pageBreakBefore w:val="0"/>
                                <w:widowControl w:val="0"/>
                                <w:kinsoku/>
                                <w:wordWrap w:val="0"/>
                                <w:overflowPunct/>
                                <w:topLinePunct w:val="0"/>
                                <w:autoSpaceDE w:val="0"/>
                                <w:autoSpaceDN w:val="0"/>
                                <w:bidi w:val="0"/>
                                <w:adjustRightInd/>
                                <w:snapToGrid/>
                                <w:jc w:val="left"/>
                                <w:textAlignment w:val="auto"/>
                                <w:rPr>
                                  <w:rFonts w:hint="default"/>
                                  <w:lang w:val="en-US" w:eastAsia="zh-CN"/>
                                </w:rPr>
                              </w:pPr>
                              <w:r>
                                <w:rPr>
                                  <w:rFonts w:hint="eastAsia"/>
                                  <w:lang w:val="en-US" w:eastAsia="zh-CN"/>
                                </w:rPr>
                                <w:t>48.8</w:t>
                              </w:r>
                            </w:p>
                          </w:txbxContent>
                        </wps:txbx>
                        <wps:bodyPr upright="1"/>
                      </wps:wsp>
                      <wps:wsp>
                        <wps:cNvPr id="18" name="文本框 18"/>
                        <wps:cNvSpPr txBox="1"/>
                        <wps:spPr>
                          <a:xfrm>
                            <a:off x="610235" y="271228"/>
                            <a:ext cx="493395" cy="262970"/>
                          </a:xfrm>
                          <a:prstGeom prst="rect">
                            <a:avLst/>
                          </a:prstGeom>
                          <a:noFill/>
                          <a:ln>
                            <a:noFill/>
                          </a:ln>
                        </wps:spPr>
                        <wps:txbx>
                          <w:txbxContent>
                            <w:p>
                              <w:pPr>
                                <w:rPr>
                                  <w:rFonts w:hint="default" w:eastAsia="宋体"/>
                                  <w:lang w:val="en-US" w:eastAsia="zh-CN"/>
                                </w:rPr>
                              </w:pPr>
                              <w:r>
                                <w:rPr>
                                  <w:rFonts w:hint="eastAsia"/>
                                  <w:lang w:val="en-US" w:eastAsia="zh-CN"/>
                                </w:rPr>
                                <w:t>2.6</w:t>
                              </w:r>
                            </w:p>
                          </w:txbxContent>
                        </wps:txbx>
                        <wps:bodyPr upright="1"/>
                      </wps:wsp>
                      <wps:wsp>
                        <wps:cNvPr id="19" name="文本框 19"/>
                        <wps:cNvSpPr txBox="1"/>
                        <wps:spPr>
                          <a:xfrm>
                            <a:off x="2132965" y="260429"/>
                            <a:ext cx="583565" cy="262970"/>
                          </a:xfrm>
                          <a:prstGeom prst="rect">
                            <a:avLst/>
                          </a:prstGeom>
                          <a:noFill/>
                          <a:ln>
                            <a:noFill/>
                          </a:ln>
                        </wps:spPr>
                        <wps:txbx>
                          <w:txbxContent>
                            <w:p>
                              <w:pPr>
                                <w:rPr>
                                  <w:rFonts w:hint="default" w:eastAsia="宋体"/>
                                  <w:lang w:val="en-US" w:eastAsia="zh-CN"/>
                                </w:rPr>
                              </w:pPr>
                              <w:r>
                                <w:rPr>
                                  <w:rFonts w:hint="eastAsia"/>
                                  <w:lang w:val="en-US" w:eastAsia="zh-CN"/>
                                </w:rPr>
                                <w:t>2.34</w:t>
                              </w:r>
                            </w:p>
                          </w:txbxContent>
                        </wps:txbx>
                        <wps:bodyPr upright="1"/>
                      </wps:wsp>
                      <wps:wsp>
                        <wps:cNvPr id="20" name="文本框 20"/>
                        <wps:cNvSpPr txBox="1"/>
                        <wps:spPr>
                          <a:xfrm>
                            <a:off x="1330325" y="0"/>
                            <a:ext cx="749935" cy="262970"/>
                          </a:xfrm>
                          <a:prstGeom prst="rect">
                            <a:avLst/>
                          </a:prstGeom>
                          <a:noFill/>
                          <a:ln>
                            <a:noFill/>
                          </a:ln>
                        </wps:spPr>
                        <wps:txbx>
                          <w:txbxContent>
                            <w:p>
                              <w:pPr>
                                <w:rPr>
                                  <w:rFonts w:hint="default" w:eastAsia="宋体"/>
                                  <w:lang w:val="en-US" w:eastAsia="zh-CN"/>
                                </w:rPr>
                              </w:pPr>
                              <w:r>
                                <w:rPr>
                                  <w:rFonts w:hint="eastAsia"/>
                                </w:rPr>
                                <w:t>损耗0.</w:t>
                              </w:r>
                              <w:r>
                                <w:rPr>
                                  <w:rFonts w:hint="eastAsia"/>
                                  <w:lang w:val="en-US" w:eastAsia="zh-CN"/>
                                </w:rPr>
                                <w:t>26</w:t>
                              </w:r>
                            </w:p>
                          </w:txbxContent>
                        </wps:txbx>
                        <wps:bodyPr upright="1"/>
                      </wps:wsp>
                      <wps:wsp>
                        <wps:cNvPr id="21" name="文本框 21"/>
                        <wps:cNvSpPr txBox="1"/>
                        <wps:spPr>
                          <a:xfrm>
                            <a:off x="700405" y="1858577"/>
                            <a:ext cx="484505" cy="271228"/>
                          </a:xfrm>
                          <a:prstGeom prst="rect">
                            <a:avLst/>
                          </a:prstGeom>
                          <a:noFill/>
                          <a:ln>
                            <a:noFill/>
                          </a:ln>
                        </wps:spPr>
                        <wps:txbx>
                          <w:txbxContent>
                            <w:p>
                              <w:pPr>
                                <w:rPr>
                                  <w:rFonts w:hint="default" w:eastAsia="宋体"/>
                                  <w:lang w:val="en-US" w:eastAsia="zh-CN"/>
                                </w:rPr>
                              </w:pPr>
                              <w:r>
                                <w:rPr>
                                  <w:rFonts w:hint="eastAsia"/>
                                  <w:lang w:val="en-US" w:eastAsia="zh-CN"/>
                                </w:rPr>
                                <w:t>28.8</w:t>
                              </w:r>
                            </w:p>
                          </w:txbxContent>
                        </wps:txbx>
                        <wps:bodyPr upright="1"/>
                      </wps:wsp>
                      <wps:wsp>
                        <wps:cNvPr id="22" name="矩形 22"/>
                        <wps:cNvSpPr/>
                        <wps:spPr>
                          <a:xfrm>
                            <a:off x="1260475" y="1957032"/>
                            <a:ext cx="1330325" cy="270593"/>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脱硫除尘循环水池</w:t>
                              </w:r>
                            </w:p>
                          </w:txbxContent>
                        </wps:txbx>
                        <wps:bodyPr upright="1"/>
                      </wps:wsp>
                      <wps:wsp>
                        <wps:cNvPr id="23" name="直接箭头连接符 23"/>
                        <wps:cNvCnPr/>
                        <wps:spPr>
                          <a:xfrm flipV="1">
                            <a:off x="548640" y="2099316"/>
                            <a:ext cx="722630" cy="1270"/>
                          </a:xfrm>
                          <a:prstGeom prst="straightConnector1">
                            <a:avLst/>
                          </a:prstGeom>
                          <a:ln w="9525" cap="flat" cmpd="sng">
                            <a:solidFill>
                              <a:srgbClr val="000000"/>
                            </a:solidFill>
                            <a:prstDash val="solid"/>
                            <a:headEnd type="none" w="med" len="med"/>
                            <a:tailEnd type="triangle" w="med" len="med"/>
                          </a:ln>
                        </wps:spPr>
                        <wps:bodyPr/>
                      </wps:wsp>
                      <wps:wsp>
                        <wps:cNvPr id="24" name="直接箭头连接符 24"/>
                        <wps:cNvCnPr/>
                        <wps:spPr>
                          <a:xfrm>
                            <a:off x="2379980" y="1227830"/>
                            <a:ext cx="638175" cy="1906"/>
                          </a:xfrm>
                          <a:prstGeom prst="straightConnector1">
                            <a:avLst/>
                          </a:prstGeom>
                          <a:ln w="9525" cap="flat" cmpd="sng">
                            <a:solidFill>
                              <a:srgbClr val="000000"/>
                            </a:solidFill>
                            <a:prstDash val="solid"/>
                            <a:headEnd type="none" w="med" len="med"/>
                            <a:tailEnd type="triangle" w="med" len="med"/>
                          </a:ln>
                        </wps:spPr>
                        <wps:bodyPr/>
                      </wps:wsp>
                      <wps:wsp>
                        <wps:cNvPr id="25" name="直接箭头连接符 25"/>
                        <wps:cNvCnPr/>
                        <wps:spPr>
                          <a:xfrm flipV="1">
                            <a:off x="1956435" y="1822371"/>
                            <a:ext cx="197485" cy="125768"/>
                          </a:xfrm>
                          <a:prstGeom prst="straightConnector1">
                            <a:avLst/>
                          </a:prstGeom>
                          <a:ln w="9525" cap="flat" cmpd="sng">
                            <a:solidFill>
                              <a:srgbClr val="000000"/>
                            </a:solidFill>
                            <a:prstDash val="sysDot"/>
                            <a:headEnd type="none" w="med" len="med"/>
                            <a:tailEnd type="triangle" w="med" len="med"/>
                          </a:ln>
                        </wps:spPr>
                        <wps:bodyPr/>
                      </wps:wsp>
                      <wps:wsp>
                        <wps:cNvPr id="26" name="文本框 26"/>
                        <wps:cNvSpPr txBox="1"/>
                        <wps:spPr>
                          <a:xfrm>
                            <a:off x="2108200" y="1636895"/>
                            <a:ext cx="848995" cy="262970"/>
                          </a:xfrm>
                          <a:prstGeom prst="rect">
                            <a:avLst/>
                          </a:prstGeom>
                          <a:noFill/>
                          <a:ln>
                            <a:noFill/>
                          </a:ln>
                        </wps:spPr>
                        <wps:txbx>
                          <w:txbxContent>
                            <w:p>
                              <w:pPr>
                                <w:rPr>
                                  <w:rFonts w:hint="default" w:eastAsia="宋体"/>
                                  <w:color w:val="000000"/>
                                  <w:lang w:val="en-US" w:eastAsia="zh-CN"/>
                                </w:rPr>
                              </w:pPr>
                              <w:r>
                                <w:rPr>
                                  <w:rFonts w:hint="eastAsia"/>
                                  <w:color w:val="000000"/>
                                  <w:szCs w:val="21"/>
                                </w:rPr>
                                <w:t>损耗</w:t>
                              </w:r>
                              <w:r>
                                <w:rPr>
                                  <w:rFonts w:hint="eastAsia"/>
                                  <w:color w:val="000000"/>
                                  <w:szCs w:val="21"/>
                                  <w:lang w:val="en-US" w:eastAsia="zh-CN"/>
                                </w:rPr>
                                <w:t>28.8</w:t>
                              </w:r>
                            </w:p>
                          </w:txbxContent>
                        </wps:txbx>
                        <wps:bodyPr upright="1"/>
                      </wps:wsp>
                      <wps:wsp>
                        <wps:cNvPr id="27" name="直接箭头连接符 27"/>
                        <wps:cNvCnPr/>
                        <wps:spPr>
                          <a:xfrm flipV="1">
                            <a:off x="1948815" y="2235882"/>
                            <a:ext cx="3175" cy="282661"/>
                          </a:xfrm>
                          <a:prstGeom prst="straightConnector1">
                            <a:avLst/>
                          </a:prstGeom>
                          <a:ln w="9525" cap="flat" cmpd="sng">
                            <a:solidFill>
                              <a:srgbClr val="000000"/>
                            </a:solidFill>
                            <a:prstDash val="solid"/>
                            <a:headEnd type="none" w="med" len="med"/>
                            <a:tailEnd type="triangle" w="med" len="med"/>
                          </a:ln>
                        </wps:spPr>
                        <wps:bodyPr/>
                      </wps:wsp>
                      <wps:wsp>
                        <wps:cNvPr id="28" name="文本框 28"/>
                        <wps:cNvSpPr txBox="1"/>
                        <wps:spPr>
                          <a:xfrm>
                            <a:off x="2067560" y="2279711"/>
                            <a:ext cx="865505" cy="256618"/>
                          </a:xfrm>
                          <a:prstGeom prst="rect">
                            <a:avLst/>
                          </a:prstGeom>
                          <a:noFill/>
                          <a:ln>
                            <a:noFill/>
                          </a:ln>
                        </wps:spPr>
                        <wps:txbx>
                          <w:txbxContent>
                            <w:p>
                              <w:pPr>
                                <w:rPr>
                                  <w:color w:val="000000"/>
                                </w:rPr>
                              </w:pPr>
                              <w:r>
                                <w:rPr>
                                  <w:rFonts w:hint="eastAsia"/>
                                  <w:color w:val="000000"/>
                                  <w:szCs w:val="21"/>
                                </w:rPr>
                                <w:t>循环960</w:t>
                              </w:r>
                            </w:p>
                          </w:txbxContent>
                        </wps:txbx>
                        <wps:bodyPr upright="1"/>
                      </wps:wsp>
                      <wps:wsp>
                        <wps:cNvPr id="29" name="直接箭头连接符 29"/>
                        <wps:cNvCnPr/>
                        <wps:spPr>
                          <a:xfrm flipV="1">
                            <a:off x="2589530" y="2070732"/>
                            <a:ext cx="321310" cy="1906"/>
                          </a:xfrm>
                          <a:prstGeom prst="straightConnector1">
                            <a:avLst/>
                          </a:prstGeom>
                          <a:ln w="9525" cap="flat" cmpd="sng">
                            <a:solidFill>
                              <a:srgbClr val="000000"/>
                            </a:solidFill>
                            <a:prstDash val="solid"/>
                            <a:headEnd type="none" w="med" len="med"/>
                            <a:tailEnd type="none" w="med" len="med"/>
                          </a:ln>
                        </wps:spPr>
                        <wps:bodyPr/>
                      </wps:wsp>
                      <wps:wsp>
                        <wps:cNvPr id="30" name="直接箭头连接符 30"/>
                        <wps:cNvCnPr/>
                        <wps:spPr>
                          <a:xfrm>
                            <a:off x="1948815" y="2509016"/>
                            <a:ext cx="965835" cy="6987"/>
                          </a:xfrm>
                          <a:prstGeom prst="straightConnector1">
                            <a:avLst/>
                          </a:prstGeom>
                          <a:ln w="9525" cap="flat" cmpd="sng">
                            <a:solidFill>
                              <a:srgbClr val="000000"/>
                            </a:solidFill>
                            <a:prstDash val="solid"/>
                            <a:headEnd type="none" w="med" len="med"/>
                            <a:tailEnd type="none" w="med" len="med"/>
                          </a:ln>
                        </wps:spPr>
                        <wps:bodyPr/>
                      </wps:wsp>
                      <wps:wsp>
                        <wps:cNvPr id="31" name="直接箭头连接符 31"/>
                        <wps:cNvCnPr/>
                        <wps:spPr>
                          <a:xfrm flipH="1">
                            <a:off x="2905125" y="2072002"/>
                            <a:ext cx="1905" cy="444001"/>
                          </a:xfrm>
                          <a:prstGeom prst="straightConnector1">
                            <a:avLst/>
                          </a:prstGeom>
                          <a:ln w="9525" cap="flat" cmpd="sng">
                            <a:solidFill>
                              <a:srgbClr val="000000"/>
                            </a:solidFill>
                            <a:prstDash val="solid"/>
                            <a:headEnd type="none" w="med" len="med"/>
                            <a:tailEnd type="none" w="med" len="med"/>
                          </a:ln>
                        </wps:spPr>
                        <wps:bodyPr/>
                      </wps:wsp>
                      <wps:wsp>
                        <wps:cNvPr id="32" name="直接箭头连接符 32"/>
                        <wps:cNvCnPr/>
                        <wps:spPr>
                          <a:xfrm>
                            <a:off x="551180" y="479571"/>
                            <a:ext cx="5080" cy="3203283"/>
                          </a:xfrm>
                          <a:prstGeom prst="straightConnector1">
                            <a:avLst/>
                          </a:prstGeom>
                          <a:ln w="9525" cap="flat" cmpd="sng">
                            <a:solidFill>
                              <a:srgbClr val="000000"/>
                            </a:solidFill>
                            <a:prstDash val="solid"/>
                            <a:headEnd type="none" w="med" len="med"/>
                            <a:tailEnd type="none" w="med" len="med"/>
                          </a:ln>
                        </wps:spPr>
                        <wps:bodyPr/>
                      </wps:wsp>
                      <wps:wsp>
                        <wps:cNvPr id="33" name="直接箭头连接符 33"/>
                        <wps:cNvCnPr/>
                        <wps:spPr>
                          <a:xfrm>
                            <a:off x="557530" y="1237358"/>
                            <a:ext cx="504825" cy="0"/>
                          </a:xfrm>
                          <a:prstGeom prst="straightConnector1">
                            <a:avLst/>
                          </a:prstGeom>
                          <a:ln w="9525" cap="flat" cmpd="sng">
                            <a:solidFill>
                              <a:srgbClr val="000000"/>
                            </a:solidFill>
                            <a:prstDash val="solid"/>
                            <a:headEnd type="none" w="med" len="med"/>
                            <a:tailEnd type="triangle" w="med" len="med"/>
                          </a:ln>
                        </wps:spPr>
                        <wps:bodyPr/>
                      </wps:wsp>
                      <wps:wsp>
                        <wps:cNvPr id="34" name="矩形 34"/>
                        <wps:cNvSpPr/>
                        <wps:spPr>
                          <a:xfrm>
                            <a:off x="1065530" y="1094439"/>
                            <a:ext cx="1315720" cy="266781"/>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原料搅拌</w:t>
                              </w:r>
                              <w:r>
                                <w:rPr>
                                  <w:rFonts w:hint="eastAsia"/>
                                  <w:lang w:val="en-US" w:eastAsia="zh-CN"/>
                                </w:rPr>
                                <w:t>陈化</w:t>
                              </w:r>
                              <w:r>
                                <w:rPr>
                                  <w:rFonts w:hint="eastAsia"/>
                                </w:rPr>
                                <w:t>用水</w:t>
                              </w:r>
                            </w:p>
                          </w:txbxContent>
                        </wps:txbx>
                        <wps:bodyPr upright="1"/>
                      </wps:wsp>
                      <wps:wsp>
                        <wps:cNvPr id="35" name="文本框 35"/>
                        <wps:cNvSpPr txBox="1"/>
                        <wps:spPr>
                          <a:xfrm>
                            <a:off x="2941955" y="1102995"/>
                            <a:ext cx="1339850" cy="254000"/>
                          </a:xfrm>
                          <a:prstGeom prst="rect">
                            <a:avLst/>
                          </a:prstGeom>
                          <a:noFill/>
                          <a:ln>
                            <a:noFill/>
                          </a:ln>
                        </wps:spPr>
                        <wps:txbx>
                          <w:txbxContent>
                            <w:p>
                              <w:r>
                                <w:rPr>
                                  <w:rFonts w:hint="eastAsia"/>
                                </w:rPr>
                                <w:t>进入产品蒸发</w:t>
                              </w:r>
                            </w:p>
                          </w:txbxContent>
                        </wps:txbx>
                        <wps:bodyPr upright="1"/>
                      </wps:wsp>
                      <wps:wsp>
                        <wps:cNvPr id="36" name="文本框 36"/>
                        <wps:cNvSpPr txBox="1"/>
                        <wps:spPr>
                          <a:xfrm>
                            <a:off x="2347595" y="981375"/>
                            <a:ext cx="713105" cy="278215"/>
                          </a:xfrm>
                          <a:prstGeom prst="rect">
                            <a:avLst/>
                          </a:prstGeom>
                          <a:noFill/>
                          <a:ln>
                            <a:noFill/>
                          </a:ln>
                        </wps:spPr>
                        <wps:txbx>
                          <w:txbxContent>
                            <w:p>
                              <w:pPr>
                                <w:ind w:firstLine="240" w:firstLineChars="100"/>
                                <w:rPr>
                                  <w:rFonts w:hint="default" w:eastAsia="宋体"/>
                                  <w:lang w:val="en-US" w:eastAsia="zh-CN"/>
                                </w:rPr>
                              </w:pPr>
                              <w:r>
                                <w:rPr>
                                  <w:rFonts w:hint="eastAsia"/>
                                  <w:lang w:val="en-US" w:eastAsia="zh-CN"/>
                                </w:rPr>
                                <w:t>12</w:t>
                              </w:r>
                            </w:p>
                          </w:txbxContent>
                        </wps:txbx>
                        <wps:bodyPr upright="1"/>
                      </wps:wsp>
                      <wps:wsp>
                        <wps:cNvPr id="37" name="直接箭头连接符 37"/>
                        <wps:cNvCnPr/>
                        <wps:spPr>
                          <a:xfrm>
                            <a:off x="549910" y="2895214"/>
                            <a:ext cx="426085" cy="4446"/>
                          </a:xfrm>
                          <a:prstGeom prst="straightConnector1">
                            <a:avLst/>
                          </a:prstGeom>
                          <a:ln w="9525" cap="flat" cmpd="sng">
                            <a:solidFill>
                              <a:srgbClr val="000000"/>
                            </a:solidFill>
                            <a:prstDash val="solid"/>
                            <a:headEnd type="none" w="med" len="med"/>
                            <a:tailEnd type="triangle" w="med" len="med"/>
                          </a:ln>
                        </wps:spPr>
                        <wps:bodyPr/>
                      </wps:wsp>
                      <wps:wsp>
                        <wps:cNvPr id="38" name="矩形 38"/>
                        <wps:cNvSpPr/>
                        <wps:spPr>
                          <a:xfrm>
                            <a:off x="970280" y="2761823"/>
                            <a:ext cx="914400" cy="266781"/>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抑尘用水</w:t>
                              </w:r>
                            </w:p>
                          </w:txbxContent>
                        </wps:txbx>
                        <wps:bodyPr upright="1"/>
                      </wps:wsp>
                      <wps:wsp>
                        <wps:cNvPr id="39" name="文本框 39"/>
                        <wps:cNvSpPr txBox="1"/>
                        <wps:spPr>
                          <a:xfrm>
                            <a:off x="617855" y="2643042"/>
                            <a:ext cx="295910" cy="266781"/>
                          </a:xfrm>
                          <a:prstGeom prst="rect">
                            <a:avLst/>
                          </a:prstGeom>
                          <a:noFill/>
                          <a:ln>
                            <a:noFill/>
                          </a:ln>
                        </wps:spPr>
                        <wps:txbx>
                          <w:txbxContent>
                            <w:p>
                              <w:pPr>
                                <w:rPr>
                                  <w:rFonts w:hint="eastAsia" w:eastAsia="宋体"/>
                                  <w:lang w:val="en-US" w:eastAsia="zh-CN"/>
                                </w:rPr>
                              </w:pPr>
                              <w:r>
                                <w:rPr>
                                  <w:rFonts w:hint="eastAsia"/>
                                  <w:lang w:val="en-US" w:eastAsia="zh-CN"/>
                                </w:rPr>
                                <w:t>5</w:t>
                              </w:r>
                            </w:p>
                          </w:txbxContent>
                        </wps:txbx>
                        <wps:bodyPr upright="1"/>
                      </wps:wsp>
                      <wps:wsp>
                        <wps:cNvPr id="40" name="直接箭头连接符 40"/>
                        <wps:cNvCnPr/>
                        <wps:spPr>
                          <a:xfrm flipV="1">
                            <a:off x="1398905" y="2639231"/>
                            <a:ext cx="190500" cy="114335"/>
                          </a:xfrm>
                          <a:prstGeom prst="straightConnector1">
                            <a:avLst/>
                          </a:prstGeom>
                          <a:ln w="9525" cap="flat" cmpd="sng">
                            <a:solidFill>
                              <a:srgbClr val="000000"/>
                            </a:solidFill>
                            <a:prstDash val="sysDot"/>
                            <a:headEnd type="none" w="med" len="med"/>
                            <a:tailEnd type="triangle" w="med" len="med"/>
                          </a:ln>
                        </wps:spPr>
                        <wps:bodyPr/>
                      </wps:wsp>
                      <wps:wsp>
                        <wps:cNvPr id="41" name="文本框 41"/>
                        <wps:cNvSpPr txBox="1"/>
                        <wps:spPr>
                          <a:xfrm>
                            <a:off x="1579880" y="2504569"/>
                            <a:ext cx="292100" cy="266781"/>
                          </a:xfrm>
                          <a:prstGeom prst="rect">
                            <a:avLst/>
                          </a:prstGeom>
                          <a:noFill/>
                          <a:ln>
                            <a:noFill/>
                          </a:ln>
                        </wps:spPr>
                        <wps:txbx>
                          <w:txbxContent>
                            <w:p>
                              <w:pPr>
                                <w:rPr>
                                  <w:rFonts w:hint="eastAsia" w:eastAsia="宋体"/>
                                  <w:lang w:val="en-US" w:eastAsia="zh-CN"/>
                                </w:rPr>
                              </w:pPr>
                              <w:r>
                                <w:rPr>
                                  <w:rFonts w:hint="eastAsia"/>
                                  <w:lang w:val="en-US" w:eastAsia="zh-CN"/>
                                </w:rPr>
                                <w:t>5</w:t>
                              </w:r>
                            </w:p>
                          </w:txbxContent>
                        </wps:txbx>
                        <wps:bodyPr upright="1"/>
                      </wps:wsp>
                      <wps:wsp>
                        <wps:cNvPr id="42" name="直接箭头连接符 42"/>
                        <wps:cNvCnPr/>
                        <wps:spPr>
                          <a:xfrm>
                            <a:off x="547370" y="3677772"/>
                            <a:ext cx="419100" cy="0"/>
                          </a:xfrm>
                          <a:prstGeom prst="straightConnector1">
                            <a:avLst/>
                          </a:prstGeom>
                          <a:ln w="9525" cap="flat" cmpd="sng">
                            <a:solidFill>
                              <a:srgbClr val="000000"/>
                            </a:solidFill>
                            <a:prstDash val="solid"/>
                            <a:headEnd type="none" w="med" len="med"/>
                            <a:tailEnd type="triangle" w="med" len="med"/>
                          </a:ln>
                        </wps:spPr>
                        <wps:bodyPr/>
                      </wps:wsp>
                      <wps:wsp>
                        <wps:cNvPr id="43" name="矩形 43"/>
                        <wps:cNvSpPr/>
                        <wps:spPr>
                          <a:xfrm>
                            <a:off x="987425" y="3550734"/>
                            <a:ext cx="914400" cy="266781"/>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车辆冲洗</w:t>
                              </w:r>
                            </w:p>
                          </w:txbxContent>
                        </wps:txbx>
                        <wps:bodyPr upright="1"/>
                      </wps:wsp>
                      <wps:wsp>
                        <wps:cNvPr id="44" name="直接箭头连接符 44"/>
                        <wps:cNvCnPr/>
                        <wps:spPr>
                          <a:xfrm flipV="1">
                            <a:off x="1419225" y="3423695"/>
                            <a:ext cx="190500" cy="114335"/>
                          </a:xfrm>
                          <a:prstGeom prst="straightConnector1">
                            <a:avLst/>
                          </a:prstGeom>
                          <a:ln w="9525" cap="flat" cmpd="sng">
                            <a:solidFill>
                              <a:srgbClr val="000000"/>
                            </a:solidFill>
                            <a:prstDash val="sysDot"/>
                            <a:headEnd type="none" w="med" len="med"/>
                            <a:tailEnd type="triangle" w="med" len="med"/>
                          </a:ln>
                        </wps:spPr>
                        <wps:bodyPr/>
                      </wps:wsp>
                      <wps:wsp>
                        <wps:cNvPr id="45" name="直接箭头连接符 45"/>
                        <wps:cNvCnPr/>
                        <wps:spPr>
                          <a:xfrm flipV="1">
                            <a:off x="102870" y="2092964"/>
                            <a:ext cx="436880" cy="8893"/>
                          </a:xfrm>
                          <a:prstGeom prst="straightConnector1">
                            <a:avLst/>
                          </a:prstGeom>
                          <a:ln w="9525" cap="flat" cmpd="sng">
                            <a:solidFill>
                              <a:srgbClr val="000000"/>
                            </a:solidFill>
                            <a:prstDash val="solid"/>
                            <a:headEnd type="none" w="med" len="med"/>
                            <a:tailEnd type="triangle" w="med" len="med"/>
                          </a:ln>
                        </wps:spPr>
                        <wps:bodyPr/>
                      </wps:wsp>
                      <wps:wsp>
                        <wps:cNvPr id="46" name="文本框 46"/>
                        <wps:cNvSpPr txBox="1"/>
                        <wps:spPr>
                          <a:xfrm>
                            <a:off x="508635" y="1002336"/>
                            <a:ext cx="675640" cy="253442"/>
                          </a:xfrm>
                          <a:prstGeom prst="rect">
                            <a:avLst/>
                          </a:prstGeom>
                          <a:noFill/>
                          <a:ln>
                            <a:noFill/>
                          </a:ln>
                        </wps:spPr>
                        <wps:txbx>
                          <w:txbxContent>
                            <w:p>
                              <w:pPr>
                                <w:ind w:firstLine="240" w:firstLineChars="100"/>
                                <w:rPr>
                                  <w:rFonts w:hint="default" w:eastAsia="宋体"/>
                                  <w:lang w:val="en-US" w:eastAsia="zh-CN"/>
                                </w:rPr>
                              </w:pPr>
                              <w:r>
                                <w:rPr>
                                  <w:rFonts w:hint="eastAsia"/>
                                  <w:lang w:val="en-US" w:eastAsia="zh-CN"/>
                                </w:rPr>
                                <w:t>12</w:t>
                              </w:r>
                            </w:p>
                          </w:txbxContent>
                        </wps:txbx>
                        <wps:bodyPr upright="1"/>
                      </wps:wsp>
                      <wps:wsp>
                        <wps:cNvPr id="47" name="文本框 47"/>
                        <wps:cNvSpPr txBox="1"/>
                        <wps:spPr>
                          <a:xfrm>
                            <a:off x="3710940" y="252807"/>
                            <a:ext cx="617220" cy="254078"/>
                          </a:xfrm>
                          <a:prstGeom prst="rect">
                            <a:avLst/>
                          </a:prstGeom>
                          <a:noFill/>
                          <a:ln>
                            <a:noFill/>
                          </a:ln>
                        </wps:spPr>
                        <wps:txbx>
                          <w:txbxContent>
                            <w:p>
                              <w:pPr>
                                <w:rPr>
                                  <w:rFonts w:hint="default" w:eastAsia="宋体"/>
                                  <w:lang w:val="en-US" w:eastAsia="zh-CN"/>
                                </w:rPr>
                              </w:pPr>
                              <w:r>
                                <w:rPr>
                                  <w:rFonts w:hint="eastAsia"/>
                                </w:rPr>
                                <w:t>2.</w:t>
                              </w:r>
                              <w:r>
                                <w:rPr>
                                  <w:rFonts w:hint="eastAsia"/>
                                  <w:lang w:val="en-US" w:eastAsia="zh-CN"/>
                                </w:rPr>
                                <w:t>34</w:t>
                              </w:r>
                            </w:p>
                          </w:txbxContent>
                        </wps:txbx>
                        <wps:bodyPr upright="1"/>
                      </wps:wsp>
                      <wps:wsp>
                        <wps:cNvPr id="48" name="文本框 48"/>
                        <wps:cNvSpPr txBox="1"/>
                        <wps:spPr>
                          <a:xfrm>
                            <a:off x="564515" y="3404639"/>
                            <a:ext cx="492125" cy="266781"/>
                          </a:xfrm>
                          <a:prstGeom prst="rect">
                            <a:avLst/>
                          </a:prstGeom>
                          <a:noFill/>
                          <a:ln>
                            <a:noFill/>
                          </a:ln>
                        </wps:spPr>
                        <wps:txbx>
                          <w:txbxContent>
                            <w:p>
                              <w:r>
                                <w:rPr>
                                  <w:rFonts w:hint="eastAsia"/>
                                </w:rPr>
                                <w:t>0.4</w:t>
                              </w:r>
                            </w:p>
                          </w:txbxContent>
                        </wps:txbx>
                        <wps:bodyPr upright="1"/>
                      </wps:wsp>
                      <wps:wsp>
                        <wps:cNvPr id="49" name="文本框 49"/>
                        <wps:cNvSpPr txBox="1"/>
                        <wps:spPr>
                          <a:xfrm>
                            <a:off x="1577975" y="3238218"/>
                            <a:ext cx="482600" cy="266781"/>
                          </a:xfrm>
                          <a:prstGeom prst="rect">
                            <a:avLst/>
                          </a:prstGeom>
                          <a:noFill/>
                          <a:ln>
                            <a:noFill/>
                          </a:ln>
                        </wps:spPr>
                        <wps:txbx>
                          <w:txbxContent>
                            <w:p>
                              <w:r>
                                <w:rPr>
                                  <w:rFonts w:hint="eastAsia"/>
                                </w:rPr>
                                <w:t>0.4</w:t>
                              </w:r>
                            </w:p>
                          </w:txbxContent>
                        </wps:txbx>
                        <wps:bodyPr upright="1"/>
                      </wps:wsp>
                      <wps:wsp>
                        <wps:cNvPr id="50" name="直接箭头连接符 50"/>
                        <wps:cNvCnPr/>
                        <wps:spPr>
                          <a:xfrm flipV="1">
                            <a:off x="1298575" y="3832125"/>
                            <a:ext cx="0" cy="279485"/>
                          </a:xfrm>
                          <a:prstGeom prst="straightConnector1">
                            <a:avLst/>
                          </a:prstGeom>
                          <a:ln w="9525" cap="flat" cmpd="sng">
                            <a:solidFill>
                              <a:srgbClr val="000000"/>
                            </a:solidFill>
                            <a:prstDash val="solid"/>
                            <a:headEnd type="none" w="med" len="med"/>
                            <a:tailEnd type="triangle" w="med" len="med"/>
                          </a:ln>
                        </wps:spPr>
                        <wps:bodyPr/>
                      </wps:wsp>
                      <wps:wsp>
                        <wps:cNvPr id="51" name="直接箭头连接符 51"/>
                        <wps:cNvCnPr/>
                        <wps:spPr>
                          <a:xfrm flipV="1">
                            <a:off x="1933575" y="3666974"/>
                            <a:ext cx="317500" cy="0"/>
                          </a:xfrm>
                          <a:prstGeom prst="straightConnector1">
                            <a:avLst/>
                          </a:prstGeom>
                          <a:ln w="9525" cap="flat" cmpd="sng">
                            <a:solidFill>
                              <a:srgbClr val="000000"/>
                            </a:solidFill>
                            <a:prstDash val="solid"/>
                            <a:headEnd type="none" w="med" len="med"/>
                            <a:tailEnd type="none" w="med" len="med"/>
                          </a:ln>
                        </wps:spPr>
                        <wps:bodyPr/>
                      </wps:wsp>
                      <wps:wsp>
                        <wps:cNvPr id="52" name="直接箭头连接符 52"/>
                        <wps:cNvCnPr/>
                        <wps:spPr>
                          <a:xfrm>
                            <a:off x="1298575" y="4098906"/>
                            <a:ext cx="965200" cy="0"/>
                          </a:xfrm>
                          <a:prstGeom prst="straightConnector1">
                            <a:avLst/>
                          </a:prstGeom>
                          <a:ln w="9525" cap="flat" cmpd="sng">
                            <a:solidFill>
                              <a:srgbClr val="000000"/>
                            </a:solidFill>
                            <a:prstDash val="solid"/>
                            <a:headEnd type="none" w="med" len="med"/>
                            <a:tailEnd type="none" w="med" len="med"/>
                          </a:ln>
                        </wps:spPr>
                        <wps:bodyPr/>
                      </wps:wsp>
                      <wps:wsp>
                        <wps:cNvPr id="53" name="直接箭头连接符 53"/>
                        <wps:cNvCnPr/>
                        <wps:spPr>
                          <a:xfrm flipH="1">
                            <a:off x="2251075" y="3666974"/>
                            <a:ext cx="0" cy="431932"/>
                          </a:xfrm>
                          <a:prstGeom prst="straightConnector1">
                            <a:avLst/>
                          </a:prstGeom>
                          <a:ln w="9525" cap="flat" cmpd="sng">
                            <a:solidFill>
                              <a:srgbClr val="000000"/>
                            </a:solidFill>
                            <a:prstDash val="solid"/>
                            <a:headEnd type="none" w="med" len="med"/>
                            <a:tailEnd type="none" w="med" len="med"/>
                          </a:ln>
                        </wps:spPr>
                        <wps:bodyPr/>
                      </wps:wsp>
                      <wps:wsp>
                        <wps:cNvPr id="54" name="文本框 54"/>
                        <wps:cNvSpPr txBox="1"/>
                        <wps:spPr>
                          <a:xfrm>
                            <a:off x="1583055" y="3875953"/>
                            <a:ext cx="482600" cy="266781"/>
                          </a:xfrm>
                          <a:prstGeom prst="rect">
                            <a:avLst/>
                          </a:prstGeom>
                          <a:noFill/>
                          <a:ln>
                            <a:noFill/>
                          </a:ln>
                        </wps:spPr>
                        <wps:txbx>
                          <w:txbxContent>
                            <w:p>
                              <w:r>
                                <w:rPr>
                                  <w:rFonts w:hint="eastAsia"/>
                                </w:rPr>
                                <w:t>4</w:t>
                              </w:r>
                            </w:p>
                          </w:txbxContent>
                        </wps:txbx>
                        <wps:bodyPr upright="1"/>
                      </wps:wsp>
                    </wpc:wpc>
                  </a:graphicData>
                </a:graphic>
              </wp:inline>
            </w:drawing>
          </mc:Choice>
          <mc:Fallback>
            <w:pict>
              <v:group id="_x0000_s1026" o:spid="_x0000_s1026" o:spt="203" style="height:327.3pt;width:433.05pt;" coordsize="5499735,4156710" editas="canvas" o:gfxdata="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">
                <o:lock v:ext="edit" aspectratio="f"/>
                <v:shape id="_x0000_s1026" o:spid="_x0000_s1026" style="position:absolute;left:0;top:0;height:4156710;width:5499735;" filled="f" stroked="f" coordsize="21600,21600" o:gfxdata="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">
                  <v:fill on="f" focussize="0,0"/>
                  <v:stroke on="f"/>
                  <v:imagedata o:title=""/>
                  <o:lock v:ext="edit" aspectratio="t"/>
                </v:shape>
                <v:shape id="_x0000_s1026" o:spid="_x0000_s1026" o:spt="32" type="#_x0000_t32" style="position:absolute;left:542925;top:489099;height:1270;width:532765;" filled="f" stroked="t" coordsize="21600,21600" o:gfxdata="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dp+PtUAAAAFAQAADwAAAAAAAAAB&#10;ACAAAAAiAAAAZHJzL2Rvd25yZXYueG1sUEsBAhQAFAAAAAgAh07iQJ/e7b8TAgAA/AMAAA4AAAAA&#10;AAAAAQAgAAAAJAEAAGRycy9lMm9Eb2MueG1sUEsFBgAAAAAGAAYAWQEAAKkFAAAAAA==&#10;">
                  <v:fill on="f" focussize="0,0"/>
                  <v:stroke color="#000000" joinstyle="round" endarrow="block"/>
                  <v:imagedata o:title=""/>
                  <o:lock v:ext="edit" aspectratio="f"/>
                </v:shape>
                <v:rect id="_x0000_s1026" o:spid="_x0000_s1026" o:spt="1" style="position:absolute;left:1067435;top:336653;height:270593;width:1075055;" filled="f" stroked="t" coordsize="21600,21600" o:gfxdata="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tAoo1AAAAAUBAAAPAAAAAAAAAAEAIAAAACIAAABkcnMv&#10;ZG93bnJldi54bWxQSwECFAAUAAAACACHTuJAtVNKxgcCAAALBAAADgAAAAAAAAABACAAAAAjAQAA&#10;ZHJzL2Uyb0RvYy54bWxQSwUGAAAAAAYABgBZAQAAnAUAAAAA&#10;">
                  <v:fill on="f" focussize="0,0"/>
                  <v:stroke color="#000000" joinstyle="miter"/>
                  <v:imagedata o:title=""/>
                  <o:lock v:ext="edit" aspectratio="f"/>
                  <v:textbox>
                    <w:txbxContent>
                      <w:p>
                        <w:pPr>
                          <w:jc w:val="center"/>
                        </w:pPr>
                        <w:r>
                          <w:rPr>
                            <w:rFonts w:hint="eastAsia"/>
                          </w:rPr>
                          <w:t>办公生活用水</w:t>
                        </w:r>
                      </w:p>
                    </w:txbxContent>
                  </v:textbox>
                </v:rect>
                <v:shape id="_x0000_s1026" o:spid="_x0000_s1026" o:spt="32" type="#_x0000_t32" style="position:absolute;left:1287145;top:176584;flip:y;height:119416;width:95250;" filled="f" stroked="t" coordsize="21600,21600" o:gfxdata="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StQL1QAAAAUBAAAP&#10;AAAAAAAAAAEAIAAAACIAAABkcnMvZG93bnJldi54bWxQSwECFAAUAAAACACHTuJACQEJhxsCAAAJ&#10;BAAADgAAAAAAAAABACAAAAAkAQAAZHJzL2Uyb0RvYy54bWxQSwUGAAAAAAYABgBZAQAAsQUAAAAA&#10;">
                  <v:fill on="f" focussize="0,0"/>
                  <v:stroke color="#000000" joinstyle="round" dashstyle="1 1" endarrow="block"/>
                  <v:imagedata o:title=""/>
                  <o:lock v:ext="edit" aspectratio="f"/>
                </v:shape>
                <v:shape id="_x0000_s1026" o:spid="_x0000_s1026" o:spt="32" type="#_x0000_t32" style="position:absolute;left:2146935;top:470043;height:1906;width:396240;" filled="f" stroked="t" coordsize="21600,21600" o:gfxdata="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dp+PtUAAAAFAQAADwAAAAAAAAAB&#10;ACAAAAAiAAAAZHJzL2Rvd25yZXYueG1sUEsBAhQAFAAAAAgAh07iQHT96/kTAgAA/QMAAA4AAAAA&#10;AAAAAQAgAAAAJAEAAGRycy9lMm9Eb2MueG1sUEsFBgAAAAAGAAYAWQEAAKkFAAAAAA==&#10;">
                  <v:fill on="f" focussize="0,0"/>
                  <v:stroke color="#000000" joinstyle="round" endarrow="block"/>
                  <v:imagedata o:title=""/>
                  <o:lock v:ext="edit" aspectratio="f"/>
                </v:shape>
                <v:rect id="_x0000_s1026" o:spid="_x0000_s1026" o:spt="1" style="position:absolute;left:2543175;top:329030;height:270593;width:1151890;" filled="f" stroked="t" coordsize="21600,21600" o:gfxdata="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tAoo1AAAAAUBAAAPAAAAAAAAAAEAIAAAACIAAABk&#10;cnMvZG93bnJldi54bWxQSwECFAAUAAAACACHTuJATgMkdwoCAAANBAAADgAAAAAAAAABACAAAAAj&#10;AQAAZHJzL2Uyb0RvYy54bWxQSwUGAAAAAAYABgBZAQAAnwUAAAAA&#10;">
                  <v:fill on="f" focussize="0,0"/>
                  <v:stroke color="#000000" joinstyle="miter"/>
                  <v:imagedata o:title=""/>
                  <o:lock v:ext="edit" aspectratio="f"/>
                  <v:textbox>
                    <w:txbxContent>
                      <w:p>
                        <w:pPr>
                          <w:jc w:val="center"/>
                        </w:pPr>
                        <w:r>
                          <w:rPr>
                            <w:rFonts w:hint="eastAsia"/>
                          </w:rPr>
                          <w:t>现有生化池</w:t>
                        </w:r>
                      </w:p>
                    </w:txbxContent>
                  </v:textbox>
                </v:rect>
                <v:shape id="_x0000_s1026" o:spid="_x0000_s1026" o:spt="32" type="#_x0000_t32" style="position:absolute;left:3695700;top:454164;height:3811;width:428625;" filled="f" stroked="t" coordsize="21600,21600" o:gfxdata="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nafj7VAAAABQEAAA8AAAAAAAAA&#10;AQAgAAAAIgAAAGRycy9kb3ducmV2LnhtbFBLAQIUABQAAAAIAIdO4kB31g3IFAIAAP8DAAAOAAAA&#10;AAAAAAEAIAAAACQBAABkcnMvZTJvRG9jLnhtbFBLBQYAAAAABgAGAFkBAACqBQAAAAA=&#10;">
                  <v:fill on="f" focussize="0,0"/>
                  <v:stroke color="#000000" joinstyle="round" endarrow="block"/>
                  <v:imagedata o:title=""/>
                  <o:lock v:ext="edit" aspectratio="f"/>
                </v:shape>
                <v:shape id="_x0000_s1026" o:spid="_x0000_s1026" o:spt="202" type="#_x0000_t202" style="position:absolute;left:4098290;top:321310;height:262890;width:963295;"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hngmdQAAAAFAQAADwAAAAAAAAABACAAAAAiAAAAZHJzL2Rvd25yZXYueG1sUEsBAhQAFAAAAAgA&#10;h07iQOu24GK3AQAAWgMAAA4AAAAAAAAAAQAgAAAAIwEAAGRycy9lMm9Eb2MueG1sUEsFBgAAAAAG&#10;AAYAWQEAAEwFAAAAAA==&#10;">
                  <v:fill on="f" focussize="0,0"/>
                  <v:stroke on="f"/>
                  <v:imagedata o:title=""/>
                  <o:lock v:ext="edit" aspectratio="f"/>
                  <v:textbox>
                    <w:txbxContent>
                      <w:p>
                        <w:r>
                          <w:rPr>
                            <w:rFonts w:hint="eastAsia"/>
                          </w:rPr>
                          <w:t>用作农肥</w:t>
                        </w:r>
                      </w:p>
                    </w:txbxContent>
                  </v:textbox>
                </v:shape>
                <v:shape id="_x0000_s1026" o:spid="_x0000_s1026" o:spt="202" type="#_x0000_t202" style="position:absolute;left:0;top:1676912;height:454799;width:782320;"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iGeCZ&#10;1AAAAAUBAAAPAAAAAAAAAAEAIAAAACIAAABkcnMvZG93bnJldi54bWxQSwECFAAUAAAACACHTuJA&#10;y3A8irMBAABVAwAADgAAAAAAAAABACAAAAAjAQAAZHJzL2Uyb0RvYy54bWxQSwUGAAAAAAYABgBZ&#10;AQAASAUAAAAA&#10;">
                  <v:fill on="f" focussize="0,0"/>
                  <v:stroke on="f"/>
                  <v:imagedata o:title=""/>
                  <o:lock v:ext="edit" aspectratio="f"/>
                  <v:textbox>
                    <w:txbxContent>
                      <w:p>
                        <w:pPr>
                          <w:keepNext w:val="0"/>
                          <w:keepLines w:val="0"/>
                          <w:pageBreakBefore w:val="0"/>
                          <w:widowControl w:val="0"/>
                          <w:kinsoku/>
                          <w:wordWrap w:val="0"/>
                          <w:overflowPunct/>
                          <w:topLinePunct w:val="0"/>
                          <w:autoSpaceDE w:val="0"/>
                          <w:autoSpaceDN w:val="0"/>
                          <w:bidi w:val="0"/>
                          <w:adjustRightInd/>
                          <w:snapToGrid/>
                          <w:jc w:val="left"/>
                          <w:textAlignment w:val="auto"/>
                          <w:rPr>
                            <w:rFonts w:hint="eastAsia"/>
                            <w:lang w:val="en-US" w:eastAsia="zh-CN"/>
                          </w:rPr>
                        </w:pPr>
                        <w:r>
                          <w:rPr>
                            <w:rFonts w:hint="eastAsia"/>
                            <w:lang w:val="en-US" w:eastAsia="zh-CN"/>
                          </w:rPr>
                          <w:t>新鲜水</w:t>
                        </w:r>
                      </w:p>
                      <w:p>
                        <w:pPr>
                          <w:keepNext w:val="0"/>
                          <w:keepLines w:val="0"/>
                          <w:pageBreakBefore w:val="0"/>
                          <w:widowControl w:val="0"/>
                          <w:kinsoku/>
                          <w:wordWrap w:val="0"/>
                          <w:overflowPunct/>
                          <w:topLinePunct w:val="0"/>
                          <w:autoSpaceDE w:val="0"/>
                          <w:autoSpaceDN w:val="0"/>
                          <w:bidi w:val="0"/>
                          <w:adjustRightInd/>
                          <w:snapToGrid/>
                          <w:jc w:val="left"/>
                          <w:textAlignment w:val="auto"/>
                          <w:rPr>
                            <w:rFonts w:hint="default"/>
                            <w:lang w:val="en-US" w:eastAsia="zh-CN"/>
                          </w:rPr>
                        </w:pPr>
                        <w:r>
                          <w:rPr>
                            <w:rFonts w:hint="eastAsia"/>
                            <w:lang w:val="en-US" w:eastAsia="zh-CN"/>
                          </w:rPr>
                          <w:t>48.8</w:t>
                        </w:r>
                      </w:p>
                    </w:txbxContent>
                  </v:textbox>
                </v:shape>
                <v:shape id="_x0000_s1026" o:spid="_x0000_s1026" o:spt="202" type="#_x0000_t202" style="position:absolute;left:610235;top:271228;height:262970;width:493395;"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IZ4JnUAAAABQEAAA8AAAAAAAAAAQAgAAAAIgAAAGRycy9kb3ducmV2LnhtbFBLAQIUABQAAAAI&#10;AIdO4kBnTARduAEAAFkDAAAOAAAAAAAAAAEAIAAAACMBAABkcnMvZTJvRG9jLnhtbFBLBQYAAAAA&#10;BgAGAFkBAABNBQAAAAA=&#10;">
                  <v:fill on="f" focussize="0,0"/>
                  <v:stroke on="f"/>
                  <v:imagedata o:title=""/>
                  <o:lock v:ext="edit" aspectratio="f"/>
                  <v:textbox>
                    <w:txbxContent>
                      <w:p>
                        <w:pPr>
                          <w:rPr>
                            <w:rFonts w:hint="default" w:eastAsia="宋体"/>
                            <w:lang w:val="en-US" w:eastAsia="zh-CN"/>
                          </w:rPr>
                        </w:pPr>
                        <w:r>
                          <w:rPr>
                            <w:rFonts w:hint="eastAsia"/>
                            <w:lang w:val="en-US" w:eastAsia="zh-CN"/>
                          </w:rPr>
                          <w:t>2.6</w:t>
                        </w:r>
                      </w:p>
                    </w:txbxContent>
                  </v:textbox>
                </v:shape>
                <v:shape id="_x0000_s1026" o:spid="_x0000_s1026" o:spt="202" type="#_x0000_t202" style="position:absolute;left:2132965;top:260429;height:262970;width:583565;"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GeCZ1AAAAAUBAAAPAAAAAAAAAAEAIAAAACIAAABkcnMvZG93bnJldi54bWxQSwECFAAUAAAACACH&#10;TuJAyBd9C7YBAABaAwAADgAAAAAAAAABACAAAAAjAQAAZHJzL2Uyb0RvYy54bWxQSwUGAAAAAAYA&#10;BgBZAQAASwUAAAAA&#10;">
                  <v:fill on="f" focussize="0,0"/>
                  <v:stroke on="f"/>
                  <v:imagedata o:title=""/>
                  <o:lock v:ext="edit" aspectratio="f"/>
                  <v:textbox>
                    <w:txbxContent>
                      <w:p>
                        <w:pPr>
                          <w:rPr>
                            <w:rFonts w:hint="default" w:eastAsia="宋体"/>
                            <w:lang w:val="en-US" w:eastAsia="zh-CN"/>
                          </w:rPr>
                        </w:pPr>
                        <w:r>
                          <w:rPr>
                            <w:rFonts w:hint="eastAsia"/>
                            <w:lang w:val="en-US" w:eastAsia="zh-CN"/>
                          </w:rPr>
                          <w:t>2.34</w:t>
                        </w:r>
                      </w:p>
                    </w:txbxContent>
                  </v:textbox>
                </v:shape>
                <v:shape id="_x0000_s1026" o:spid="_x0000_s1026" o:spt="202" type="#_x0000_t202" style="position:absolute;left:1330325;top:0;height:262970;width:749935;"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iGeCZ&#10;1AAAAAUBAAAPAAAAAAAAAAEAIAAAACIAAABkcnMvZG93bnJldi54bWxQSwECFAAUAAAACACHTuJA&#10;j7L6oLMBAABVAwAADgAAAAAAAAABACAAAAAjAQAAZHJzL2Uyb0RvYy54bWxQSwUGAAAAAAYABgBZ&#10;AQAASAUAAAAA&#10;">
                  <v:fill on="f" focussize="0,0"/>
                  <v:stroke on="f"/>
                  <v:imagedata o:title=""/>
                  <o:lock v:ext="edit" aspectratio="f"/>
                  <v:textbox>
                    <w:txbxContent>
                      <w:p>
                        <w:pPr>
                          <w:rPr>
                            <w:rFonts w:hint="default" w:eastAsia="宋体"/>
                            <w:lang w:val="en-US" w:eastAsia="zh-CN"/>
                          </w:rPr>
                        </w:pPr>
                        <w:r>
                          <w:rPr>
                            <w:rFonts w:hint="eastAsia"/>
                          </w:rPr>
                          <w:t>损耗0.</w:t>
                        </w:r>
                        <w:r>
                          <w:rPr>
                            <w:rFonts w:hint="eastAsia"/>
                            <w:lang w:val="en-US" w:eastAsia="zh-CN"/>
                          </w:rPr>
                          <w:t>26</w:t>
                        </w:r>
                      </w:p>
                    </w:txbxContent>
                  </v:textbox>
                </v:shape>
                <v:shape id="_x0000_s1026" o:spid="_x0000_s1026" o:spt="202" type="#_x0000_t202" style="position:absolute;left:700405;top:1858577;height:271228;width:484505;"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IZ&#10;4JnUAAAABQEAAA8AAAAAAAAAAQAgAAAAIgAAAGRycy9kb3ducmV2LnhtbFBLAQIUABQAAAAIAIdO&#10;4kC+sZjwtQEAAFoDAAAOAAAAAAAAAAEAIAAAACMBAABkcnMvZTJvRG9jLnhtbFBLBQYAAAAABgAG&#10;AFkBAABKBQAAAAA=&#10;">
                  <v:fill on="f" focussize="0,0"/>
                  <v:stroke on="f"/>
                  <v:imagedata o:title=""/>
                  <o:lock v:ext="edit" aspectratio="f"/>
                  <v:textbox>
                    <w:txbxContent>
                      <w:p>
                        <w:pPr>
                          <w:rPr>
                            <w:rFonts w:hint="default" w:eastAsia="宋体"/>
                            <w:lang w:val="en-US" w:eastAsia="zh-CN"/>
                          </w:rPr>
                        </w:pPr>
                        <w:r>
                          <w:rPr>
                            <w:rFonts w:hint="eastAsia"/>
                            <w:lang w:val="en-US" w:eastAsia="zh-CN"/>
                          </w:rPr>
                          <w:t>28.8</w:t>
                        </w:r>
                      </w:p>
                    </w:txbxContent>
                  </v:textbox>
                </v:shape>
                <v:rect id="_x0000_s1026" o:spid="_x0000_s1026" o:spt="1" style="position:absolute;left:1260475;top:1957032;height:270593;width:1330325;" filled="f" stroked="t" coordsize="21600,21600" o:gfxdata="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rQKKNQAAAAFAQAADwAAAAAAAAABACAAAAAiAAAAZHJz&#10;L2Rvd25yZXYueG1sUEsBAhQAFAAAAAgAh07iQPQLVUoIAgAADgQAAA4AAAAAAAAAAQAgAAAAIwEA&#10;AGRycy9lMm9Eb2MueG1sUEsFBgAAAAAGAAYAWQEAAJ0FAAAAAA==&#10;">
                  <v:fill on="f" focussize="0,0"/>
                  <v:stroke color="#000000" joinstyle="miter"/>
                  <v:imagedata o:title=""/>
                  <o:lock v:ext="edit" aspectratio="f"/>
                  <v:textbox>
                    <w:txbxContent>
                      <w:p>
                        <w:pPr>
                          <w:jc w:val="center"/>
                        </w:pPr>
                        <w:r>
                          <w:rPr>
                            <w:rFonts w:hint="eastAsia"/>
                          </w:rPr>
                          <w:t>脱硫除尘循环水池</w:t>
                        </w:r>
                      </w:p>
                    </w:txbxContent>
                  </v:textbox>
                </v:rect>
                <v:shape id="_x0000_s1026" o:spid="_x0000_s1026" o:spt="32" type="#_x0000_t32" style="position:absolute;left:548640;top:2099316;flip:y;height:1270;width:722630;" filled="f" stroked="t" coordsize="21600,21600" o:gfxdata="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UZWQNYAAAAF&#10;AQAADwAAAAAAAAABACAAAAAiAAAAZHJzL2Rvd25yZXYueG1sUEsBAhQAFAAAAAgAh07iQCZtsWke&#10;AgAACQQAAA4AAAAAAAAAAQAgAAAAJQEAAGRycy9lMm9Eb2MueG1sUEsFBgAAAAAGAAYAWQEAALUF&#10;AAAAAA==&#10;">
                  <v:fill on="f" focussize="0,0"/>
                  <v:stroke color="#000000" joinstyle="round" endarrow="block"/>
                  <v:imagedata o:title=""/>
                  <o:lock v:ext="edit" aspectratio="f"/>
                </v:shape>
                <v:shape id="_x0000_s1026" o:spid="_x0000_s1026" o:spt="32" type="#_x0000_t32" style="position:absolute;left:2379980;top:1227830;height:1906;width:638175;" filled="f" stroked="t" coordsize="21600,21600" o:gfxdata="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52n4+1QAAAAUBAAAPAAAAAAAAAAEA&#10;IAAAACIAAABkcnMvZG93bnJldi54bWxQSwECFAAUAAAACACHTuJA3mu2lRICAAAABAAADgAAAAAA&#10;AAABACAAAAAkAQAAZHJzL2Uyb0RvYy54bWxQSwUGAAAAAAYABgBZAQAAqAUAAAAA&#10;">
                  <v:fill on="f" focussize="0,0"/>
                  <v:stroke color="#000000" joinstyle="round" endarrow="block"/>
                  <v:imagedata o:title=""/>
                  <o:lock v:ext="edit" aspectratio="f"/>
                </v:shape>
                <v:shape id="_x0000_s1026" o:spid="_x0000_s1026" o:spt="32" type="#_x0000_t32" style="position:absolute;left:1956435;top:1822371;flip:y;height:125768;width:197485;" filled="f" stroked="t" coordsize="21600,21600" o:gfxdata="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0rUC9UAAAAFAQAA&#10;DwAAAAAAAAABACAAAAAiAAAAZHJzL2Rvd25yZXYueG1sUEsBAhQAFAAAAAgAh07iQNWv2tkcAgAA&#10;DQQAAA4AAAAAAAAAAQAgAAAAJAEAAGRycy9lMm9Eb2MueG1sUEsFBgAAAAAGAAYAWQEAALIFAAAA&#10;AA==&#10;">
                  <v:fill on="f" focussize="0,0"/>
                  <v:stroke color="#000000" joinstyle="round" dashstyle="1 1" endarrow="block"/>
                  <v:imagedata o:title=""/>
                  <o:lock v:ext="edit" aspectratio="f"/>
                </v:shape>
                <v:shape id="_x0000_s1026" o:spid="_x0000_s1026" o:spt="202" type="#_x0000_t202" style="position:absolute;left:2108200;top:1636895;height:262970;width:848995;"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IZ4JnUAAAABQEAAA8AAAAAAAAAAQAgAAAAIgAAAGRycy9kb3ducmV2LnhtbFBLAQIUABQAAAAI&#10;AIdO4kAi623PuAEAAFsDAAAOAAAAAAAAAAEAIAAAACMBAABkcnMvZTJvRG9jLnhtbFBLBQYAAAAA&#10;BgAGAFkBAABNBQAAAAA=&#10;">
                  <v:fill on="f" focussize="0,0"/>
                  <v:stroke on="f"/>
                  <v:imagedata o:title=""/>
                  <o:lock v:ext="edit" aspectratio="f"/>
                  <v:textbox>
                    <w:txbxContent>
                      <w:p>
                        <w:pPr>
                          <w:rPr>
                            <w:rFonts w:hint="default" w:eastAsia="宋体"/>
                            <w:color w:val="000000"/>
                            <w:lang w:val="en-US" w:eastAsia="zh-CN"/>
                          </w:rPr>
                        </w:pPr>
                        <w:r>
                          <w:rPr>
                            <w:rFonts w:hint="eastAsia"/>
                            <w:color w:val="000000"/>
                            <w:szCs w:val="21"/>
                          </w:rPr>
                          <w:t>损耗</w:t>
                        </w:r>
                        <w:r>
                          <w:rPr>
                            <w:rFonts w:hint="eastAsia"/>
                            <w:color w:val="000000"/>
                            <w:szCs w:val="21"/>
                            <w:lang w:val="en-US" w:eastAsia="zh-CN"/>
                          </w:rPr>
                          <w:t>28.8</w:t>
                        </w:r>
                      </w:p>
                    </w:txbxContent>
                  </v:textbox>
                </v:shape>
                <v:shape id="_x0000_s1026" o:spid="_x0000_s1026" o:spt="32" type="#_x0000_t32" style="position:absolute;left:1948815;top:2235882;flip:y;height:282661;width:3175;" filled="f" stroked="t" coordsize="21600,21600" o:gfxdata="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ZWQNYAAAAFAQAA&#10;DwAAAAAAAAABACAAAAAiAAAAZHJzL2Rvd25yZXYueG1sUEsBAhQAFAAAAAgAh07iQHu+9kAbAgAA&#10;CgQAAA4AAAAAAAAAAQAgAAAAJQEAAGRycy9lMm9Eb2MueG1sUEsFBgAAAAAGAAYAWQEAALIFAAAA&#10;AA==&#10;">
                  <v:fill on="f" focussize="0,0"/>
                  <v:stroke color="#000000" joinstyle="round" endarrow="block"/>
                  <v:imagedata o:title=""/>
                  <o:lock v:ext="edit" aspectratio="f"/>
                </v:shape>
                <v:shape id="_x0000_s1026" o:spid="_x0000_s1026" o:spt="202" type="#_x0000_t202" style="position:absolute;left:2067560;top:2279711;height:256618;width:865505;"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IZ4JnUAAAABQEAAA8AAAAAAAAAAQAgAAAAIgAAAGRycy9kb3ducmV2LnhtbFBLAQIUABQAAAAI&#10;AIdO4kBsyqdZuAEAAFsDAAAOAAAAAAAAAAEAIAAAACMBAABkcnMvZTJvRG9jLnhtbFBLBQYAAAAA&#10;BgAGAFkBAABNBQAAAAA=&#10;">
                  <v:fill on="f" focussize="0,0"/>
                  <v:stroke on="f"/>
                  <v:imagedata o:title=""/>
                  <o:lock v:ext="edit" aspectratio="f"/>
                  <v:textbox>
                    <w:txbxContent>
                      <w:p>
                        <w:pPr>
                          <w:rPr>
                            <w:color w:val="000000"/>
                          </w:rPr>
                        </w:pPr>
                        <w:r>
                          <w:rPr>
                            <w:rFonts w:hint="eastAsia"/>
                            <w:color w:val="000000"/>
                            <w:szCs w:val="21"/>
                          </w:rPr>
                          <w:t>循环960</w:t>
                        </w:r>
                      </w:p>
                    </w:txbxContent>
                  </v:textbox>
                </v:shape>
                <v:shape id="_x0000_s1026" o:spid="_x0000_s1026" o:spt="32" type="#_x0000_t32" style="position:absolute;left:2589530;top:2070732;flip:y;height:1906;width:321310;" filled="f" stroked="t" coordsize="21600,21600" o:gfxdata="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zoDF1AAAAAUBAAAPAAAAAAAAAAEA&#10;IAAAACIAAABkcnMvZG93bnJldi54bWxQSwECFAAUAAAACACHTuJAL3pKJhMCAAAGBAAADgAAAAAA&#10;AAABACAAAAAjAQAAZHJzL2Uyb0RvYy54bWxQSwUGAAAAAAYABgBZAQAAqAUAAAAA&#10;">
                  <v:fill on="f" focussize="0,0"/>
                  <v:stroke color="#000000" joinstyle="round"/>
                  <v:imagedata o:title=""/>
                  <o:lock v:ext="edit" aspectratio="f"/>
                </v:shape>
                <v:shape id="_x0000_s1026" o:spid="_x0000_s1026" o:spt="32" type="#_x0000_t32" style="position:absolute;left:1948815;top:2509016;height:6987;width:965835;" filled="f" stroked="t" coordsize="21600,21600" o:gfxdata="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HhTy1QAAAAUBAAAPAAAAAAAAAAEAIAAAACIA&#10;AABkcnMvZG93bnJldi54bWxQSwECFAAUAAAACACHTuJAPKZrlQwCAAD8AwAADgAAAAAAAAABACAA&#10;AAAkAQAAZHJzL2Uyb0RvYy54bWxQSwUGAAAAAAYABgBZAQAAogUAAAAA&#10;">
                  <v:fill on="f" focussize="0,0"/>
                  <v:stroke color="#000000" joinstyle="round"/>
                  <v:imagedata o:title=""/>
                  <o:lock v:ext="edit" aspectratio="f"/>
                </v:shape>
                <v:shape id="_x0000_s1026" o:spid="_x0000_s1026" o:spt="32" type="#_x0000_t32" style="position:absolute;left:2905125;top:2072002;flip:x;height:444001;width:1905;" filled="f" stroked="t" coordsize="21600,21600" o:gfxdata="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zoDF1AAAAAUBAAAPAAAAAAAAAAEA&#10;IAAAACIAAABkcnMvZG93bnJldi54bWxQSwECFAAUAAAACACHTuJAZh+CNhMCAAAGBAAADgAAAAAA&#10;AAABACAAAAAjAQAAZHJzL2Uyb0RvYy54bWxQSwUGAAAAAAYABgBZAQAAqAUAAAAA&#10;">
                  <v:fill on="f" focussize="0,0"/>
                  <v:stroke color="#000000" joinstyle="round"/>
                  <v:imagedata o:title=""/>
                  <o:lock v:ext="edit" aspectratio="f"/>
                </v:shape>
                <v:shape id="_x0000_s1026" o:spid="_x0000_s1026" o:spt="32" type="#_x0000_t32" style="position:absolute;left:551180;top:479571;height:3203283;width:5080;" filled="f" stroked="t" coordsize="21600,21600" o:gfxdata="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0eFPLVAAAABQEAAA8AAAAAAAAAAQAgAAAAIgAA&#10;AGRycy9kb3ducmV2LnhtbFBLAQIUABQAAAAIAIdO4kC7KzfOCwIAAPsDAAAOAAAAAAAAAAEAIAAA&#10;ACQBAABkcnMvZTJvRG9jLnhtbFBLBQYAAAAABgAGAFkBAAChBQAAAAA=&#10;">
                  <v:fill on="f" focussize="0,0"/>
                  <v:stroke color="#000000" joinstyle="round"/>
                  <v:imagedata o:title=""/>
                  <o:lock v:ext="edit" aspectratio="f"/>
                </v:shape>
                <v:shape id="_x0000_s1026" o:spid="_x0000_s1026" o:spt="32" type="#_x0000_t32" style="position:absolute;left:557530;top:1237358;height:0;width:504825;" filled="f" stroked="t" coordsize="21600,21600" o:gfxdata="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afj7VAAAABQEAAA8AAAAAAAAAAQAg&#10;AAAAIgAAAGRycy9kb3ducmV2LnhtbFBLAQIUABQAAAAIAIdO4kCnEcyPEQIAAPwDAAAOAAAAAAAA&#10;AAEAIAAAACQBAABkcnMvZTJvRG9jLnhtbFBLBQYAAAAABgAGAFkBAACnBQAAAAA=&#10;">
                  <v:fill on="f" focussize="0,0"/>
                  <v:stroke color="#000000" joinstyle="round" endarrow="block"/>
                  <v:imagedata o:title=""/>
                  <o:lock v:ext="edit" aspectratio="f"/>
                </v:shape>
                <v:rect id="_x0000_s1026" o:spid="_x0000_s1026" o:spt="1" style="position:absolute;left:1065530;top:1094439;height:266781;width:1315720;" filled="f" stroked="t" coordsize="21600,21600" o:gfxdata="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K0CijUAAAABQEAAA8AAAAAAAAAAQAgAAAAIgAAAGRycy9k&#10;b3ducmV2LnhtbFBLAQIUABQAAAAIAIdO4kA7T1UoBgIAAA4EAAAOAAAAAAAAAAEAIAAAACMBAABk&#10;cnMvZTJvRG9jLnhtbFBLBQYAAAAABgAGAFkBAACbBQAAAAA=&#10;">
                  <v:fill on="f" focussize="0,0"/>
                  <v:stroke color="#000000" joinstyle="miter"/>
                  <v:imagedata o:title=""/>
                  <o:lock v:ext="edit" aspectratio="f"/>
                  <v:textbox>
                    <w:txbxContent>
                      <w:p>
                        <w:pPr>
                          <w:jc w:val="center"/>
                          <w:rPr>
                            <w:rFonts w:hint="eastAsia"/>
                          </w:rPr>
                        </w:pPr>
                        <w:r>
                          <w:rPr>
                            <w:rFonts w:hint="eastAsia"/>
                          </w:rPr>
                          <w:t>原料搅拌</w:t>
                        </w:r>
                        <w:r>
                          <w:rPr>
                            <w:rFonts w:hint="eastAsia"/>
                            <w:lang w:val="en-US" w:eastAsia="zh-CN"/>
                          </w:rPr>
                          <w:t>陈化</w:t>
                        </w:r>
                        <w:r>
                          <w:rPr>
                            <w:rFonts w:hint="eastAsia"/>
                          </w:rPr>
                          <w:t>用水</w:t>
                        </w:r>
                      </w:p>
                    </w:txbxContent>
                  </v:textbox>
                </v:rect>
                <v:shape id="_x0000_s1026" o:spid="_x0000_s1026" o:spt="202" type="#_x0000_t202" style="position:absolute;left:2941955;top:1102995;height:254000;width:1339850;"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hngmdQAAAAFAQAADwAAAAAAAAABACAAAAAiAAAAZHJzL2Rvd25yZXYueG1sUEsBAhQAFAAA&#10;AAgAh07iQFrpyni6AQAAXAMAAA4AAAAAAAAAAQAgAAAAIwEAAGRycy9lMm9Eb2MueG1sUEsFBgAA&#10;AAAGAAYAWQEAAE8FAAAAAA==&#10;">
                  <v:fill on="f" focussize="0,0"/>
                  <v:stroke on="f"/>
                  <v:imagedata o:title=""/>
                  <o:lock v:ext="edit" aspectratio="f"/>
                  <v:textbox>
                    <w:txbxContent>
                      <w:p>
                        <w:r>
                          <w:rPr>
                            <w:rFonts w:hint="eastAsia"/>
                          </w:rPr>
                          <w:t>进入产品蒸发</w:t>
                        </w:r>
                      </w:p>
                    </w:txbxContent>
                  </v:textbox>
                </v:shape>
                <v:shape id="_x0000_s1026" o:spid="_x0000_s1026" o:spt="202" type="#_x0000_t202" style="position:absolute;left:2347595;top:981375;height:278215;width:713105;"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GeCZ1AAAAAUBAAAPAAAAAAAAAAEAIAAAACIAAABkcnMvZG93bnJldi54bWxQSwECFAAUAAAA&#10;CACHTuJAXE7ynrkBAABaAwAADgAAAAAAAAABACAAAAAjAQAAZHJzL2Uyb0RvYy54bWxQSwUGAAAA&#10;AAYABgBZAQAATgUAAAAA&#10;">
                  <v:fill on="f" focussize="0,0"/>
                  <v:stroke on="f"/>
                  <v:imagedata o:title=""/>
                  <o:lock v:ext="edit" aspectratio="f"/>
                  <v:textbox>
                    <w:txbxContent>
                      <w:p>
                        <w:pPr>
                          <w:ind w:firstLine="240" w:firstLineChars="100"/>
                          <w:rPr>
                            <w:rFonts w:hint="default" w:eastAsia="宋体"/>
                            <w:lang w:val="en-US" w:eastAsia="zh-CN"/>
                          </w:rPr>
                        </w:pPr>
                        <w:r>
                          <w:rPr>
                            <w:rFonts w:hint="eastAsia"/>
                            <w:lang w:val="en-US" w:eastAsia="zh-CN"/>
                          </w:rPr>
                          <w:t>12</w:t>
                        </w:r>
                      </w:p>
                    </w:txbxContent>
                  </v:textbox>
                </v:shape>
                <v:shape id="_x0000_s1026" o:spid="_x0000_s1026" o:spt="32" type="#_x0000_t32" style="position:absolute;left:549910;top:2895214;height:4446;width:426085;" filled="f" stroked="t" coordsize="21600,21600" o:gfxdata="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nafj7VAAAABQEAAA8AAAAAAAAA&#10;AQAgAAAAIgAAAGRycy9kb3ducmV2LnhtbFBLAQIUABQAAAAIAIdO4kDlxC3KFAIAAP8DAAAOAAAA&#10;AAAAAAEAIAAAACQBAABkcnMvZTJvRG9jLnhtbFBLBQYAAAAABgAGAFkBAACqBQAAAAA=&#10;">
                  <v:fill on="f" focussize="0,0"/>
                  <v:stroke color="#000000" joinstyle="round" endarrow="block"/>
                  <v:imagedata o:title=""/>
                  <o:lock v:ext="edit" aspectratio="f"/>
                </v:shape>
                <v:rect id="_x0000_s1026" o:spid="_x0000_s1026" o:spt="1" style="position:absolute;left:970280;top:2761823;height:266781;width:914400;" filled="f" stroked="t" coordsize="21600,21600" o:gfxdata="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rQKKNQAAAAFAQAADwAAAAAAAAABACAAAAAiAAAAZHJzL2Rv&#10;d25yZXYueG1sUEsBAhQAFAAAAAgAh07iQFt9wkEFAgAADAQAAA4AAAAAAAAAAQAgAAAAIwEAAGRy&#10;cy9lMm9Eb2MueG1sUEsFBgAAAAAGAAYAWQEAAJoFA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抑尘用水</w:t>
                        </w:r>
                      </w:p>
                    </w:txbxContent>
                  </v:textbox>
                </v:rect>
                <v:shape id="_x0000_s1026" o:spid="_x0000_s1026" o:spt="202" type="#_x0000_t202" style="position:absolute;left:617855;top:2643042;height:266781;width:295910;"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GeCZ1AAAAAUBAAAPAAAAAAAAAAEAIAAAACIAAABkcnMvZG93bnJldi54bWxQSwECFAAUAAAA&#10;CACHTuJAOBifa7kBAABaAwAADgAAAAAAAAABACAAAAAjAQAAZHJzL2Uyb0RvYy54bWxQSwUGAAAA&#10;AAYABgBZAQAATgUAAAAA&#10;">
                  <v:fill on="f" focussize="0,0"/>
                  <v:stroke on="f"/>
                  <v:imagedata o:title=""/>
                  <o:lock v:ext="edit" aspectratio="f"/>
                  <v:textbox>
                    <w:txbxContent>
                      <w:p>
                        <w:pPr>
                          <w:rPr>
                            <w:rFonts w:hint="eastAsia" w:eastAsia="宋体"/>
                            <w:lang w:val="en-US" w:eastAsia="zh-CN"/>
                          </w:rPr>
                        </w:pPr>
                        <w:r>
                          <w:rPr>
                            <w:rFonts w:hint="eastAsia"/>
                            <w:lang w:val="en-US" w:eastAsia="zh-CN"/>
                          </w:rPr>
                          <w:t>5</w:t>
                        </w:r>
                      </w:p>
                    </w:txbxContent>
                  </v:textbox>
                </v:shape>
                <v:shape id="_x0000_s1026" o:spid="_x0000_s1026" o:spt="32" type="#_x0000_t32" style="position:absolute;left:1398905;top:2639231;flip:y;height:114335;width:190500;" filled="f" stroked="t" coordsize="21600,21600" o:gfxdata="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0rUC9UAAAAF&#10;AQAADwAAAAAAAAABACAAAAAiAAAAZHJzL2Rvd25yZXYueG1sUEsBAhQAFAAAAAgAh07iQBzgxxMf&#10;AgAADQQAAA4AAAAAAAAAAQAgAAAAJAEAAGRycy9lMm9Eb2MueG1sUEsFBgAAAAAGAAYAWQEAALUF&#10;AAAAAA==&#10;">
                  <v:fill on="f" focussize="0,0"/>
                  <v:stroke color="#000000" joinstyle="round" dashstyle="1 1" endarrow="block"/>
                  <v:imagedata o:title=""/>
                  <o:lock v:ext="edit" aspectratio="f"/>
                </v:shape>
                <v:shape id="_x0000_s1026" o:spid="_x0000_s1026" o:spt="202" type="#_x0000_t202" style="position:absolute;left:1579880;top:2504569;height:266781;width:292100;"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GeCZ1AAAAAUBAAAPAAAAAAAAAAEAIAAAACIAAABkcnMvZG93bnJldi54bWxQSwECFAAUAAAA&#10;CACHTuJAkKGk67kBAABbAwAADgAAAAAAAAABACAAAAAjAQAAZHJzL2Uyb0RvYy54bWxQSwUGAAAA&#10;AAYABgBZAQAATgUAAAAA&#10;">
                  <v:fill on="f" focussize="0,0"/>
                  <v:stroke on="f"/>
                  <v:imagedata o:title=""/>
                  <o:lock v:ext="edit" aspectratio="f"/>
                  <v:textbox>
                    <w:txbxContent>
                      <w:p>
                        <w:pPr>
                          <w:rPr>
                            <w:rFonts w:hint="eastAsia" w:eastAsia="宋体"/>
                            <w:lang w:val="en-US" w:eastAsia="zh-CN"/>
                          </w:rPr>
                        </w:pPr>
                        <w:r>
                          <w:rPr>
                            <w:rFonts w:hint="eastAsia"/>
                            <w:lang w:val="en-US" w:eastAsia="zh-CN"/>
                          </w:rPr>
                          <w:t>5</w:t>
                        </w:r>
                      </w:p>
                    </w:txbxContent>
                  </v:textbox>
                </v:shape>
                <v:shape id="_x0000_s1026" o:spid="_x0000_s1026" o:spt="32" type="#_x0000_t32" style="position:absolute;left:547370;top:3677772;height:0;width:419100;" filled="f" stroked="t" coordsize="21600,21600" o:gfxdata="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dp+PtUAAAAFAQAADwAAAAAAAAAB&#10;ACAAAAAiAAAAZHJzL2Rvd25yZXYueG1sUEsBAhQAFAAAAAgAh07iQLamaMETAgAA/AMAAA4AAAAA&#10;AAAAAQAgAAAAJAEAAGRycy9lMm9Eb2MueG1sUEsFBgAAAAAGAAYAWQEAAKkFAAAAAA==&#10;">
                  <v:fill on="f" focussize="0,0"/>
                  <v:stroke color="#000000" joinstyle="round" endarrow="block"/>
                  <v:imagedata o:title=""/>
                  <o:lock v:ext="edit" aspectratio="f"/>
                </v:shape>
                <v:rect id="_x0000_s1026" o:spid="_x0000_s1026" o:spt="1" style="position:absolute;left:987425;top:3550734;height:266781;width:914400;" filled="f" stroked="t" coordsize="21600,21600" o:gfxdata="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StAoo1AAAAAUBAAAPAAAAAAAAAAEAIAAAACIAAABkcnMvZG93&#10;bnJldi54bWxQSwECFAAUAAAACACHTuJApH3R1AQCAAAMBAAADgAAAAAAAAABACAAAAAjAQAAZHJz&#10;L2Uyb0RvYy54bWxQSwUGAAAAAAYABgBZAQAAmQUAAAAA&#10;">
                  <v:fill on="f" focussize="0,0"/>
                  <v:stroke color="#000000" joinstyle="miter"/>
                  <v:imagedata o:title=""/>
                  <o:lock v:ext="edit" aspectratio="f"/>
                  <v:textbox>
                    <w:txbxContent>
                      <w:p>
                        <w:pPr>
                          <w:jc w:val="center"/>
                          <w:rPr>
                            <w:rFonts w:hint="eastAsia"/>
                          </w:rPr>
                        </w:pPr>
                        <w:r>
                          <w:rPr>
                            <w:rFonts w:hint="eastAsia"/>
                          </w:rPr>
                          <w:t>车辆冲洗</w:t>
                        </w:r>
                      </w:p>
                    </w:txbxContent>
                  </v:textbox>
                </v:rect>
                <v:shape id="_x0000_s1026" o:spid="_x0000_s1026" o:spt="32" type="#_x0000_t32" style="position:absolute;left:1419225;top:3423695;flip:y;height:114335;width:190500;" filled="f" stroked="t" coordsize="21600,21600" o:gfxdata="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tK1AvVAAAA&#10;BQEAAA8AAAAAAAAAAQAgAAAAIgAAAGRycy9kb3ducmV2LnhtbFBLAQIUABQAAAAIAIdO4kBA/Fgh&#10;IAIAAA0EAAAOAAAAAAAAAAEAIAAAACQBAABkcnMvZTJvRG9jLnhtbFBLBQYAAAAABgAGAFkBAAC2&#10;BQAAAAA=&#10;">
                  <v:fill on="f" focussize="0,0"/>
                  <v:stroke color="#000000" joinstyle="round" dashstyle="1 1" endarrow="block"/>
                  <v:imagedata o:title=""/>
                  <o:lock v:ext="edit" aspectratio="f"/>
                </v:shape>
                <v:shape id="_x0000_s1026" o:spid="_x0000_s1026" o:spt="32" type="#_x0000_t32" style="position:absolute;left:102870;top:2092964;flip:y;height:8893;width:436880;" filled="f" stroked="t" coordsize="21600,21600" o:gfxdata="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ZWQNYAAAAFAQAA&#10;DwAAAAAAAAABACAAAAAiAAAAZHJzL2Rvd25yZXYueG1sUEsBAhQAFAAAAAgAh07iQDGv24QbAgAA&#10;CQQAAA4AAAAAAAAAAQAgAAAAJQEAAGRycy9lMm9Eb2MueG1sUEsFBgAAAAAGAAYAWQEAALIFAAAA&#10;AA==&#10;">
                  <v:fill on="f" focussize="0,0"/>
                  <v:stroke color="#000000" joinstyle="round" endarrow="block"/>
                  <v:imagedata o:title=""/>
                  <o:lock v:ext="edit" aspectratio="f"/>
                </v:shape>
                <v:shape id="_x0000_s1026" o:spid="_x0000_s1026" o:spt="202" type="#_x0000_t202" style="position:absolute;left:508635;top:1002336;height:253442;width:675640;"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IZ4JnUAAAABQEAAA8AAAAAAAAAAQAgAAAAIgAAAGRycy9kb3ducmV2LnhtbFBLAQIUABQAAAAI&#10;AIdO4kAqIBtGuAEAAFoDAAAOAAAAAAAAAAEAIAAAACMBAABkcnMvZTJvRG9jLnhtbFBLBQYAAAAA&#10;BgAGAFkBAABNBQAAAAA=&#10;">
                  <v:fill on="f" focussize="0,0"/>
                  <v:stroke on="f"/>
                  <v:imagedata o:title=""/>
                  <o:lock v:ext="edit" aspectratio="f"/>
                  <v:textbox>
                    <w:txbxContent>
                      <w:p>
                        <w:pPr>
                          <w:ind w:firstLine="240" w:firstLineChars="100"/>
                          <w:rPr>
                            <w:rFonts w:hint="default" w:eastAsia="宋体"/>
                            <w:lang w:val="en-US" w:eastAsia="zh-CN"/>
                          </w:rPr>
                        </w:pPr>
                        <w:r>
                          <w:rPr>
                            <w:rFonts w:hint="eastAsia"/>
                            <w:lang w:val="en-US" w:eastAsia="zh-CN"/>
                          </w:rPr>
                          <w:t>12</w:t>
                        </w:r>
                      </w:p>
                    </w:txbxContent>
                  </v:textbox>
                </v:shape>
                <v:shape id="_x0000_s1026" o:spid="_x0000_s1026" o:spt="202" type="#_x0000_t202" style="position:absolute;left:3710940;top:252807;height:254078;width:617220;"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hngmdQAAAAFAQAADwAAAAAAAAABACAAAAAiAAAAZHJzL2Rvd25yZXYueG1sUEsBAhQAFAAAAAgA&#10;h07iQNVjSF+3AQAAWgMAAA4AAAAAAAAAAQAgAAAAIwEAAGRycy9lMm9Eb2MueG1sUEsFBgAAAAAG&#10;AAYAWQEAAEwFAAAAAA==&#10;">
                  <v:fill on="f" focussize="0,0"/>
                  <v:stroke on="f"/>
                  <v:imagedata o:title=""/>
                  <o:lock v:ext="edit" aspectratio="f"/>
                  <v:textbox>
                    <w:txbxContent>
                      <w:p>
                        <w:pPr>
                          <w:rPr>
                            <w:rFonts w:hint="default" w:eastAsia="宋体"/>
                            <w:lang w:val="en-US" w:eastAsia="zh-CN"/>
                          </w:rPr>
                        </w:pPr>
                        <w:r>
                          <w:rPr>
                            <w:rFonts w:hint="eastAsia"/>
                          </w:rPr>
                          <w:t>2.</w:t>
                        </w:r>
                        <w:r>
                          <w:rPr>
                            <w:rFonts w:hint="eastAsia"/>
                            <w:lang w:val="en-US" w:eastAsia="zh-CN"/>
                          </w:rPr>
                          <w:t>34</w:t>
                        </w:r>
                      </w:p>
                    </w:txbxContent>
                  </v:textbox>
                </v:shape>
                <v:shape id="_x0000_s1026" o:spid="_x0000_s1026" o:spt="202" type="#_x0000_t202" style="position:absolute;left:564515;top:3404639;height:266781;width:492125;"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hngmdQAAAAFAQAADwAAAAAAAAABACAAAAAiAAAAZHJzL2Rvd25yZXYueG1sUEsBAhQAFAAA&#10;AAgAh07iQEDazfu6AQAAWgMAAA4AAAAAAAAAAQAgAAAAIwEAAGRycy9lMm9Eb2MueG1sUEsFBgAA&#10;AAAGAAYAWQEAAE8FAAAAAA==&#10;">
                  <v:fill on="f" focussize="0,0"/>
                  <v:stroke on="f"/>
                  <v:imagedata o:title=""/>
                  <o:lock v:ext="edit" aspectratio="f"/>
                  <v:textbox>
                    <w:txbxContent>
                      <w:p>
                        <w:r>
                          <w:rPr>
                            <w:rFonts w:hint="eastAsia"/>
                          </w:rPr>
                          <w:t>0.4</w:t>
                        </w:r>
                      </w:p>
                    </w:txbxContent>
                  </v:textbox>
                </v:shape>
                <v:shape id="_x0000_s1026" o:spid="_x0000_s1026" o:spt="202" type="#_x0000_t202" style="position:absolute;left:1577975;top:3238218;height:266781;width:482600;"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IZ4JnUAAAABQEAAA8AAAAAAAAAAQAgAAAAIgAAAGRycy9kb3ducmV2LnhtbFBLAQIUABQA&#10;AAAIAIdO4kBGWwePuwEAAFsDAAAOAAAAAAAAAAEAIAAAACMBAABkcnMvZTJvRG9jLnhtbFBLBQYA&#10;AAAABgAGAFkBAABQBQAAAAA=&#10;">
                  <v:fill on="f" focussize="0,0"/>
                  <v:stroke on="f"/>
                  <v:imagedata o:title=""/>
                  <o:lock v:ext="edit" aspectratio="f"/>
                  <v:textbox>
                    <w:txbxContent>
                      <w:p>
                        <w:r>
                          <w:rPr>
                            <w:rFonts w:hint="eastAsia"/>
                          </w:rPr>
                          <w:t>0.4</w:t>
                        </w:r>
                      </w:p>
                    </w:txbxContent>
                  </v:textbox>
                </v:shape>
                <v:shape id="_x0000_s1026" o:spid="_x0000_s1026" o:spt="32" type="#_x0000_t32" style="position:absolute;left:1298575;top:3832125;flip:y;height:279485;width:0;" filled="f" stroked="t" coordsize="21600,21600" o:gfxdata="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RlZA1gAAAAUBAAAP&#10;AAAAAAAAAAEAIAAAACIAAABkcnMvZG93bnJldi54bWxQSwECFAAUAAAACACHTuJAXlq13RoCAAAH&#10;BAAADgAAAAAAAAABACAAAAAlAQAAZHJzL2Uyb0RvYy54bWxQSwUGAAAAAAYABgBZAQAAsQUAAAAA&#10;">
                  <v:fill on="f" focussize="0,0"/>
                  <v:stroke color="#000000" joinstyle="round" endarrow="block"/>
                  <v:imagedata o:title=""/>
                  <o:lock v:ext="edit" aspectratio="f"/>
                </v:shape>
                <v:shape id="_x0000_s1026" o:spid="_x0000_s1026" o:spt="32" type="#_x0000_t32" style="position:absolute;left:1933575;top:3666974;flip:y;height:0;width:317500;" filled="f" stroked="t" coordsize="21600,21600" o:gfxdata="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M6AxdQAAAAFAQAADwAAAAAAAAAB&#10;ACAAAAAiAAAAZHJzL2Rvd25yZXYueG1sUEsBAhQAFAAAAAgAh07iQF6bqcwUAgAAAwQAAA4AAAAA&#10;AAAAAQAgAAAAIwEAAGRycy9lMm9Eb2MueG1sUEsFBgAAAAAGAAYAWQEAAKkFAAAAAA==&#10;">
                  <v:fill on="f" focussize="0,0"/>
                  <v:stroke color="#000000" joinstyle="round"/>
                  <v:imagedata o:title=""/>
                  <o:lock v:ext="edit" aspectratio="f"/>
                </v:shape>
                <v:shape id="_x0000_s1026" o:spid="_x0000_s1026" o:spt="32" type="#_x0000_t32" style="position:absolute;left:1298575;top:4098906;height:0;width:965200;" filled="f" stroked="t" coordsize="21600,21600" o:gfxdata="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HhTy1QAAAAUBAAAPAAAAAAAAAAEAIAAAACIA&#10;AABkcnMvZG93bnJldi54bWxQSwECFAAUAAAACACHTuJAKhP5jQwCAAD5AwAADgAAAAAAAAABACAA&#10;AAAkAQAAZHJzL2Uyb0RvYy54bWxQSwUGAAAAAAYABgBZAQAAogUAAAAA&#10;">
                  <v:fill on="f" focussize="0,0"/>
                  <v:stroke color="#000000" joinstyle="round"/>
                  <v:imagedata o:title=""/>
                  <o:lock v:ext="edit" aspectratio="f"/>
                </v:shape>
                <v:shape id="_x0000_s1026" o:spid="_x0000_s1026" o:spt="32" type="#_x0000_t32" style="position:absolute;left:2251075;top:3666974;flip:x;height:431932;width:0;" filled="f" stroked="t" coordsize="21600,21600" o:gfxdata="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M6AxdQAAAAFAQAADwAAAAAAAAAB&#10;ACAAAAAiAAAAZHJzL2Rvd25yZXYueG1sUEsBAhQAFAAAAAgAh07iQJwOhH0UAgAAAwQAAA4AAAAA&#10;AAAAAQAgAAAAIwEAAGRycy9lMm9Eb2MueG1sUEsFBgAAAAAGAAYAWQEAAKkFAAAAAA==&#10;">
                  <v:fill on="f" focussize="0,0"/>
                  <v:stroke color="#000000" joinstyle="round"/>
                  <v:imagedata o:title=""/>
                  <o:lock v:ext="edit" aspectratio="f"/>
                </v:shape>
                <v:shape id="_x0000_s1026" o:spid="_x0000_s1026" o:spt="202" type="#_x0000_t202" style="position:absolute;left:1583055;top:3875953;height:266781;width:482600;" filled="f" stroked="f" coordsize="21600,21600" o:gfxdata="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IZ4JnUAAAABQEAAA8AAAAAAAAAAQAgAAAAIgAAAGRycy9kb3ducmV2LnhtbFBLAQIUABQA&#10;AAAIAIdO4kA+JGI6uwEAAFsDAAAOAAAAAAAAAAEAIAAAACMBAABkcnMvZTJvRG9jLnhtbFBLBQYA&#10;AAAABgAGAFkBAABQBQAAAAA=&#10;">
                  <v:fill on="f" focussize="0,0"/>
                  <v:stroke on="f"/>
                  <v:imagedata o:title=""/>
                  <o:lock v:ext="edit" aspectratio="f"/>
                  <v:textbox>
                    <w:txbxContent>
                      <w:p>
                        <w:r>
                          <w:rPr>
                            <w:rFonts w:hint="eastAsia"/>
                          </w:rPr>
                          <w:t>4</w:t>
                        </w:r>
                      </w:p>
                    </w:txbxContent>
                  </v:textbox>
                </v:shape>
                <w10:wrap type="none"/>
                <w10:anchorlock/>
              </v:group>
            </w:pict>
          </mc:Fallback>
        </mc:AlternateContent>
      </w:r>
    </w:p>
    <w:p>
      <w:pPr>
        <w:spacing w:line="240" w:lineRule="auto"/>
        <w:jc w:val="center"/>
        <w:rPr>
          <w:rFonts w:hint="eastAsia"/>
          <w:b/>
          <w:bCs/>
          <w:sz w:val="21"/>
          <w:szCs w:val="21"/>
          <w:lang w:val="en-US" w:eastAsia="zh-CN"/>
        </w:rPr>
      </w:pPr>
    </w:p>
    <w:p>
      <w:pPr>
        <w:ind w:firstLine="482" w:firstLineChars="200"/>
        <w:jc w:val="center"/>
        <w:rPr>
          <w:rFonts w:hint="eastAsia" w:ascii="Times New Roman" w:hAnsi="Times New Roman" w:eastAsia="宋体"/>
          <w:b/>
          <w:bCs/>
        </w:rPr>
      </w:pPr>
      <w:r>
        <w:rPr>
          <w:rFonts w:hint="eastAsia" w:ascii="Times New Roman" w:hAnsi="Times New Roman" w:eastAsia="宋体"/>
          <w:b/>
          <w:bCs/>
        </w:rPr>
        <w:t>图3.1水平衡图（单位：m</w:t>
      </w:r>
      <w:r>
        <w:rPr>
          <w:rFonts w:hint="eastAsia" w:ascii="Times New Roman" w:hAnsi="Times New Roman" w:eastAsia="宋体"/>
          <w:b/>
          <w:bCs/>
          <w:vertAlign w:val="superscript"/>
        </w:rPr>
        <w:t>3</w:t>
      </w:r>
      <w:r>
        <w:rPr>
          <w:rFonts w:hint="eastAsia" w:ascii="Times New Roman" w:hAnsi="Times New Roman" w:eastAsia="宋体"/>
          <w:b/>
          <w:bCs/>
        </w:rPr>
        <w:t>/d）</w:t>
      </w:r>
    </w:p>
    <w:p>
      <w:pPr>
        <w:ind w:firstLine="480" w:firstLineChars="20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lang w:val="en-US" w:eastAsia="zh-CN"/>
        </w:rPr>
        <w:t>2</w:t>
      </w:r>
      <w:r>
        <w:rPr>
          <w:rFonts w:hint="eastAsia" w:ascii="Times New Roman" w:hAnsi="Times New Roman" w:eastAsia="宋体"/>
        </w:rPr>
        <w:t>）物料平衡</w:t>
      </w:r>
    </w:p>
    <w:p>
      <w:pPr>
        <w:ind w:firstLine="480" w:firstLineChars="200"/>
        <w:rPr>
          <w:rFonts w:hint="default" w:ascii="Times New Roman" w:hAnsi="Times New Roman" w:eastAsia="宋体"/>
        </w:rPr>
      </w:pPr>
      <w:r>
        <w:rPr>
          <w:rFonts w:hint="default" w:ascii="Times New Roman" w:hAnsi="Times New Roman" w:eastAsia="宋体"/>
        </w:rPr>
        <w:t>根据《排污许可证申请与核发技术规范 陶瓷砖瓦工业》（HJ954-2018）附录E产量折算系数参考值，1标砖重量单位为2.5kg，本项目实施完成后，物料平衡见表</w:t>
      </w:r>
      <w:r>
        <w:rPr>
          <w:rFonts w:hint="eastAsia" w:ascii="Times New Roman" w:hAnsi="Times New Roman" w:eastAsia="宋体"/>
          <w:lang w:val="en-US" w:eastAsia="zh-CN"/>
        </w:rPr>
        <w:t>3</w:t>
      </w:r>
      <w:r>
        <w:rPr>
          <w:rFonts w:hint="default" w:ascii="Times New Roman" w:hAnsi="Times New Roman" w:eastAsia="宋体"/>
        </w:rPr>
        <w:t>-</w:t>
      </w:r>
      <w:r>
        <w:rPr>
          <w:rFonts w:hint="eastAsia" w:ascii="Times New Roman" w:hAnsi="Times New Roman" w:eastAsia="宋体"/>
          <w:lang w:val="en-US" w:eastAsia="zh-CN"/>
        </w:rPr>
        <w:t>7</w:t>
      </w:r>
      <w:r>
        <w:rPr>
          <w:rFonts w:hint="default" w:ascii="Times New Roman" w:hAnsi="Times New Roman" w:eastAsia="宋体"/>
        </w:rPr>
        <w:t>。</w:t>
      </w:r>
    </w:p>
    <w:p>
      <w:pPr>
        <w:pStyle w:val="65"/>
        <w:keepNext w:val="0"/>
        <w:keepLines w:val="0"/>
        <w:pageBreakBefore w:val="0"/>
        <w:widowControl w:val="0"/>
        <w:tabs>
          <w:tab w:val="left" w:pos="3876"/>
        </w:tabs>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color w:val="auto"/>
          <w:sz w:val="21"/>
        </w:rPr>
      </w:pPr>
      <w:r>
        <w:rPr>
          <w:rFonts w:hint="eastAsia" w:ascii="Times New Roman" w:hAnsi="Times New Roman" w:eastAsia="宋体" w:cs="Times New Roman"/>
          <w:b/>
          <w:color w:val="auto"/>
          <w:sz w:val="21"/>
        </w:rPr>
        <w:t>表</w:t>
      </w:r>
      <w:r>
        <w:rPr>
          <w:rFonts w:hint="eastAsia" w:ascii="Times New Roman" w:hAnsi="Times New Roman" w:eastAsia="宋体" w:cs="Times New Roman"/>
          <w:b/>
          <w:color w:val="auto"/>
          <w:sz w:val="21"/>
          <w:lang w:val="en-US" w:eastAsia="zh-CN"/>
        </w:rPr>
        <w:t>3</w:t>
      </w:r>
      <w:r>
        <w:rPr>
          <w:rFonts w:hint="eastAsia" w:ascii="Times New Roman" w:hAnsi="Times New Roman" w:eastAsia="宋体" w:cs="Times New Roman"/>
          <w:b/>
          <w:color w:val="auto"/>
          <w:sz w:val="21"/>
        </w:rPr>
        <w:t>-</w:t>
      </w:r>
      <w:r>
        <w:rPr>
          <w:rFonts w:hint="eastAsia" w:ascii="Times New Roman" w:hAnsi="Times New Roman" w:eastAsia="宋体" w:cs="Times New Roman"/>
          <w:b/>
          <w:color w:val="auto"/>
          <w:sz w:val="21"/>
          <w:lang w:val="en-US" w:eastAsia="zh-CN"/>
        </w:rPr>
        <w:t>7</w:t>
      </w:r>
      <w:r>
        <w:rPr>
          <w:rFonts w:hint="eastAsia" w:ascii="Times New Roman" w:hAnsi="Times New Roman" w:eastAsia="宋体" w:cs="Times New Roman"/>
          <w:b/>
          <w:color w:val="auto"/>
          <w:sz w:val="21"/>
        </w:rPr>
        <w:t xml:space="preserve">  本项目实施后全厂物料平衡表</w:t>
      </w:r>
    </w:p>
    <w:tbl>
      <w:tblPr>
        <w:tblStyle w:val="23"/>
        <w:tblW w:w="4999" w:type="pct"/>
        <w:tblInd w:w="0" w:type="dxa"/>
        <w:tblLayout w:type="autofit"/>
        <w:tblCellMar>
          <w:top w:w="0" w:type="dxa"/>
          <w:left w:w="108" w:type="dxa"/>
          <w:bottom w:w="0" w:type="dxa"/>
          <w:right w:w="108" w:type="dxa"/>
        </w:tblCellMar>
      </w:tblPr>
      <w:tblGrid>
        <w:gridCol w:w="2062"/>
        <w:gridCol w:w="2373"/>
        <w:gridCol w:w="3050"/>
        <w:gridCol w:w="1754"/>
      </w:tblGrid>
      <w:tr>
        <w:tblPrEx>
          <w:tblCellMar>
            <w:top w:w="0" w:type="dxa"/>
            <w:left w:w="108" w:type="dxa"/>
            <w:bottom w:w="0" w:type="dxa"/>
            <w:right w:w="108" w:type="dxa"/>
          </w:tblCellMar>
        </w:tblPrEx>
        <w:trPr>
          <w:trHeight w:val="397" w:hRule="atLeast"/>
        </w:trPr>
        <w:tc>
          <w:tcPr>
            <w:tcW w:w="2400"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投入量（t/a）</w:t>
            </w:r>
          </w:p>
        </w:tc>
        <w:tc>
          <w:tcPr>
            <w:tcW w:w="2599"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产出量（t/a）</w:t>
            </w:r>
          </w:p>
        </w:tc>
      </w:tr>
      <w:tr>
        <w:tblPrEx>
          <w:tblCellMar>
            <w:top w:w="0" w:type="dxa"/>
            <w:left w:w="108" w:type="dxa"/>
            <w:bottom w:w="0" w:type="dxa"/>
            <w:right w:w="108" w:type="dxa"/>
          </w:tblCellMar>
        </w:tblPrEx>
        <w:trPr>
          <w:trHeight w:val="397" w:hRule="atLeast"/>
        </w:trPr>
        <w:tc>
          <w:tcPr>
            <w:tcW w:w="1116"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污泥</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14583.3</w:t>
            </w:r>
          </w:p>
        </w:tc>
        <w:tc>
          <w:tcPr>
            <w:tcW w:w="1650"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成品砖</w:t>
            </w:r>
          </w:p>
        </w:tc>
        <w:tc>
          <w:tcPr>
            <w:tcW w:w="949"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87500</w:t>
            </w:r>
          </w:p>
        </w:tc>
      </w:tr>
      <w:tr>
        <w:tblPrEx>
          <w:tblCellMar>
            <w:top w:w="0" w:type="dxa"/>
            <w:left w:w="108" w:type="dxa"/>
            <w:bottom w:w="0" w:type="dxa"/>
            <w:right w:w="108" w:type="dxa"/>
          </w:tblCellMar>
        </w:tblPrEx>
        <w:trPr>
          <w:trHeight w:val="397" w:hRule="atLeast"/>
        </w:trPr>
        <w:tc>
          <w:tcPr>
            <w:tcW w:w="1116"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页岩</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67129.6</w:t>
            </w:r>
          </w:p>
        </w:tc>
        <w:tc>
          <w:tcPr>
            <w:tcW w:w="1650"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水蒸气及烧失量</w:t>
            </w:r>
          </w:p>
        </w:tc>
        <w:tc>
          <w:tcPr>
            <w:tcW w:w="949"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21814.89</w:t>
            </w:r>
          </w:p>
        </w:tc>
      </w:tr>
      <w:tr>
        <w:tblPrEx>
          <w:tblCellMar>
            <w:top w:w="0" w:type="dxa"/>
            <w:left w:w="108" w:type="dxa"/>
            <w:bottom w:w="0" w:type="dxa"/>
            <w:right w:w="108" w:type="dxa"/>
          </w:tblCellMar>
        </w:tblPrEx>
        <w:trPr>
          <w:trHeight w:val="397" w:hRule="atLeast"/>
        </w:trPr>
        <w:tc>
          <w:tcPr>
            <w:tcW w:w="1116"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煤矸石</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23766.8</w:t>
            </w:r>
          </w:p>
        </w:tc>
        <w:tc>
          <w:tcPr>
            <w:tcW w:w="1650"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废砖坯</w:t>
            </w:r>
          </w:p>
        </w:tc>
        <w:tc>
          <w:tcPr>
            <w:tcW w:w="949"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3793</w:t>
            </w:r>
          </w:p>
        </w:tc>
      </w:tr>
      <w:tr>
        <w:tblPrEx>
          <w:tblCellMar>
            <w:top w:w="0" w:type="dxa"/>
            <w:left w:w="108" w:type="dxa"/>
            <w:bottom w:w="0" w:type="dxa"/>
            <w:right w:w="108" w:type="dxa"/>
          </w:tblCellMar>
        </w:tblPrEx>
        <w:trPr>
          <w:trHeight w:val="397" w:hRule="atLeast"/>
        </w:trPr>
        <w:tc>
          <w:tcPr>
            <w:tcW w:w="1116"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水</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3962.2</w:t>
            </w:r>
          </w:p>
        </w:tc>
        <w:tc>
          <w:tcPr>
            <w:tcW w:w="1650"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不合格品</w:t>
            </w:r>
          </w:p>
        </w:tc>
        <w:tc>
          <w:tcPr>
            <w:tcW w:w="949"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87.5</w:t>
            </w:r>
          </w:p>
        </w:tc>
      </w:tr>
      <w:tr>
        <w:tblPrEx>
          <w:tblCellMar>
            <w:top w:w="0" w:type="dxa"/>
            <w:left w:w="108" w:type="dxa"/>
            <w:bottom w:w="0" w:type="dxa"/>
            <w:right w:w="108" w:type="dxa"/>
          </w:tblCellMar>
        </w:tblPrEx>
        <w:trPr>
          <w:trHeight w:val="397" w:hRule="atLeast"/>
        </w:trPr>
        <w:tc>
          <w:tcPr>
            <w:tcW w:w="1116"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283"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650"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收尘灰</w:t>
            </w:r>
          </w:p>
        </w:tc>
        <w:tc>
          <w:tcPr>
            <w:tcW w:w="949"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3.11</w:t>
            </w:r>
          </w:p>
        </w:tc>
      </w:tr>
      <w:tr>
        <w:tblPrEx>
          <w:tblCellMar>
            <w:top w:w="0" w:type="dxa"/>
            <w:left w:w="108" w:type="dxa"/>
            <w:bottom w:w="0" w:type="dxa"/>
            <w:right w:w="108" w:type="dxa"/>
          </w:tblCellMar>
        </w:tblPrEx>
        <w:trPr>
          <w:trHeight w:val="397" w:hRule="atLeast"/>
        </w:trPr>
        <w:tc>
          <w:tcPr>
            <w:tcW w:w="1116"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283"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650"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脱硫池石膏</w:t>
            </w:r>
          </w:p>
        </w:tc>
        <w:tc>
          <w:tcPr>
            <w:tcW w:w="949"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36.4</w:t>
            </w:r>
          </w:p>
        </w:tc>
      </w:tr>
      <w:tr>
        <w:tblPrEx>
          <w:tblCellMar>
            <w:top w:w="0" w:type="dxa"/>
            <w:left w:w="108" w:type="dxa"/>
            <w:bottom w:w="0" w:type="dxa"/>
            <w:right w:w="108" w:type="dxa"/>
          </w:tblCellMar>
        </w:tblPrEx>
        <w:trPr>
          <w:trHeight w:val="397" w:hRule="atLeast"/>
        </w:trPr>
        <w:tc>
          <w:tcPr>
            <w:tcW w:w="1116"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合计</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109441.9</w:t>
            </w:r>
          </w:p>
        </w:tc>
        <w:tc>
          <w:tcPr>
            <w:tcW w:w="1650"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合计</w:t>
            </w:r>
          </w:p>
        </w:tc>
        <w:tc>
          <w:tcPr>
            <w:tcW w:w="949" w:type="pct"/>
            <w:tcBorders>
              <w:top w:val="single" w:color="000000" w:sz="4" w:space="0"/>
              <w:left w:val="single" w:color="000000" w:sz="4" w:space="0"/>
              <w:bottom w:val="single" w:color="000000" w:sz="4" w:space="0"/>
              <w:right w:val="single" w:color="000000" w:sz="4" w:space="0"/>
            </w:tcBorders>
            <w:noWrap w:val="0"/>
            <w:vAlign w:val="center"/>
          </w:tcPr>
          <w:p>
            <w:pPr>
              <w:pStyle w:val="41"/>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109441.9</w:t>
            </w:r>
          </w:p>
        </w:tc>
      </w:tr>
    </w:tbl>
    <w:p>
      <w:pPr>
        <w:spacing w:line="240" w:lineRule="auto"/>
        <w:jc w:val="center"/>
        <w:rPr>
          <w:rFonts w:hint="eastAsia"/>
          <w:b/>
          <w:bCs/>
          <w:sz w:val="21"/>
          <w:szCs w:val="21"/>
        </w:rPr>
      </w:pPr>
    </w:p>
    <w:p>
      <w:pPr>
        <w:pStyle w:val="3"/>
      </w:pPr>
      <w:bookmarkStart w:id="40" w:name="_Toc5450"/>
      <w:r>
        <w:t>3.</w:t>
      </w:r>
      <w:r>
        <w:rPr>
          <w:rFonts w:hint="eastAsia"/>
        </w:rPr>
        <w:t>6</w:t>
      </w:r>
      <w:r>
        <w:t xml:space="preserve"> 生产工艺</w:t>
      </w:r>
      <w:bookmarkEnd w:id="39"/>
      <w:bookmarkEnd w:id="40"/>
    </w:p>
    <w:p>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根据重庆德和环境工程有限公司编制的《巫溪县空心砖生产线项目环境影响报告表》，其中明确对矿山开采环境影响进行了相应的分析，因此，本次项目仅对矿山开采过程中采取的环保措施以及存在的问题进行评价。</w:t>
      </w:r>
    </w:p>
    <w:p>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原项目所用的页岩原材料仍通过矿山开采获得，经现场调查，矿区已完成基建工作，矿区目前形成了采矿区、供配电系统、供水系统、表土临时堆场和运矿道路，建设单位对已有设备进行了核查，在保证不属淘汰落后、不存在安全隐患的前提下，在现有生产设备的基础上，继续进行本项目的建设。</w:t>
      </w:r>
    </w:p>
    <w:p>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本次主要分析页岩砖生产工艺流程，不再对页岩矿山开采进行分析。</w:t>
      </w:r>
    </w:p>
    <w:p>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技改后项目生产工艺流程及产污环节见图3.2。</w:t>
      </w:r>
    </w:p>
    <w:p>
      <w:pPr>
        <w:ind w:firstLine="480" w:firstLineChars="200"/>
        <w:rPr>
          <w:rFonts w:hint="eastAsia" w:ascii="Times New Roman" w:hAnsi="Times New Roman" w:eastAsia="宋体"/>
          <w:lang w:val="en-US" w:eastAsia="zh-CN"/>
        </w:rPr>
      </w:pPr>
      <w:r>
        <w:drawing>
          <wp:inline distT="0" distB="0" distL="114300" distR="114300">
            <wp:extent cx="5210175" cy="2305050"/>
            <wp:effectExtent l="0" t="0" r="9525"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9"/>
                    <a:stretch>
                      <a:fillRect/>
                    </a:stretch>
                  </pic:blipFill>
                  <pic:spPr>
                    <a:xfrm>
                      <a:off x="0" y="0"/>
                      <a:ext cx="5210175" cy="2305050"/>
                    </a:xfrm>
                    <a:prstGeom prst="rect">
                      <a:avLst/>
                    </a:prstGeom>
                    <a:noFill/>
                    <a:ln>
                      <a:noFill/>
                    </a:ln>
                  </pic:spPr>
                </pic:pic>
              </a:graphicData>
            </a:graphic>
          </wp:inline>
        </w:drawing>
      </w:r>
    </w:p>
    <w:p>
      <w:pPr>
        <w:pStyle w:val="83"/>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图3.2 生产工艺流程及产排污节点图</w:t>
      </w:r>
    </w:p>
    <w:p>
      <w:pPr>
        <w:pStyle w:val="80"/>
        <w:ind w:firstLine="480"/>
        <w:rPr>
          <w:color w:val="000000" w:themeColor="text1"/>
          <w14:textFill>
            <w14:solidFill>
              <w14:schemeClr w14:val="tx1"/>
            </w14:solidFill>
          </w14:textFill>
        </w:rPr>
      </w:pPr>
      <w:r>
        <w:rPr>
          <w:color w:val="000000" w:themeColor="text1"/>
          <w14:textFill>
            <w14:solidFill>
              <w14:schemeClr w14:val="tx1"/>
            </w14:solidFill>
          </w14:textFill>
        </w:rPr>
        <w:t>工艺流程说明：</w:t>
      </w:r>
    </w:p>
    <w:p>
      <w:pPr>
        <w:pStyle w:val="80"/>
        <w:bidi w:val="0"/>
        <w:rPr>
          <w:rFonts w:hint="eastAsia"/>
          <w:color w:val="auto"/>
        </w:rPr>
      </w:pPr>
      <w:r>
        <w:rPr>
          <w:rFonts w:hint="eastAsia"/>
          <w:color w:val="auto"/>
        </w:rPr>
        <w:t>页岩砖目前是利用页岩和煤矸石为原料生产页岩砖，本次拟用城镇生活污泥替代一部分页岩作为原料，本项目实施后除了生产线在搅拌环节增加污泥外，其他生产工艺及生产规模均不变，工艺流程简述如下：</w:t>
      </w:r>
    </w:p>
    <w:p>
      <w:pPr>
        <w:pStyle w:val="80"/>
        <w:bidi w:val="0"/>
        <w:rPr>
          <w:rFonts w:hint="eastAsia"/>
          <w:color w:val="auto"/>
        </w:rPr>
      </w:pPr>
      <w:r>
        <w:rPr>
          <w:rFonts w:hint="eastAsia"/>
          <w:color w:val="auto"/>
        </w:rPr>
        <w:t>1）原料运输及暂存</w:t>
      </w:r>
    </w:p>
    <w:p>
      <w:pPr>
        <w:pStyle w:val="80"/>
        <w:bidi w:val="0"/>
        <w:rPr>
          <w:rFonts w:hint="eastAsia"/>
          <w:color w:val="auto"/>
        </w:rPr>
      </w:pPr>
      <w:r>
        <w:rPr>
          <w:rFonts w:hint="eastAsia"/>
          <w:color w:val="auto"/>
        </w:rPr>
        <w:t>污泥：污泥运输由具有道路运输经营许可证的单位将无害化处理后的生活污泥运输至华安墙材内，进场的城镇污水处理厂污泥除含水率外，其余指标应满足《城镇污水处理厂污泥处置 制砖用泥质》(GB25031-2010)的标准要求。</w:t>
      </w:r>
    </w:p>
    <w:p>
      <w:pPr>
        <w:pStyle w:val="80"/>
        <w:bidi w:val="0"/>
        <w:rPr>
          <w:rFonts w:hint="eastAsia"/>
          <w:color w:val="auto"/>
        </w:rPr>
      </w:pPr>
      <w:r>
        <w:rPr>
          <w:rFonts w:hint="eastAsia"/>
          <w:color w:val="auto"/>
        </w:rPr>
        <w:t>之后生活污泥运输车进入卸料平台，将污泥卸至污泥暂存池，污泥运输车与卸料平台的高差约50cm。生活污泥暂存于生活污泥暂存池内，项目新建1座生活污泥暂存池，容积约为500m</w:t>
      </w:r>
      <w:r>
        <w:rPr>
          <w:rFonts w:hint="eastAsia"/>
          <w:color w:val="auto"/>
          <w:vertAlign w:val="superscript"/>
        </w:rPr>
        <w:t>3</w:t>
      </w:r>
      <w:r>
        <w:rPr>
          <w:rFonts w:hint="eastAsia"/>
          <w:color w:val="auto"/>
        </w:rPr>
        <w:t>，暂存池均位于原料堆场内，顶部有彩钢瓦棚。污泥暂存池按照《一般工业固体废物贮存和填埋污染控制标准》（GB18599-2020）中II类场相关要求进行管理。</w:t>
      </w:r>
    </w:p>
    <w:p>
      <w:pPr>
        <w:pStyle w:val="80"/>
        <w:bidi w:val="0"/>
        <w:rPr>
          <w:rFonts w:hint="eastAsia"/>
          <w:color w:val="auto"/>
        </w:rPr>
      </w:pPr>
      <w:r>
        <w:rPr>
          <w:rFonts w:hint="eastAsia"/>
          <w:color w:val="auto"/>
        </w:rPr>
        <w:t>污泥暂存间地面和池壁采取防渗措施，固废在堆放期间有少量渗滤液产生，渗滤液产生量较少，不进行定量分析，用作后端工序的搅拌、混合。</w:t>
      </w:r>
    </w:p>
    <w:p>
      <w:pPr>
        <w:pStyle w:val="80"/>
        <w:bidi w:val="0"/>
        <w:rPr>
          <w:rFonts w:hint="eastAsia"/>
          <w:color w:val="auto"/>
        </w:rPr>
      </w:pPr>
      <w:r>
        <w:rPr>
          <w:rFonts w:hint="eastAsia"/>
          <w:color w:val="auto"/>
        </w:rPr>
        <w:t>页岩：页岩经原项目矿山开采后，由装载车运输至现有原料堆场进行堆放；原项目矿山开采量不够的，由建设单位向其他单位购买，之后经具有道路运输经营许可证的单位将购买的页岩运输至场内，在原料堆场进行堆放。在卸料和堆存期间产生粉尘。</w:t>
      </w:r>
    </w:p>
    <w:p>
      <w:pPr>
        <w:pStyle w:val="80"/>
        <w:bidi w:val="0"/>
        <w:rPr>
          <w:rFonts w:hint="eastAsia"/>
          <w:color w:val="auto"/>
        </w:rPr>
      </w:pPr>
      <w:r>
        <w:rPr>
          <w:rFonts w:hint="eastAsia"/>
          <w:color w:val="auto"/>
        </w:rPr>
        <w:t>煤矸石：由建设单位向其他单位购买，之后经具有道路运输经营许可证的单位将购买的煤矸石运输至场内，在原料堆场进行堆放。在卸料和堆存期间产生粉尘。</w:t>
      </w:r>
    </w:p>
    <w:p>
      <w:pPr>
        <w:pStyle w:val="80"/>
        <w:bidi w:val="0"/>
        <w:rPr>
          <w:rFonts w:hint="eastAsia"/>
          <w:color w:val="auto"/>
        </w:rPr>
      </w:pPr>
      <w:r>
        <w:rPr>
          <w:rFonts w:hint="eastAsia"/>
          <w:color w:val="auto"/>
        </w:rPr>
        <w:t>2）料斗混合</w:t>
      </w:r>
    </w:p>
    <w:p>
      <w:pPr>
        <w:pStyle w:val="80"/>
        <w:bidi w:val="0"/>
        <w:rPr>
          <w:rFonts w:hint="eastAsia"/>
          <w:color w:val="auto"/>
        </w:rPr>
      </w:pPr>
      <w:r>
        <w:rPr>
          <w:rFonts w:hint="eastAsia"/>
          <w:color w:val="auto"/>
        </w:rPr>
        <w:t>页岩、煤矸石从料斗投料并混合，处置固废也在此处投料，用于后续破碎加工，页岩、煤矸石至料斗采用铲车及推车进行运输。此工序会产生粉尘和噪声。</w:t>
      </w:r>
    </w:p>
    <w:p>
      <w:pPr>
        <w:pStyle w:val="80"/>
        <w:bidi w:val="0"/>
        <w:rPr>
          <w:rFonts w:hint="eastAsia"/>
          <w:color w:val="auto"/>
        </w:rPr>
      </w:pPr>
      <w:r>
        <w:rPr>
          <w:rFonts w:hint="eastAsia"/>
          <w:color w:val="auto"/>
        </w:rPr>
        <w:t>3）破碎、筛分工段</w:t>
      </w:r>
    </w:p>
    <w:p>
      <w:pPr>
        <w:pStyle w:val="80"/>
        <w:bidi w:val="0"/>
        <w:rPr>
          <w:rFonts w:hint="eastAsia"/>
          <w:color w:val="auto"/>
        </w:rPr>
      </w:pPr>
      <w:r>
        <w:rPr>
          <w:rFonts w:hint="eastAsia"/>
          <w:color w:val="auto"/>
        </w:rPr>
        <w:t>原料破碎工段包括粗破碎、细破碎、筛分工序，各工序间采用皮带传输。</w:t>
      </w:r>
    </w:p>
    <w:p>
      <w:pPr>
        <w:pStyle w:val="80"/>
        <w:bidi w:val="0"/>
        <w:rPr>
          <w:rFonts w:hint="eastAsia"/>
          <w:color w:val="auto"/>
        </w:rPr>
      </w:pPr>
      <w:r>
        <w:rPr>
          <w:rFonts w:hint="eastAsia"/>
          <w:color w:val="auto"/>
        </w:rPr>
        <w:t>页岩矿、煤矸石由铲车按照一定比例由给料机通过皮带输送至鄂破机进行粗破碎，出料粒径≤100mm，粗破后的物料经皮带输送至原料仓配料，再经皮带传输到粉碎机进行细破碎筛分，粒径≤3mm的物料直接进入搅拌，筛上料进入重新破碎。此工序会产生粉尘和噪声。</w:t>
      </w:r>
    </w:p>
    <w:p>
      <w:pPr>
        <w:pStyle w:val="80"/>
        <w:bidi w:val="0"/>
        <w:rPr>
          <w:rFonts w:hint="eastAsia"/>
          <w:color w:val="auto"/>
        </w:rPr>
      </w:pPr>
      <w:r>
        <w:rPr>
          <w:rFonts w:hint="eastAsia"/>
          <w:color w:val="auto"/>
        </w:rPr>
        <w:t>（4）成型工段（生活污泥在搅拌工序加入）</w:t>
      </w:r>
    </w:p>
    <w:p>
      <w:pPr>
        <w:pStyle w:val="80"/>
        <w:bidi w:val="0"/>
        <w:rPr>
          <w:rFonts w:hint="eastAsia"/>
          <w:color w:val="auto"/>
        </w:rPr>
      </w:pPr>
      <w:r>
        <w:rPr>
          <w:rFonts w:hint="eastAsia"/>
          <w:color w:val="auto"/>
        </w:rPr>
        <w:t>筛分后的筛下料经过皮带输送机（切坯时的废坯，经回坯皮带机输送到此皮带输送机上）送入搅拌机。加生活污泥、加水搅拌、混合，经陈化进一步提高塑性后，经皮带送入真空挤砖机挤出成型，挤出的泥条采用砖机切割成所要求尺寸的砖坯。生活污泥采用密闭管道输送，计量后送入搅拌机。该工段会产生噪声废砖坯。</w:t>
      </w:r>
    </w:p>
    <w:p>
      <w:pPr>
        <w:pStyle w:val="80"/>
        <w:bidi w:val="0"/>
        <w:rPr>
          <w:rFonts w:hint="eastAsia"/>
          <w:color w:val="auto"/>
        </w:rPr>
      </w:pPr>
      <w:r>
        <w:rPr>
          <w:rFonts w:hint="eastAsia"/>
          <w:color w:val="auto"/>
        </w:rPr>
        <w:t>（5）烘干、焙烧工段</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切割好的砖坯采用码坯机将砖坯上窑车，送入隧道窑。先进入烘干窑，利用焙烧窑的余热干燥（干燥温度90~100℃）；再进入焙烧窑，窑内温度为850℃~1000℃，烘干、焙烧工段采用推舟式进出方式，50~60min进出一辆窑车。经焙烧后砖进入冷却段，冷却时间为30min，成品砖由窑车运送到卸砖处，成品砖由人工检选、卸下并运至成品堆场。本工段采用机械传动、人工码坯。</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项目采用一次码烧工艺技术，焙烧采用大断面、平吊顶结构隧道窑，实现全内燃，该窑型产量大，断面温差小，保温性较好，窑炉内机采用变频控制，焙烧热工参数稳定，保证烧成质量，提高产品成品率。</w:t>
      </w:r>
    </w:p>
    <w:p>
      <w:pPr>
        <w:pStyle w:val="80"/>
        <w:bidi w:val="0"/>
        <w:rPr>
          <w:rFonts w:hint="eastAsia"/>
          <w:color w:val="auto"/>
        </w:rPr>
      </w:pPr>
      <w:r>
        <w:rPr>
          <w:rFonts w:hint="eastAsia"/>
          <w:color w:val="auto"/>
        </w:rPr>
        <w:t>焙烧方式为内燃焙烧，窑体采用耐火砖、普通建筑红砖砌筑，内外窑体之间有隔热保温层，窑体为半径质平顶结构，窑体结构设计在确保使用效果的同时，力求结构简单，具有造价低、热工性能优良的特点。</w:t>
      </w:r>
    </w:p>
    <w:p>
      <w:pPr>
        <w:pStyle w:val="80"/>
        <w:bidi w:val="0"/>
        <w:rPr>
          <w:color w:val="000000" w:themeColor="text1"/>
          <w14:textFill>
            <w14:solidFill>
              <w14:schemeClr w14:val="tx1"/>
            </w14:solidFill>
          </w14:textFill>
        </w:rPr>
      </w:pPr>
      <w:r>
        <w:rPr>
          <w:rFonts w:hint="eastAsia"/>
          <w:color w:val="auto"/>
        </w:rPr>
        <w:t>烘干、焙烧工段会产生焙烧废气，焙烧废气在焙烧窑内产生，经收集进入烘干窑进行余热利用后，由引风机引入脱硫塔进行废气处理后排放</w:t>
      </w:r>
      <w:r>
        <w:rPr>
          <w:rFonts w:hint="eastAsia"/>
          <w:color w:val="auto"/>
          <w:lang w:val="en-US" w:eastAsia="zh-CN"/>
        </w:rPr>
        <w:t>。</w:t>
      </w:r>
    </w:p>
    <w:p>
      <w:pPr>
        <w:pStyle w:val="3"/>
      </w:pPr>
      <w:r>
        <w:rPr>
          <w:rFonts w:hint="eastAsia"/>
          <w:lang w:val="en-US" w:eastAsia="zh-CN"/>
        </w:rPr>
        <w:t xml:space="preserve"> </w:t>
      </w:r>
      <w:bookmarkStart w:id="41" w:name="_Toc18179"/>
      <w:r>
        <w:rPr>
          <w:rFonts w:hint="eastAsia"/>
        </w:rPr>
        <w:t>3.7 项目变动情况</w:t>
      </w:r>
      <w:bookmarkEnd w:id="41"/>
    </w:p>
    <w:p>
      <w:pPr>
        <w:pStyle w:val="12"/>
        <w:ind w:firstLine="472" w:firstLineChars="200"/>
        <w:rPr>
          <w:rFonts w:hint="eastAsia" w:ascii="Times New Roman" w:hAnsi="Times New Roman" w:eastAsia="宋体"/>
          <w:color w:val="000000" w:themeColor="text1"/>
          <w:lang w:val="en-US" w:eastAsia="zh-CN"/>
          <w14:textFill>
            <w14:solidFill>
              <w14:schemeClr w14:val="tx1"/>
            </w14:solidFill>
          </w14:textFill>
        </w:rPr>
      </w:pPr>
      <w:bookmarkStart w:id="42" w:name="_Toc497833577"/>
      <w:r>
        <w:rPr>
          <w:rFonts w:hint="eastAsia" w:ascii="Times New Roman" w:hAnsi="Times New Roman" w:eastAsia="宋体"/>
          <w:color w:val="000000" w:themeColor="text1"/>
          <w:lang w:val="en-US" w:eastAsia="zh-CN"/>
          <w14:textFill>
            <w14:solidFill>
              <w14:schemeClr w14:val="tx1"/>
            </w14:solidFill>
          </w14:textFill>
        </w:rPr>
        <w:t>巫溪县华安墙材有限公司页岩砖加工技改项目项目建设内容及规模与环评和批复相比没有变化，按照《渝环发〔2014〕65号 重庆市建设项目重大变动界定程序规定》、《(环办环评函〔2020〕688号) 关于印发污染影响类建设项目重大变动清单</w:t>
      </w:r>
      <w:r>
        <w:rPr>
          <w:rFonts w:hint="eastAsia"/>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试行</w:t>
      </w:r>
      <w:r>
        <w:rPr>
          <w:rFonts w:hint="eastAsia"/>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的通知》中相关重大变动标准，无重大变动情况，纳入竣工环境保护验收管理。</w:t>
      </w:r>
    </w:p>
    <w:p>
      <w:pPr>
        <w:pStyle w:val="12"/>
        <w:ind w:firstLine="472" w:firstLineChars="200"/>
        <w:rPr>
          <w:rFonts w:hint="eastAsia" w:ascii="Times New Roman" w:hAnsi="Times New Roman" w:eastAsia="宋体"/>
          <w:lang w:val="en-US" w:eastAsia="zh-CN"/>
        </w:rPr>
        <w:sectPr>
          <w:pgSz w:w="11905" w:h="16838"/>
          <w:pgMar w:top="1083" w:right="1440" w:bottom="1083" w:left="1440" w:header="737" w:footer="850" w:gutter="0"/>
          <w:pgBorders>
            <w:top w:val="none" w:sz="0" w:space="0"/>
            <w:left w:val="none" w:sz="0" w:space="0"/>
            <w:bottom w:val="none" w:sz="0" w:space="0"/>
            <w:right w:val="none" w:sz="0" w:space="0"/>
          </w:pgBorders>
          <w:cols w:space="0" w:num="1"/>
          <w:docGrid w:type="lines" w:linePitch="322" w:charSpace="0"/>
        </w:sectPr>
      </w:pPr>
    </w:p>
    <w:bookmarkEnd w:id="22"/>
    <w:bookmarkEnd w:id="42"/>
    <w:p>
      <w:pPr>
        <w:pStyle w:val="2"/>
      </w:pPr>
      <w:bookmarkStart w:id="43" w:name="_Toc28984"/>
      <w:r>
        <w:t>4  环境保护设施</w:t>
      </w:r>
      <w:bookmarkEnd w:id="43"/>
    </w:p>
    <w:p>
      <w:pPr>
        <w:pStyle w:val="3"/>
      </w:pPr>
      <w:bookmarkStart w:id="44" w:name="_Toc497833579"/>
      <w:bookmarkStart w:id="45" w:name="_Toc12076"/>
      <w:r>
        <w:t>4.1 污染物治理/处置设施</w:t>
      </w:r>
      <w:bookmarkEnd w:id="44"/>
      <w:bookmarkEnd w:id="45"/>
    </w:p>
    <w:p>
      <w:pPr>
        <w:pStyle w:val="4"/>
      </w:pPr>
      <w:bookmarkStart w:id="46" w:name="_Toc497833580"/>
      <w:r>
        <w:t>4.1.1 废水</w:t>
      </w:r>
      <w:bookmarkEnd w:id="46"/>
    </w:p>
    <w:p>
      <w:pPr>
        <w:pStyle w:val="80"/>
        <w:bidi w:val="0"/>
        <w:rPr>
          <w:rFonts w:hint="eastAsia"/>
          <w:color w:val="000000" w:themeColor="text1"/>
          <w:highlight w:val="none"/>
          <w:lang w:val="en-US" w:eastAsia="zh-CN"/>
          <w14:textFill>
            <w14:solidFill>
              <w14:schemeClr w14:val="tx1"/>
            </w14:solidFill>
          </w14:textFill>
        </w:rPr>
      </w:pPr>
      <w:bookmarkStart w:id="47" w:name="_Toc497833583"/>
      <w:r>
        <w:rPr>
          <w:rFonts w:hint="eastAsia"/>
          <w:color w:val="000000" w:themeColor="text1"/>
          <w:highlight w:val="none"/>
          <w:lang w:val="en-US" w:eastAsia="zh-CN"/>
          <w14:textFill>
            <w14:solidFill>
              <w14:schemeClr w14:val="tx1"/>
            </w14:solidFill>
          </w14:textFill>
        </w:rPr>
        <w:t>生活污水：食堂废水经食堂隔油池沉淀后，与生活污水一起通过化粪池收集后用作农肥，不排放。</w:t>
      </w:r>
    </w:p>
    <w:p>
      <w:pPr>
        <w:pStyle w:val="80"/>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生产废水：车辆冲洗用水依托现有沉淀池沉淀处理后循环使用，不外排。脱硫废水循环使用，不外排，定期更换回用于生产，补充新鲜水。</w:t>
      </w:r>
    </w:p>
    <w:p>
      <w:pPr>
        <w:pStyle w:val="80"/>
        <w:bidi w:val="0"/>
        <w:rPr>
          <w:b/>
          <w:bCs/>
          <w:sz w:val="21"/>
          <w:szCs w:val="21"/>
        </w:rPr>
      </w:pPr>
      <w:r>
        <w:rPr>
          <w:rFonts w:hint="eastAsia"/>
          <w:color w:val="000000" w:themeColor="text1"/>
          <w:highlight w:val="none"/>
          <w:lang w:val="en-US" w:eastAsia="zh-CN"/>
          <w14:textFill>
            <w14:solidFill>
              <w14:schemeClr w14:val="tx1"/>
            </w14:solidFill>
          </w14:textFill>
        </w:rPr>
        <w:t>生活污泥暂存过程中会产生少量渗滤液，可在堆放区内收集池收集，循环用于搅拌工序用水，不外排</w:t>
      </w:r>
      <w:r>
        <w:rPr>
          <w:rFonts w:hint="eastAsia" w:hAnsi="宋体"/>
          <w:color w:val="000000" w:themeColor="text1"/>
          <w:highlight w:val="none"/>
          <w:lang w:val="en-US" w:eastAsia="zh-CN"/>
          <w14:textFill>
            <w14:solidFill>
              <w14:schemeClr w14:val="tx1"/>
            </w14:solidFill>
          </w14:textFill>
        </w:rPr>
        <w:t>。</w:t>
      </w:r>
      <w:r>
        <w:rPr>
          <w:rFonts w:hint="eastAsia"/>
          <w:b/>
          <w:bCs/>
          <w:sz w:val="21"/>
          <w:szCs w:val="21"/>
        </w:rPr>
        <w:t xml:space="preserve">               </w:t>
      </w:r>
    </w:p>
    <w:p>
      <w:pPr>
        <w:pStyle w:val="4"/>
      </w:pPr>
      <w:r>
        <w:t>4.1.2 废气</w:t>
      </w:r>
      <w:bookmarkEnd w:id="47"/>
    </w:p>
    <w:p>
      <w:pPr>
        <w:ind w:firstLine="480" w:firstLineChars="200"/>
        <w:rPr>
          <w:rFonts w:hint="eastAsia"/>
          <w:lang w:val="en-US" w:eastAsia="zh-CN"/>
        </w:rPr>
      </w:pPr>
      <w:bookmarkStart w:id="48" w:name="_Toc497833588"/>
      <w:r>
        <w:rPr>
          <w:rFonts w:hint="eastAsia"/>
          <w:lang w:val="en-US" w:eastAsia="zh-CN"/>
        </w:rPr>
        <w:t>隧道窑干燥、烧制废气采用风机抽风收集后经1座脱硫除尘塔处理后通过15m高排气筒（DA001）排放；在给料阶段增加喷雾装置，破碎、筛分工序采用全密闭厂房，粉尘再经布袋除尘器（风量约8000m</w:t>
      </w:r>
      <w:r>
        <w:rPr>
          <w:rFonts w:hint="eastAsia"/>
          <w:vertAlign w:val="superscript"/>
          <w:lang w:val="en-US" w:eastAsia="zh-CN"/>
        </w:rPr>
        <w:t>3</w:t>
      </w:r>
      <w:r>
        <w:rPr>
          <w:rFonts w:hint="eastAsia"/>
          <w:lang w:val="en-US" w:eastAsia="zh-CN"/>
        </w:rPr>
        <w:t>/h）收集，收集后经15m高排气筒（DA002）排放。布袋除尘器收尘，全部回用于生产。油烟经集气罩收集并送至油烟净化器净化后通过排烟风管送至屋顶排放。</w:t>
      </w:r>
    </w:p>
    <w:p>
      <w:pPr>
        <w:ind w:firstLine="480" w:firstLineChars="200"/>
        <w:rPr>
          <w:rFonts w:hint="eastAsia" w:ascii="Times New Roman" w:hAnsi="Times New Roman" w:cs="Times New Roman"/>
          <w:b w:val="0"/>
          <w:bCs/>
          <w:color w:val="auto"/>
          <w:lang w:val="en-US" w:eastAsia="zh-CN"/>
        </w:rPr>
      </w:pPr>
      <w:r>
        <w:rPr>
          <w:rFonts w:hint="eastAsia"/>
          <w:lang w:val="en-US" w:eastAsia="zh-CN"/>
        </w:rPr>
        <w:t>污泥暂存过程中在其表面喷洒除臭剂，降低臭气产生浓度；现场喷洒天然植物提取液净化除臭法，尽可能抑制恶臭污染物的产生；</w:t>
      </w:r>
      <w:r>
        <w:rPr>
          <w:rFonts w:hint="default" w:ascii="Times New Roman" w:hAnsi="Times New Roman" w:cs="Times New Roman"/>
          <w:b w:val="0"/>
          <w:bCs/>
          <w:color w:val="auto"/>
        </w:rPr>
        <w:t>外围建设不低于堆放高度的密闭围墙、防风抑尘网等措施</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rPr>
        <w:t>场内配备喷雾、覆盖和围挡等防风抑尘措施</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rPr>
        <w:t>种植树木绿化等措施抑尘</w:t>
      </w:r>
      <w:r>
        <w:rPr>
          <w:rFonts w:hint="eastAsia" w:ascii="Times New Roman" w:hAnsi="Times New Roman" w:cs="Times New Roman"/>
          <w:b w:val="0"/>
          <w:bCs/>
          <w:color w:val="auto"/>
          <w:lang w:eastAsia="zh-CN"/>
        </w:rPr>
        <w:t>。</w:t>
      </w:r>
    </w:p>
    <w:p>
      <w:pPr>
        <w:pStyle w:val="9"/>
        <w:jc w:val="center"/>
      </w:pPr>
      <w:r>
        <w:drawing>
          <wp:inline distT="0" distB="0" distL="114300" distR="114300">
            <wp:extent cx="5010150" cy="2095500"/>
            <wp:effectExtent l="0" t="0" r="0"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20"/>
                    <a:stretch>
                      <a:fillRect/>
                    </a:stretch>
                  </pic:blipFill>
                  <pic:spPr>
                    <a:xfrm>
                      <a:off x="0" y="0"/>
                      <a:ext cx="5010150" cy="2095500"/>
                    </a:xfrm>
                    <a:prstGeom prst="rect">
                      <a:avLst/>
                    </a:prstGeom>
                    <a:noFill/>
                    <a:ln>
                      <a:noFill/>
                    </a:ln>
                  </pic:spPr>
                </pic:pic>
              </a:graphicData>
            </a:graphic>
          </wp:inline>
        </w:drawing>
      </w:r>
    </w:p>
    <w:p>
      <w:pPr>
        <w:pStyle w:val="10"/>
        <w:numPr>
          <w:ilvl w:val="0"/>
          <w:numId w:val="0"/>
        </w:numPr>
        <w:jc w:val="center"/>
        <w:rPr>
          <w:rFonts w:hint="default"/>
          <w:sz w:val="21"/>
          <w:szCs w:val="21"/>
          <w:lang w:val="en-US" w:eastAsia="zh-CN"/>
        </w:rPr>
      </w:pPr>
      <w:r>
        <w:rPr>
          <w:rFonts w:hint="eastAsia" w:ascii="Times New Roman" w:hAnsi="Times New Roman" w:cs="Times New Roman"/>
          <w:b/>
          <w:bCs/>
          <w:color w:val="auto"/>
          <w:sz w:val="21"/>
          <w:szCs w:val="21"/>
          <w:lang w:val="en-US" w:eastAsia="zh-CN"/>
        </w:rPr>
        <w:t>4.1</w:t>
      </w:r>
      <w:r>
        <w:rPr>
          <w:rFonts w:ascii="Times New Roman" w:hAnsi="Times New Roman" w:cs="Times New Roman"/>
          <w:b/>
          <w:bCs/>
          <w:color w:val="auto"/>
          <w:sz w:val="21"/>
          <w:szCs w:val="21"/>
        </w:rPr>
        <w:t>废气治理工艺流程图</w:t>
      </w:r>
    </w:p>
    <w:p>
      <w:pPr>
        <w:pStyle w:val="4"/>
      </w:pPr>
      <w:r>
        <w:t>4.1.3噪声</w:t>
      </w:r>
      <w:bookmarkEnd w:id="48"/>
    </w:p>
    <w:p>
      <w:pPr>
        <w:ind w:firstLine="480" w:firstLineChars="200"/>
        <w:rPr>
          <w:rFonts w:hint="eastAsia" w:eastAsia="宋体"/>
          <w:lang w:val="en-US" w:eastAsia="zh-CN"/>
        </w:rPr>
      </w:pPr>
      <w:bookmarkStart w:id="49" w:name="_Toc497833589"/>
      <w:r>
        <w:rPr>
          <w:rFonts w:hint="eastAsia"/>
        </w:rPr>
        <w:t>采用选用低噪声设备、减振、建筑隔声等措施进行降噪，企业厂界噪声能满足《工业企业厂界环境噪声排放标准》（GB12348-2008）2类标准的要求</w:t>
      </w:r>
      <w:r>
        <w:t>。</w:t>
      </w:r>
      <w:r>
        <w:rPr>
          <w:rFonts w:hint="eastAsia"/>
          <w:lang w:val="en-US" w:eastAsia="zh-CN"/>
        </w:rPr>
        <w:t xml:space="preserve"> </w:t>
      </w:r>
    </w:p>
    <w:p>
      <w:pPr>
        <w:pStyle w:val="4"/>
      </w:pPr>
      <w:r>
        <w:t>4.1.4 固体废物</w:t>
      </w:r>
      <w:bookmarkEnd w:id="49"/>
    </w:p>
    <w:p>
      <w:pPr>
        <w:ind w:firstLine="480" w:firstLineChars="200"/>
        <w:rPr>
          <w:rFonts w:hint="eastAsia" w:hAnsi="宋体"/>
        </w:rPr>
      </w:pPr>
      <w:bookmarkStart w:id="50" w:name="_Toc497833593"/>
      <w:r>
        <w:rPr>
          <w:rFonts w:hint="eastAsia" w:hAnsi="宋体"/>
        </w:rPr>
        <w:t>（1）危险废物</w:t>
      </w:r>
    </w:p>
    <w:p>
      <w:pPr>
        <w:ind w:firstLine="480" w:firstLineChars="200"/>
        <w:rPr>
          <w:rFonts w:hint="eastAsia" w:hAnsi="宋体"/>
        </w:rPr>
      </w:pPr>
      <w:r>
        <w:rPr>
          <w:rFonts w:hint="eastAsia" w:hAnsi="宋体"/>
          <w:lang w:val="en-US" w:eastAsia="zh-CN"/>
        </w:rPr>
        <w:t>项目危险废物主要包括</w:t>
      </w:r>
      <w:r>
        <w:rPr>
          <w:rFonts w:hint="default" w:ascii="Times New Roman" w:hAnsi="Times New Roman" w:cs="Times New Roman"/>
          <w:b w:val="0"/>
          <w:bCs/>
          <w:color w:val="auto"/>
        </w:rPr>
        <w:t>含油废棉纱</w:t>
      </w:r>
      <w:r>
        <w:rPr>
          <w:rFonts w:hint="eastAsia" w:hAnsi="宋体"/>
          <w:lang w:val="en-US" w:eastAsia="zh-CN"/>
        </w:rPr>
        <w:t>、</w:t>
      </w:r>
      <w:r>
        <w:rPr>
          <w:rFonts w:hint="default" w:ascii="Times New Roman" w:hAnsi="Times New Roman" w:cs="Times New Roman"/>
          <w:b w:val="0"/>
          <w:bCs/>
          <w:color w:val="auto"/>
        </w:rPr>
        <w:t>废机油</w:t>
      </w:r>
      <w:r>
        <w:rPr>
          <w:rFonts w:hint="eastAsia" w:hAnsi="宋体"/>
          <w:lang w:val="en-US" w:eastAsia="zh-CN"/>
        </w:rPr>
        <w:t>、</w:t>
      </w:r>
      <w:r>
        <w:rPr>
          <w:rFonts w:hint="default" w:ascii="Times New Roman" w:hAnsi="Times New Roman" w:cs="Times New Roman"/>
          <w:b w:val="0"/>
          <w:bCs/>
          <w:color w:val="auto"/>
        </w:rPr>
        <w:t>废油桶</w:t>
      </w:r>
      <w:r>
        <w:rPr>
          <w:rFonts w:hint="eastAsia" w:hAnsi="宋体"/>
        </w:rPr>
        <w:t>。</w:t>
      </w:r>
    </w:p>
    <w:p>
      <w:pPr>
        <w:ind w:firstLine="480" w:firstLineChars="200"/>
        <w:rPr>
          <w:rFonts w:hint="eastAsia" w:hAnsi="宋体"/>
        </w:rPr>
      </w:pPr>
      <w:r>
        <w:rPr>
          <w:rFonts w:hint="eastAsia" w:hAnsi="宋体"/>
          <w:lang w:eastAsia="zh-CN"/>
        </w:rPr>
        <w:t>统一收集后暂存于危废间，</w:t>
      </w:r>
      <w:r>
        <w:rPr>
          <w:rFonts w:hint="default"/>
        </w:rPr>
        <w:t>定期交给有相应资质的单位处理。</w:t>
      </w:r>
      <w:r>
        <w:rPr>
          <w:rFonts w:hint="eastAsia" w:hAnsi="宋体"/>
        </w:rPr>
        <w:t>危废暂存库房地面进行防渗防腐处理，其防渗层按照《危险废物贮存污染控制标准》（GB18597-20</w:t>
      </w:r>
      <w:r>
        <w:rPr>
          <w:rFonts w:hint="eastAsia" w:hAnsi="宋体"/>
          <w:lang w:val="en-US" w:eastAsia="zh-CN"/>
        </w:rPr>
        <w:t>23</w:t>
      </w:r>
      <w:r>
        <w:rPr>
          <w:rFonts w:hint="eastAsia" w:hAnsi="宋体"/>
        </w:rPr>
        <w:t>）的要求设置，防止各种液体类危险废物漫流或泄漏；各种危险废物分类存放，并有相应的记录。</w:t>
      </w:r>
    </w:p>
    <w:p>
      <w:pPr>
        <w:numPr>
          <w:ilvl w:val="0"/>
          <w:numId w:val="5"/>
        </w:numPr>
        <w:ind w:firstLine="480" w:firstLineChars="200"/>
        <w:rPr>
          <w:rFonts w:hint="eastAsia" w:hAnsi="宋体"/>
          <w:lang w:val="en-US" w:eastAsia="zh-CN"/>
        </w:rPr>
      </w:pPr>
      <w:r>
        <w:rPr>
          <w:rFonts w:hint="eastAsia" w:hAnsi="宋体"/>
          <w:lang w:val="en-US" w:eastAsia="zh-CN"/>
        </w:rPr>
        <w:t>一般固废</w:t>
      </w:r>
    </w:p>
    <w:p>
      <w:pPr>
        <w:ind w:firstLine="480" w:firstLineChars="200"/>
        <w:rPr>
          <w:rFonts w:hint="eastAsia" w:ascii="Times New Roman" w:hAnsi="宋体" w:eastAsia="宋体"/>
          <w:lang w:val="en-US" w:eastAsia="zh-CN"/>
        </w:rPr>
      </w:pPr>
      <w:r>
        <w:rPr>
          <w:rFonts w:hint="eastAsia" w:ascii="Times New Roman" w:hAnsi="宋体" w:eastAsia="宋体"/>
          <w:lang w:val="en-US" w:eastAsia="zh-CN"/>
        </w:rPr>
        <w:t>项目一般固废主要为废砖坯、</w:t>
      </w:r>
      <w:r>
        <w:rPr>
          <w:rFonts w:hint="default" w:ascii="Times New Roman" w:hAnsi="宋体" w:eastAsia="宋体"/>
          <w:lang w:val="en-US" w:eastAsia="zh-CN"/>
        </w:rPr>
        <w:t>不合格产品</w:t>
      </w:r>
      <w:r>
        <w:rPr>
          <w:rFonts w:hint="eastAsia" w:ascii="Times New Roman" w:hAnsi="宋体" w:eastAsia="宋体"/>
          <w:lang w:val="en-US" w:eastAsia="zh-CN"/>
        </w:rPr>
        <w:t>、</w:t>
      </w:r>
      <w:r>
        <w:rPr>
          <w:rFonts w:hint="default" w:ascii="Times New Roman" w:hAnsi="宋体" w:eastAsia="宋体"/>
          <w:lang w:val="en-US" w:eastAsia="zh-CN"/>
        </w:rPr>
        <w:t>破碎筛分沉降尘灰</w:t>
      </w:r>
      <w:r>
        <w:rPr>
          <w:rFonts w:hint="eastAsia" w:ascii="Times New Roman" w:hAnsi="宋体" w:eastAsia="宋体"/>
          <w:lang w:val="en-US" w:eastAsia="zh-CN"/>
        </w:rPr>
        <w:t>和</w:t>
      </w:r>
      <w:r>
        <w:rPr>
          <w:rFonts w:hint="default" w:ascii="Times New Roman" w:hAnsi="宋体" w:eastAsia="宋体"/>
          <w:lang w:val="en-US" w:eastAsia="zh-CN"/>
        </w:rPr>
        <w:t>脱硫石膏</w:t>
      </w:r>
      <w:r>
        <w:rPr>
          <w:rFonts w:hint="eastAsia" w:ascii="Times New Roman" w:hAnsi="宋体" w:eastAsia="宋体"/>
          <w:lang w:val="en-US" w:eastAsia="zh-CN"/>
        </w:rPr>
        <w:t>。</w:t>
      </w:r>
    </w:p>
    <w:p>
      <w:pPr>
        <w:ind w:firstLine="480" w:firstLineChars="200"/>
        <w:rPr>
          <w:rFonts w:hint="default" w:ascii="Times New Roman" w:hAnsi="宋体" w:eastAsia="宋体"/>
          <w:lang w:val="en-US" w:eastAsia="zh-CN"/>
        </w:rPr>
      </w:pPr>
      <w:r>
        <w:rPr>
          <w:rFonts w:hint="eastAsia" w:ascii="Times New Roman" w:hAnsi="宋体" w:eastAsia="宋体"/>
          <w:lang w:val="en-US" w:eastAsia="zh-CN"/>
        </w:rPr>
        <w:t>废砖坯、</w:t>
      </w:r>
      <w:r>
        <w:rPr>
          <w:rFonts w:hint="default" w:ascii="Times New Roman" w:hAnsi="宋体" w:eastAsia="宋体"/>
          <w:lang w:val="en-US" w:eastAsia="zh-CN"/>
        </w:rPr>
        <w:t>不合格产品</w:t>
      </w:r>
      <w:r>
        <w:rPr>
          <w:rFonts w:hint="eastAsia" w:ascii="Times New Roman" w:hAnsi="宋体" w:eastAsia="宋体"/>
          <w:lang w:val="en-US" w:eastAsia="zh-CN"/>
        </w:rPr>
        <w:t>、</w:t>
      </w:r>
      <w:r>
        <w:rPr>
          <w:rFonts w:hint="default" w:ascii="Times New Roman" w:hAnsi="宋体" w:eastAsia="宋体"/>
          <w:lang w:val="en-US" w:eastAsia="zh-CN"/>
        </w:rPr>
        <w:t>破碎筛分沉降尘灰定期清理后回用于生产制砖</w:t>
      </w:r>
      <w:r>
        <w:rPr>
          <w:rFonts w:hint="eastAsia" w:ascii="Times New Roman" w:hAnsi="宋体" w:eastAsia="宋体"/>
          <w:lang w:val="en-US" w:eastAsia="zh-CN"/>
        </w:rPr>
        <w:t>。</w:t>
      </w:r>
      <w:r>
        <w:rPr>
          <w:rFonts w:hint="default" w:ascii="Times New Roman" w:hAnsi="宋体" w:eastAsia="宋体"/>
          <w:lang w:val="en-US" w:eastAsia="zh-CN"/>
        </w:rPr>
        <w:t>脱硫石膏定期清理后外售综合利用。</w:t>
      </w:r>
    </w:p>
    <w:p>
      <w:pPr>
        <w:ind w:firstLine="480" w:firstLineChars="200"/>
        <w:rPr>
          <w:rFonts w:hint="eastAsia" w:hAnsi="宋体"/>
        </w:rPr>
      </w:pPr>
      <w:r>
        <w:rPr>
          <w:rFonts w:hint="eastAsia" w:hAnsi="宋体"/>
        </w:rPr>
        <w:t>（</w:t>
      </w:r>
      <w:r>
        <w:rPr>
          <w:rFonts w:hint="eastAsia" w:hAnsi="宋体"/>
          <w:lang w:val="en-US" w:eastAsia="zh-CN"/>
        </w:rPr>
        <w:t>3</w:t>
      </w:r>
      <w:r>
        <w:rPr>
          <w:rFonts w:hint="eastAsia" w:hAnsi="宋体"/>
        </w:rPr>
        <w:t>）生活垃圾</w:t>
      </w:r>
    </w:p>
    <w:p>
      <w:pPr>
        <w:ind w:firstLine="480" w:firstLineChars="200"/>
      </w:pPr>
      <w:r>
        <w:rPr>
          <w:rFonts w:hAnsi="宋体"/>
        </w:rPr>
        <w:t>生活垃圾在厂内收集后，由当地环卫系统清运。</w:t>
      </w:r>
    </w:p>
    <w:p>
      <w:pPr>
        <w:pStyle w:val="3"/>
      </w:pPr>
      <w:bookmarkStart w:id="51" w:name="_Toc3975"/>
      <w:r>
        <w:t>4.2 其他</w:t>
      </w:r>
      <w:bookmarkEnd w:id="50"/>
      <w:r>
        <w:t>环保措施</w:t>
      </w:r>
      <w:bookmarkEnd w:id="51"/>
    </w:p>
    <w:p>
      <w:pPr>
        <w:pStyle w:val="4"/>
      </w:pPr>
      <w:bookmarkStart w:id="52" w:name="_Toc497833595"/>
      <w:r>
        <w:rPr>
          <w:rFonts w:hint="eastAsia"/>
          <w:lang w:val="en-US" w:eastAsia="zh-CN"/>
        </w:rPr>
        <w:t>4.2</w:t>
      </w:r>
      <w:r>
        <w:t>.1</w:t>
      </w:r>
      <w:r>
        <w:rPr>
          <w:rFonts w:hint="eastAsia"/>
        </w:rPr>
        <w:t>环境</w:t>
      </w:r>
      <w:r>
        <w:t>风险防范措施</w:t>
      </w:r>
    </w:p>
    <w:p>
      <w:pPr>
        <w:pStyle w:val="8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所处置的污泥含水率约60~80%，进场后在存池进行堆存，其堆放区按要求设置防雨、防腐及防渗漏等处理，按照《一般工业固体废物贮存和填埋污染物控制标准》（GB18599-2020）中II类场技术要求进行设计，能够有效防止堆存过程产生的渗滤液泄本项的危废暂存间和油类库房等区域已采取防腐、防渗措施，区域周边设置截流沟和收集池，已经根据相关规范严格落实了各项防渗措施，已达到重点防渗区：等效黏土防渗层Mb≥6m，K≤1×10</w:t>
      </w:r>
      <w:r>
        <w:rPr>
          <w:rFonts w:hint="eastAsia"/>
          <w:color w:val="000000" w:themeColor="text1"/>
          <w:vertAlign w:val="superscript"/>
          <w:lang w:val="en-US" w:eastAsia="zh-CN"/>
          <w14:textFill>
            <w14:solidFill>
              <w14:schemeClr w14:val="tx1"/>
            </w14:solidFill>
          </w14:textFill>
        </w:rPr>
        <w:t>-7</w:t>
      </w:r>
      <w:r>
        <w:rPr>
          <w:rFonts w:hint="eastAsia"/>
          <w:color w:val="000000" w:themeColor="text1"/>
          <w:lang w:val="en-US" w:eastAsia="zh-CN"/>
          <w14:textFill>
            <w14:solidFill>
              <w14:schemeClr w14:val="tx1"/>
            </w14:solidFill>
          </w14:textFill>
        </w:rPr>
        <w:t>cm/s防渗技术要求。</w:t>
      </w:r>
    </w:p>
    <w:p>
      <w:pPr>
        <w:pStyle w:val="80"/>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润滑油存放于托盘内，托盘有效容积大于存储油桶容积，正常情况下不会出现润滑油泄漏至外地面，在完善防渗措施后项目物料泄漏不会土壤和地下水环造成影响。</w:t>
      </w:r>
    </w:p>
    <w:p>
      <w:pPr>
        <w:pStyle w:val="4"/>
      </w:pPr>
      <w:r>
        <w:rPr>
          <w:rFonts w:hint="eastAsia"/>
        </w:rPr>
        <w:t>4.2.2环境保护档案管理情况</w:t>
      </w:r>
    </w:p>
    <w:p>
      <w:pPr>
        <w:ind w:firstLine="480" w:firstLineChars="200"/>
      </w:pPr>
      <w:r>
        <w:rPr>
          <w:rFonts w:hint="eastAsia"/>
          <w:lang w:eastAsia="zh-CN"/>
        </w:rPr>
        <w:t>巫溪县华安墙材有限公司</w:t>
      </w:r>
      <w:r>
        <w:rPr>
          <w:rFonts w:hint="eastAsia"/>
        </w:rPr>
        <w:t>环保档案有专人负责，环保审批文件及环境保护档案资料均已归类存档，资料齐全，项目</w:t>
      </w:r>
      <w:r>
        <w:rPr>
          <w:rFonts w:hint="eastAsia"/>
          <w:lang w:val="en-US" w:eastAsia="zh-CN"/>
        </w:rPr>
        <w:t>有废气治理设施及危废转运</w:t>
      </w:r>
      <w:r>
        <w:rPr>
          <w:rFonts w:hint="eastAsia"/>
        </w:rPr>
        <w:t>情况有相应的记录，满足相关管理要求。</w:t>
      </w:r>
    </w:p>
    <w:p>
      <w:pPr>
        <w:pStyle w:val="4"/>
      </w:pPr>
      <w:r>
        <w:rPr>
          <w:rFonts w:hint="eastAsia"/>
        </w:rPr>
        <w:t>4.2.3环境管理</w:t>
      </w:r>
    </w:p>
    <w:p>
      <w:pPr>
        <w:ind w:firstLine="480" w:firstLineChars="200"/>
      </w:pPr>
      <w:r>
        <w:rPr>
          <w:rFonts w:hint="eastAsia"/>
        </w:rPr>
        <w:t>本项目主要针对运行期排放</w:t>
      </w:r>
      <w:r>
        <w:rPr>
          <w:rFonts w:hint="eastAsia"/>
          <w:lang w:val="en-US" w:eastAsia="zh-CN"/>
        </w:rPr>
        <w:t>废气</w:t>
      </w:r>
      <w:r>
        <w:rPr>
          <w:rFonts w:hint="eastAsia"/>
        </w:rPr>
        <w:t>、</w:t>
      </w:r>
      <w:r>
        <w:rPr>
          <w:rFonts w:hint="eastAsia"/>
          <w:lang w:eastAsia="zh-CN"/>
        </w:rPr>
        <w:t>废水、</w:t>
      </w:r>
      <w:r>
        <w:rPr>
          <w:rFonts w:hint="eastAsia"/>
        </w:rPr>
        <w:t>噪声</w:t>
      </w:r>
      <w:r>
        <w:rPr>
          <w:rFonts w:hint="eastAsia"/>
          <w:lang w:eastAsia="zh-CN"/>
        </w:rPr>
        <w:t>、</w:t>
      </w:r>
      <w:r>
        <w:rPr>
          <w:rFonts w:hint="eastAsia"/>
          <w:lang w:val="en-US" w:eastAsia="zh-CN"/>
        </w:rPr>
        <w:t>危废</w:t>
      </w:r>
      <w:r>
        <w:rPr>
          <w:rFonts w:hint="eastAsia"/>
        </w:rPr>
        <w:t>进行管理，项目设置环境管理机构，配备</w:t>
      </w:r>
      <w:r>
        <w:rPr>
          <w:rFonts w:hint="eastAsia"/>
          <w:lang w:eastAsia="zh-CN"/>
        </w:rPr>
        <w:t>专</w:t>
      </w:r>
      <w:r>
        <w:rPr>
          <w:rFonts w:hint="eastAsia"/>
        </w:rPr>
        <w:t>职技术人员</w:t>
      </w:r>
      <w:r>
        <w:rPr>
          <w:rFonts w:hint="eastAsia"/>
          <w:lang w:val="en-US" w:eastAsia="zh-CN"/>
        </w:rPr>
        <w:t>1</w:t>
      </w:r>
      <w:r>
        <w:rPr>
          <w:rFonts w:hint="eastAsia"/>
        </w:rPr>
        <w:t>人，统一负责管理、组织、落实和监督本</w:t>
      </w:r>
      <w:r>
        <w:rPr>
          <w:rFonts w:hint="eastAsia"/>
          <w:lang w:val="en-US" w:eastAsia="zh-CN"/>
        </w:rPr>
        <w:t>公司</w:t>
      </w:r>
      <w:r>
        <w:rPr>
          <w:rFonts w:hint="eastAsia"/>
        </w:rPr>
        <w:t>的环境保护工作。环境管理机构全面负责</w:t>
      </w:r>
      <w:r>
        <w:rPr>
          <w:rFonts w:hint="eastAsia"/>
          <w:lang w:eastAsia="zh-CN"/>
        </w:rPr>
        <w:t>巫溪县华安墙材有限公司</w:t>
      </w:r>
      <w:r>
        <w:rPr>
          <w:rFonts w:hint="eastAsia"/>
        </w:rPr>
        <w:t>的环境管理工作，对废气、固体废物进行统计；对环境保护设施进行维护管理，确保环保设施安全稳定运行；协助处理因该工程引发的污染事故和纠纷；对在环境管理方面的不足进行改进和提高，确保环境保护工作符合国家相关标准要求。</w:t>
      </w:r>
    </w:p>
    <w:p>
      <w:pPr>
        <w:pStyle w:val="4"/>
      </w:pPr>
      <w:r>
        <w:rPr>
          <w:rFonts w:hint="eastAsia"/>
        </w:rPr>
        <w:t>4.2.4环保投诉情况</w:t>
      </w:r>
    </w:p>
    <w:p>
      <w:pPr>
        <w:ind w:firstLine="480" w:firstLineChars="200"/>
        <w:rPr>
          <w:rFonts w:hint="eastAsia"/>
        </w:rPr>
      </w:pPr>
      <w:r>
        <w:rPr>
          <w:rFonts w:hint="eastAsia"/>
          <w:lang w:eastAsia="zh-CN"/>
        </w:rPr>
        <w:t>巫溪县华安墙材有限公司</w:t>
      </w:r>
      <w:r>
        <w:rPr>
          <w:rFonts w:hint="eastAsia"/>
        </w:rPr>
        <w:t>在</w:t>
      </w:r>
      <w:r>
        <w:rPr>
          <w:rFonts w:hint="eastAsia"/>
          <w:lang w:val="en-US" w:eastAsia="zh-CN"/>
        </w:rPr>
        <w:t>营运</w:t>
      </w:r>
      <w:r>
        <w:rPr>
          <w:rFonts w:hint="eastAsia"/>
        </w:rPr>
        <w:t>期间未出现过环保投诉。</w:t>
      </w:r>
    </w:p>
    <w:p>
      <w:pPr>
        <w:pStyle w:val="3"/>
      </w:pPr>
      <w:bookmarkStart w:id="53" w:name="_Toc28674"/>
      <w:r>
        <w:t>4.3环保设施投资及“三同时”落实情况</w:t>
      </w:r>
      <w:bookmarkEnd w:id="52"/>
      <w:bookmarkEnd w:id="53"/>
    </w:p>
    <w:p>
      <w:pPr>
        <w:spacing w:line="460" w:lineRule="atLeast"/>
        <w:ind w:firstLine="600" w:firstLineChars="250"/>
      </w:pPr>
      <w:r>
        <w:rPr>
          <w:rFonts w:hint="eastAsia" w:ascii="Times New Roman" w:hAnsi="Times New Roman"/>
          <w:color w:val="000000"/>
          <w:sz w:val="24"/>
        </w:rPr>
        <w:t>本项目总投资</w:t>
      </w:r>
      <w:r>
        <w:rPr>
          <w:rFonts w:hint="eastAsia"/>
          <w:color w:val="000000"/>
          <w:sz w:val="24"/>
          <w:lang w:val="en-US" w:eastAsia="zh-CN"/>
        </w:rPr>
        <w:t>1300</w:t>
      </w:r>
      <w:r>
        <w:rPr>
          <w:rFonts w:hint="eastAsia" w:ascii="Times New Roman" w:hAnsi="Times New Roman"/>
          <w:color w:val="000000"/>
          <w:sz w:val="24"/>
        </w:rPr>
        <w:t>万元，其中环保投资</w:t>
      </w:r>
      <w:r>
        <w:rPr>
          <w:rFonts w:hint="eastAsia"/>
          <w:color w:val="000000"/>
          <w:sz w:val="24"/>
          <w:lang w:val="en-US" w:eastAsia="zh-CN"/>
        </w:rPr>
        <w:t>40</w:t>
      </w:r>
      <w:r>
        <w:rPr>
          <w:rFonts w:hint="eastAsia" w:ascii="Times New Roman" w:hAnsi="Times New Roman"/>
          <w:color w:val="000000"/>
          <w:sz w:val="24"/>
          <w:lang w:val="en-US" w:eastAsia="zh-CN"/>
        </w:rPr>
        <w:t>万元</w:t>
      </w:r>
      <w:r>
        <w:rPr>
          <w:rFonts w:hint="eastAsia" w:ascii="Times New Roman" w:hAnsi="Times New Roman"/>
          <w:color w:val="000000"/>
          <w:sz w:val="24"/>
        </w:rPr>
        <w:t>，占总投资的</w:t>
      </w:r>
      <w:r>
        <w:rPr>
          <w:rFonts w:hint="eastAsia"/>
          <w:color w:val="000000"/>
          <w:sz w:val="24"/>
          <w:lang w:val="en-US" w:eastAsia="zh-CN"/>
        </w:rPr>
        <w:t>23</w:t>
      </w:r>
      <w:r>
        <w:rPr>
          <w:rFonts w:hint="eastAsia" w:ascii="Times New Roman" w:hAnsi="Times New Roman"/>
          <w:color w:val="000000"/>
          <w:sz w:val="24"/>
          <w:lang w:val="en-US" w:eastAsia="zh-CN"/>
        </w:rPr>
        <w:t>%</w:t>
      </w:r>
      <w:r>
        <w:rPr>
          <w:rFonts w:hint="eastAsia" w:ascii="Times New Roman" w:hAnsi="Times New Roman"/>
          <w:color w:val="000000"/>
          <w:sz w:val="24"/>
        </w:rPr>
        <w:t>。其实际环保投资及建设情况见</w:t>
      </w:r>
      <w:r>
        <w:t>表4-1。</w:t>
      </w:r>
    </w:p>
    <w:p>
      <w:pPr>
        <w:pStyle w:val="30"/>
        <w:jc w:val="center"/>
        <w:rPr>
          <w:rFonts w:hint="default" w:hAnsi="宋体"/>
          <w:b/>
          <w:bCs/>
          <w:color w:val="000000"/>
          <w:sz w:val="24"/>
          <w:szCs w:val="22"/>
        </w:rPr>
      </w:pPr>
      <w:r>
        <w:rPr>
          <w:rFonts w:hint="eastAsia"/>
          <w:b/>
          <w:bCs/>
          <w:sz w:val="21"/>
          <w:szCs w:val="21"/>
        </w:rPr>
        <w:t xml:space="preserve">表4-1  </w:t>
      </w:r>
      <w:r>
        <w:rPr>
          <w:rFonts w:hint="default" w:hAnsi="宋体"/>
          <w:b/>
          <w:bCs/>
          <w:color w:val="000000"/>
          <w:sz w:val="24"/>
          <w:szCs w:val="22"/>
        </w:rPr>
        <w:t>项目污染治理措施落实情况一览表</w:t>
      </w:r>
    </w:p>
    <w:tbl>
      <w:tblPr>
        <w:tblStyle w:val="2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4"/>
        <w:gridCol w:w="3482"/>
        <w:gridCol w:w="3543"/>
        <w:gridCol w:w="1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内容</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环评要求的处理方式</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实际处理方式</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治理投资</w:t>
            </w:r>
          </w:p>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b/>
                <w:bCs/>
                <w:color w:val="000000"/>
                <w:sz w:val="21"/>
                <w:szCs w:val="21"/>
                <w:lang w:eastAsia="zh-CN"/>
              </w:rPr>
            </w:pPr>
            <w:r>
              <w:rPr>
                <w:rFonts w:hint="default" w:ascii="Times New Roman" w:hAnsi="Times New Roman" w:eastAsia="宋体" w:cs="Times New Roman"/>
                <w:b w:val="0"/>
                <w:bCs w:val="0"/>
                <w:color w:val="auto"/>
                <w:sz w:val="21"/>
                <w:szCs w:val="21"/>
              </w:rPr>
              <w:t>废</w:t>
            </w:r>
            <w:r>
              <w:rPr>
                <w:rFonts w:hint="eastAsia" w:cs="Times New Roman"/>
                <w:b w:val="0"/>
                <w:bCs w:val="0"/>
                <w:color w:val="auto"/>
                <w:sz w:val="21"/>
                <w:szCs w:val="21"/>
                <w:lang w:eastAsia="zh-CN"/>
              </w:rPr>
              <w:t>气</w:t>
            </w:r>
            <w:r>
              <w:rPr>
                <w:rFonts w:hint="default" w:ascii="Times New Roman" w:hAnsi="Times New Roman" w:eastAsia="宋体" w:cs="Times New Roman"/>
                <w:b w:val="0"/>
                <w:bCs w:val="0"/>
                <w:color w:val="auto"/>
                <w:sz w:val="21"/>
                <w:szCs w:val="21"/>
              </w:rPr>
              <w:t>治理</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eastAsia" w:ascii="Times New Roman" w:hAnsi="Times New Roman" w:eastAsia="宋体" w:cstheme="minorBidi"/>
                <w:color w:val="auto"/>
                <w:kern w:val="24"/>
                <w:sz w:val="21"/>
                <w:szCs w:val="21"/>
                <w:lang w:val="en-US" w:eastAsia="zh-CN" w:bidi="ar-SA"/>
              </w:rPr>
            </w:pPr>
            <w:r>
              <w:rPr>
                <w:rFonts w:hint="default" w:ascii="Times New Roman" w:hAnsi="Times New Roman" w:eastAsia="宋体" w:cstheme="minorBidi"/>
                <w:color w:val="auto"/>
                <w:kern w:val="24"/>
                <w:sz w:val="21"/>
                <w:szCs w:val="21"/>
                <w:lang w:val="en-US" w:eastAsia="zh-CN" w:bidi="ar-SA"/>
              </w:rPr>
              <w:t>生产线隧道窑干燥、烧制废气经喷淋除臭装置后，依托现有脱硫除尘塔（双碱法）处理达标后，通过15m高排气筒排放。</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eastAsia" w:ascii="Times New Roman" w:hAnsi="Times New Roman"/>
                <w:kern w:val="24"/>
                <w:sz w:val="21"/>
                <w:szCs w:val="21"/>
                <w:lang w:val="en-US" w:eastAsia="zh-CN"/>
              </w:rPr>
            </w:pPr>
            <w:r>
              <w:rPr>
                <w:rFonts w:hint="default" w:ascii="Times New Roman" w:hAnsi="Times New Roman" w:eastAsia="宋体" w:cstheme="minorBidi"/>
                <w:color w:val="auto"/>
                <w:kern w:val="24"/>
                <w:sz w:val="21"/>
                <w:szCs w:val="21"/>
                <w:lang w:val="en-US" w:eastAsia="zh-CN" w:bidi="ar-SA"/>
              </w:rPr>
              <w:t>生产线隧道窑干燥、烧制废气经喷淋除臭装置后，依托现有脱硫除尘塔（双碱法）处理达标后，通过15m高排气筒排放。</w:t>
            </w:r>
          </w:p>
        </w:tc>
        <w:tc>
          <w:tcPr>
            <w:tcW w:w="582"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b/>
                <w:bCs/>
                <w:color w:val="000000"/>
                <w:sz w:val="21"/>
                <w:szCs w:val="21"/>
                <w:lang w:val="en-US" w:eastAsia="zh-CN"/>
              </w:rPr>
            </w:pPr>
            <w:r>
              <w:rPr>
                <w:rFonts w:hint="eastAsia" w:cs="Times New Roman"/>
                <w:b w:val="0"/>
                <w:bCs w:val="0"/>
                <w:color w:val="auto"/>
                <w:sz w:val="21"/>
                <w:szCs w:val="21"/>
                <w:lang w:val="en-US" w:eastAsia="zh-CN"/>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1885"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eastAsia" w:ascii="Times New Roman" w:hAnsi="Times New Roman" w:eastAsia="宋体" w:cstheme="minorBidi"/>
                <w:color w:val="auto"/>
                <w:kern w:val="24"/>
                <w:sz w:val="21"/>
                <w:szCs w:val="21"/>
                <w:lang w:val="en-US" w:eastAsia="zh-CN" w:bidi="ar-SA"/>
              </w:rPr>
            </w:pPr>
            <w:r>
              <w:rPr>
                <w:rFonts w:hint="default" w:ascii="Times New Roman" w:hAnsi="Times New Roman" w:eastAsia="宋体" w:cstheme="minorBidi"/>
                <w:color w:val="auto"/>
                <w:kern w:val="24"/>
                <w:sz w:val="21"/>
                <w:szCs w:val="21"/>
                <w:lang w:val="en-US" w:eastAsia="zh-CN" w:bidi="ar-SA"/>
              </w:rPr>
              <w:t>在给料阶段增加喷雾装置，破碎、筛分工序采用全密闭厂房，</w:t>
            </w:r>
            <w:r>
              <w:rPr>
                <w:rFonts w:hint="eastAsia" w:ascii="Times New Roman" w:hAnsi="Times New Roman" w:eastAsia="宋体" w:cstheme="minorBidi"/>
                <w:color w:val="auto"/>
                <w:kern w:val="24"/>
                <w:sz w:val="21"/>
                <w:szCs w:val="21"/>
                <w:lang w:val="en-US" w:eastAsia="zh-CN" w:bidi="ar-SA"/>
              </w:rPr>
              <w:t>经</w:t>
            </w:r>
            <w:r>
              <w:rPr>
                <w:rFonts w:hint="default" w:ascii="Times New Roman" w:hAnsi="Times New Roman" w:eastAsia="宋体" w:cstheme="minorBidi"/>
                <w:color w:val="auto"/>
                <w:kern w:val="24"/>
                <w:sz w:val="21"/>
                <w:szCs w:val="21"/>
                <w:lang w:val="en-US" w:eastAsia="zh-CN" w:bidi="ar-SA"/>
              </w:rPr>
              <w:t>布袋除尘器</w:t>
            </w:r>
            <w:r>
              <w:rPr>
                <w:rFonts w:hint="eastAsia" w:ascii="Times New Roman" w:hAnsi="Times New Roman" w:eastAsia="宋体" w:cstheme="minorBidi"/>
                <w:color w:val="auto"/>
                <w:kern w:val="24"/>
                <w:sz w:val="21"/>
                <w:szCs w:val="21"/>
                <w:lang w:val="en-US" w:eastAsia="zh-CN" w:bidi="ar-SA"/>
              </w:rPr>
              <w:t>收集后，经</w:t>
            </w:r>
            <w:r>
              <w:rPr>
                <w:rFonts w:hint="default" w:ascii="Times New Roman" w:hAnsi="Times New Roman" w:eastAsia="宋体" w:cstheme="minorBidi"/>
                <w:color w:val="auto"/>
                <w:kern w:val="24"/>
                <w:sz w:val="21"/>
                <w:szCs w:val="21"/>
                <w:lang w:val="en-US" w:eastAsia="zh-CN" w:bidi="ar-SA"/>
              </w:rPr>
              <w:t>15m高排气筒</w:t>
            </w:r>
            <w:r>
              <w:rPr>
                <w:rFonts w:hint="eastAsia" w:ascii="Times New Roman" w:hAnsi="Times New Roman" w:eastAsia="宋体" w:cstheme="minorBidi"/>
                <w:color w:val="auto"/>
                <w:kern w:val="24"/>
                <w:sz w:val="21"/>
                <w:szCs w:val="21"/>
                <w:lang w:val="en-US" w:eastAsia="zh-CN" w:bidi="ar-SA"/>
              </w:rPr>
              <w:t>排放</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eastAsia" w:ascii="Times New Roman" w:hAnsi="Times New Roman"/>
                <w:kern w:val="24"/>
                <w:sz w:val="21"/>
                <w:szCs w:val="21"/>
                <w:lang w:val="en-US" w:eastAsia="zh-CN"/>
              </w:rPr>
            </w:pPr>
            <w:r>
              <w:rPr>
                <w:rFonts w:hint="default" w:ascii="Times New Roman" w:hAnsi="Times New Roman" w:eastAsia="宋体" w:cstheme="minorBidi"/>
                <w:color w:val="auto"/>
                <w:kern w:val="24"/>
                <w:sz w:val="21"/>
                <w:szCs w:val="21"/>
                <w:lang w:val="en-US" w:eastAsia="zh-CN" w:bidi="ar-SA"/>
              </w:rPr>
              <w:t>在给料阶段增加喷雾装置，破碎、筛分工序采用全密闭厂房，</w:t>
            </w:r>
            <w:r>
              <w:rPr>
                <w:rFonts w:hint="eastAsia" w:ascii="Times New Roman" w:hAnsi="Times New Roman" w:eastAsia="宋体" w:cstheme="minorBidi"/>
                <w:color w:val="auto"/>
                <w:kern w:val="24"/>
                <w:sz w:val="21"/>
                <w:szCs w:val="21"/>
                <w:lang w:val="en-US" w:eastAsia="zh-CN" w:bidi="ar-SA"/>
              </w:rPr>
              <w:t>经</w:t>
            </w:r>
            <w:r>
              <w:rPr>
                <w:rFonts w:hint="default" w:ascii="Times New Roman" w:hAnsi="Times New Roman" w:eastAsia="宋体" w:cstheme="minorBidi"/>
                <w:color w:val="auto"/>
                <w:kern w:val="24"/>
                <w:sz w:val="21"/>
                <w:szCs w:val="21"/>
                <w:lang w:val="en-US" w:eastAsia="zh-CN" w:bidi="ar-SA"/>
              </w:rPr>
              <w:t>布袋除尘器</w:t>
            </w:r>
            <w:r>
              <w:rPr>
                <w:rFonts w:hint="eastAsia" w:ascii="Times New Roman" w:hAnsi="Times New Roman" w:eastAsia="宋体" w:cstheme="minorBidi"/>
                <w:color w:val="auto"/>
                <w:kern w:val="24"/>
                <w:sz w:val="21"/>
                <w:szCs w:val="21"/>
                <w:lang w:val="en-US" w:eastAsia="zh-CN" w:bidi="ar-SA"/>
              </w:rPr>
              <w:t>收集后，经</w:t>
            </w:r>
            <w:r>
              <w:rPr>
                <w:rFonts w:hint="default" w:ascii="Times New Roman" w:hAnsi="Times New Roman" w:eastAsia="宋体" w:cstheme="minorBidi"/>
                <w:color w:val="auto"/>
                <w:kern w:val="24"/>
                <w:sz w:val="21"/>
                <w:szCs w:val="21"/>
                <w:lang w:val="en-US" w:eastAsia="zh-CN" w:bidi="ar-SA"/>
              </w:rPr>
              <w:t>15m高排气筒</w:t>
            </w:r>
            <w:r>
              <w:rPr>
                <w:rFonts w:hint="eastAsia" w:ascii="Times New Roman" w:hAnsi="Times New Roman" w:eastAsia="宋体" w:cstheme="minorBidi"/>
                <w:color w:val="auto"/>
                <w:kern w:val="24"/>
                <w:sz w:val="21"/>
                <w:szCs w:val="21"/>
                <w:lang w:val="en-US" w:eastAsia="zh-CN" w:bidi="ar-SA"/>
              </w:rPr>
              <w:t>排放</w:t>
            </w:r>
          </w:p>
        </w:tc>
        <w:tc>
          <w:tcPr>
            <w:tcW w:w="582"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1885"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eastAsia" w:ascii="Times New Roman" w:hAnsi="Times New Roman" w:eastAsia="宋体" w:cstheme="minorBidi"/>
                <w:color w:val="auto"/>
                <w:kern w:val="24"/>
                <w:sz w:val="21"/>
                <w:szCs w:val="21"/>
                <w:lang w:val="en-US" w:eastAsia="zh-CN" w:bidi="ar-SA"/>
              </w:rPr>
            </w:pPr>
            <w:r>
              <w:rPr>
                <w:rFonts w:hint="default" w:ascii="Times New Roman" w:hAnsi="Times New Roman" w:eastAsia="宋体" w:cstheme="minorBidi"/>
                <w:color w:val="auto"/>
                <w:kern w:val="24"/>
                <w:sz w:val="21"/>
                <w:szCs w:val="21"/>
                <w:lang w:val="en-US" w:eastAsia="zh-CN" w:bidi="ar-SA"/>
              </w:rPr>
              <w:t>在污泥暂存池表面喷洒除臭剂+现场喷洒天然植物提取液</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eastAsia" w:ascii="Times New Roman" w:hAnsi="Times New Roman"/>
                <w:kern w:val="24"/>
                <w:sz w:val="21"/>
                <w:szCs w:val="21"/>
                <w:lang w:val="en-US" w:eastAsia="zh-CN"/>
              </w:rPr>
            </w:pPr>
            <w:r>
              <w:rPr>
                <w:rFonts w:hint="default" w:ascii="Times New Roman" w:hAnsi="Times New Roman" w:eastAsia="宋体" w:cstheme="minorBidi"/>
                <w:color w:val="auto"/>
                <w:kern w:val="24"/>
                <w:sz w:val="21"/>
                <w:szCs w:val="21"/>
                <w:lang w:val="en-US" w:eastAsia="zh-CN" w:bidi="ar-SA"/>
              </w:rPr>
              <w:t>在污泥暂存池表面喷洒除臭剂+现场喷洒天然植物提取液</w:t>
            </w:r>
          </w:p>
        </w:tc>
        <w:tc>
          <w:tcPr>
            <w:tcW w:w="582"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1885"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eastAsia" w:ascii="Times New Roman" w:hAnsi="Times New Roman" w:eastAsia="宋体" w:cstheme="minorBidi"/>
                <w:color w:val="auto"/>
                <w:kern w:val="24"/>
                <w:sz w:val="21"/>
                <w:szCs w:val="21"/>
                <w:lang w:val="en-US" w:eastAsia="zh-CN" w:bidi="ar-SA"/>
              </w:rPr>
            </w:pPr>
            <w:r>
              <w:rPr>
                <w:rFonts w:hint="default" w:ascii="Times New Roman" w:hAnsi="Times New Roman" w:eastAsia="宋体" w:cstheme="minorBidi"/>
                <w:color w:val="auto"/>
                <w:kern w:val="24"/>
                <w:sz w:val="21"/>
                <w:szCs w:val="21"/>
                <w:lang w:val="en-US" w:eastAsia="zh-CN" w:bidi="ar-SA"/>
              </w:rPr>
              <w:t>食堂油烟经集气罩收集后通过油烟净化器处理后引至楼顶排放</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eastAsia" w:ascii="Times New Roman" w:hAnsi="Times New Roman"/>
                <w:kern w:val="24"/>
                <w:sz w:val="21"/>
                <w:szCs w:val="21"/>
                <w:lang w:val="en-US" w:eastAsia="zh-CN"/>
              </w:rPr>
            </w:pPr>
            <w:r>
              <w:rPr>
                <w:rFonts w:hint="default" w:ascii="Times New Roman" w:hAnsi="Times New Roman" w:eastAsia="宋体" w:cstheme="minorBidi"/>
                <w:color w:val="auto"/>
                <w:kern w:val="24"/>
                <w:sz w:val="21"/>
                <w:szCs w:val="21"/>
                <w:lang w:val="en-US" w:eastAsia="zh-CN" w:bidi="ar-SA"/>
              </w:rPr>
              <w:t>食堂油烟经集气罩收集后通过油烟净化器处理后引至楼顶排放</w:t>
            </w:r>
          </w:p>
        </w:tc>
        <w:tc>
          <w:tcPr>
            <w:tcW w:w="582"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1885"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default" w:ascii="Times New Roman" w:hAnsi="Times New Roman" w:eastAsia="宋体" w:cstheme="minorBidi"/>
                <w:color w:val="auto"/>
                <w:kern w:val="24"/>
                <w:sz w:val="21"/>
                <w:szCs w:val="21"/>
                <w:lang w:val="en-US" w:eastAsia="zh-CN" w:bidi="ar-SA"/>
              </w:rPr>
            </w:pPr>
            <w:r>
              <w:rPr>
                <w:rFonts w:hint="default" w:ascii="Times New Roman" w:hAnsi="Times New Roman" w:eastAsia="宋体" w:cstheme="minorBidi"/>
                <w:color w:val="auto"/>
                <w:kern w:val="24"/>
                <w:sz w:val="21"/>
                <w:szCs w:val="21"/>
                <w:lang w:val="en-US" w:eastAsia="zh-CN" w:bidi="ar-SA"/>
              </w:rPr>
              <w:t>采取外围建设不低于堆放高度的密闭围墙、防风抑尘网等措施，场内配备喷雾、覆盖和围挡等防风抑尘措施，种植树木绿化等措施抑尘。通过路面硬化，密闭运输，采用专用车辆运输，定期洒水，定期清洁，车辆进出厂对轮胎等进行冲洗，厂区绿化等措施降尘防尘。</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pStyle w:val="89"/>
              <w:bidi w:val="0"/>
              <w:rPr>
                <w:rFonts w:hint="eastAsia" w:ascii="Times New Roman" w:hAnsi="Times New Roman"/>
                <w:kern w:val="24"/>
                <w:sz w:val="21"/>
                <w:szCs w:val="21"/>
                <w:lang w:val="en-US" w:eastAsia="zh-CN"/>
              </w:rPr>
            </w:pPr>
            <w:r>
              <w:rPr>
                <w:rFonts w:hint="default" w:ascii="Times New Roman" w:hAnsi="Times New Roman" w:eastAsia="宋体" w:cstheme="minorBidi"/>
                <w:color w:val="auto"/>
                <w:kern w:val="24"/>
                <w:sz w:val="21"/>
                <w:szCs w:val="21"/>
                <w:lang w:val="en-US" w:eastAsia="zh-CN" w:bidi="ar-SA"/>
              </w:rPr>
              <w:t>采取外围建设不低于堆放高度的密闭围墙、防风抑尘网等措施，场内配备喷雾、覆盖和围挡等防风抑尘措施，种植树木绿化等措施抑尘。通过路面硬化，密闭运输，采用专用车辆运输，定期洒水，定期清洁，车辆进出厂对轮胎等进行冲洗，厂区绿化等措施降尘防尘。</w:t>
            </w:r>
          </w:p>
        </w:tc>
        <w:tc>
          <w:tcPr>
            <w:tcW w:w="582"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废</w:t>
            </w:r>
            <w:r>
              <w:rPr>
                <w:rFonts w:hint="eastAsia" w:cs="Times New Roman"/>
                <w:b w:val="0"/>
                <w:bCs w:val="0"/>
                <w:color w:val="auto"/>
                <w:sz w:val="21"/>
                <w:szCs w:val="21"/>
                <w:lang w:eastAsia="zh-CN"/>
              </w:rPr>
              <w:t>水</w:t>
            </w:r>
            <w:r>
              <w:rPr>
                <w:rFonts w:hint="default" w:ascii="Times New Roman" w:hAnsi="Times New Roman" w:eastAsia="宋体" w:cs="Times New Roman"/>
                <w:b w:val="0"/>
                <w:bCs w:val="0"/>
                <w:color w:val="auto"/>
                <w:sz w:val="21"/>
                <w:szCs w:val="21"/>
              </w:rPr>
              <w:t>治理</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snapToGrid/>
              <w:spacing w:line="240" w:lineRule="auto"/>
              <w:ind w:left="0" w:leftChars="0" w:right="0" w:rightChars="0" w:firstLine="0" w:firstLineChars="0"/>
              <w:jc w:val="left"/>
              <w:textAlignment w:val="center"/>
              <w:rPr>
                <w:rFonts w:hint="eastAsia" w:ascii="Times New Roman" w:hAnsi="Times New Roman" w:eastAsia="宋体" w:cstheme="minorBidi"/>
                <w:color w:val="auto"/>
                <w:kern w:val="24"/>
                <w:sz w:val="21"/>
                <w:szCs w:val="21"/>
                <w:lang w:val="en-US" w:eastAsia="zh-CN" w:bidi="ar-SA"/>
              </w:rPr>
            </w:pPr>
            <w:r>
              <w:rPr>
                <w:rFonts w:hint="default" w:ascii="Times New Roman" w:hAnsi="Times New Roman" w:eastAsia="宋体" w:cstheme="minorBidi"/>
                <w:color w:val="auto"/>
                <w:kern w:val="24"/>
                <w:sz w:val="21"/>
                <w:szCs w:val="21"/>
                <w:lang w:val="en-US" w:eastAsia="zh-CN" w:bidi="ar-SA"/>
              </w:rPr>
              <w:t>食堂废水经食堂隔油池沉淀后，与生活污水一起通过化粪池收集后用作农肥，不排放。</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snapToGrid/>
              <w:spacing w:line="240" w:lineRule="auto"/>
              <w:ind w:left="0" w:leftChars="0" w:right="0" w:rightChars="0" w:firstLine="0" w:firstLineChars="0"/>
              <w:jc w:val="left"/>
              <w:textAlignment w:val="center"/>
              <w:rPr>
                <w:rFonts w:hint="default" w:ascii="Times New Roman" w:hAnsi="Times New Roman"/>
                <w:kern w:val="24"/>
                <w:sz w:val="21"/>
                <w:szCs w:val="21"/>
                <w:lang w:val="en-US" w:eastAsia="zh-CN"/>
              </w:rPr>
            </w:pPr>
            <w:r>
              <w:rPr>
                <w:rFonts w:hint="default" w:ascii="Times New Roman" w:hAnsi="Times New Roman" w:eastAsia="宋体" w:cstheme="minorBidi"/>
                <w:color w:val="auto"/>
                <w:kern w:val="24"/>
                <w:sz w:val="21"/>
                <w:szCs w:val="21"/>
                <w:lang w:val="en-US" w:eastAsia="zh-CN" w:bidi="ar-SA"/>
              </w:rPr>
              <w:t>食堂废水经食堂隔油池沉淀后，与生活污水一起通过化粪池收集后用作农肥，不排放。</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18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snapToGrid/>
              <w:spacing w:line="240" w:lineRule="auto"/>
              <w:ind w:left="0" w:right="0" w:firstLine="0"/>
              <w:jc w:val="left"/>
              <w:textAlignment w:val="center"/>
              <w:rPr>
                <w:rFonts w:hint="eastAsia" w:ascii="Times New Roman" w:hAnsi="Times New Roman" w:eastAsia="宋体" w:cstheme="minorBidi"/>
                <w:color w:val="auto"/>
                <w:kern w:val="24"/>
                <w:sz w:val="21"/>
                <w:szCs w:val="21"/>
                <w:lang w:val="en-US" w:eastAsia="zh-CN" w:bidi="ar-SA"/>
              </w:rPr>
            </w:pPr>
            <w:r>
              <w:rPr>
                <w:rFonts w:hint="default" w:ascii="Times New Roman" w:hAnsi="Times New Roman" w:eastAsia="宋体" w:cstheme="minorBidi"/>
                <w:color w:val="auto"/>
                <w:kern w:val="24"/>
                <w:sz w:val="21"/>
                <w:szCs w:val="21"/>
                <w:lang w:val="en-US" w:eastAsia="zh-CN" w:bidi="ar-SA"/>
              </w:rPr>
              <w:t>项目采区及破碎抑尘</w:t>
            </w:r>
            <w:r>
              <w:rPr>
                <w:rFonts w:hint="eastAsia" w:ascii="Times New Roman" w:hAnsi="Times New Roman" w:eastAsia="宋体" w:cstheme="minorBidi"/>
                <w:color w:val="auto"/>
                <w:kern w:val="24"/>
                <w:sz w:val="21"/>
                <w:szCs w:val="21"/>
                <w:lang w:val="en-US" w:eastAsia="zh-CN" w:bidi="ar-SA"/>
              </w:rPr>
              <w:t>用水蒸发损耗不外排；</w:t>
            </w:r>
          </w:p>
          <w:p>
            <w:pPr>
              <w:keepNext w:val="0"/>
              <w:keepLines w:val="0"/>
              <w:pageBreakBefore w:val="0"/>
              <w:widowControl/>
              <w:kinsoku/>
              <w:wordWrap/>
              <w:overflowPunct/>
              <w:topLinePunct w:val="0"/>
              <w:autoSpaceDE w:val="0"/>
              <w:autoSpaceDN w:val="0"/>
              <w:bidi w:val="0"/>
              <w:snapToGrid/>
              <w:spacing w:line="240" w:lineRule="auto"/>
              <w:ind w:left="0" w:leftChars="0" w:right="0" w:rightChars="0" w:firstLine="0" w:firstLineChars="0"/>
              <w:jc w:val="left"/>
              <w:textAlignment w:val="center"/>
              <w:rPr>
                <w:rFonts w:hint="eastAsia" w:ascii="Times New Roman" w:hAnsi="Times New Roman" w:eastAsia="宋体" w:cstheme="minorBidi"/>
                <w:color w:val="auto"/>
                <w:kern w:val="24"/>
                <w:sz w:val="21"/>
                <w:szCs w:val="21"/>
                <w:lang w:val="en-US" w:eastAsia="zh-CN" w:bidi="ar-SA"/>
              </w:rPr>
            </w:pPr>
            <w:r>
              <w:rPr>
                <w:rFonts w:hint="eastAsia" w:ascii="Times New Roman" w:hAnsi="Times New Roman" w:eastAsia="宋体" w:cstheme="minorBidi"/>
                <w:color w:val="auto"/>
                <w:kern w:val="24"/>
                <w:sz w:val="21"/>
                <w:szCs w:val="21"/>
                <w:lang w:val="en-US" w:eastAsia="zh-CN" w:bidi="ar-SA"/>
              </w:rPr>
              <w:t>车辆冲洗废水依托现有沉淀池沉淀处理后循环使用，不外排。脱硫废水循环使用，不外排，定期更换回用于生产</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snapToGrid/>
              <w:spacing w:line="240" w:lineRule="auto"/>
              <w:ind w:left="0" w:right="0" w:firstLine="0"/>
              <w:jc w:val="left"/>
              <w:textAlignment w:val="center"/>
              <w:rPr>
                <w:rFonts w:hint="eastAsia" w:ascii="Times New Roman" w:hAnsi="Times New Roman" w:eastAsia="宋体" w:cstheme="minorBidi"/>
                <w:color w:val="auto"/>
                <w:kern w:val="24"/>
                <w:sz w:val="21"/>
                <w:szCs w:val="21"/>
                <w:lang w:val="en-US" w:eastAsia="zh-CN" w:bidi="ar-SA"/>
              </w:rPr>
            </w:pPr>
            <w:r>
              <w:rPr>
                <w:rFonts w:hint="default" w:ascii="Times New Roman" w:hAnsi="Times New Roman" w:eastAsia="宋体" w:cstheme="minorBidi"/>
                <w:color w:val="auto"/>
                <w:kern w:val="24"/>
                <w:sz w:val="21"/>
                <w:szCs w:val="21"/>
                <w:lang w:val="en-US" w:eastAsia="zh-CN" w:bidi="ar-SA"/>
              </w:rPr>
              <w:t>项目采区及破碎抑尘</w:t>
            </w:r>
            <w:r>
              <w:rPr>
                <w:rFonts w:hint="eastAsia" w:ascii="Times New Roman" w:hAnsi="Times New Roman" w:eastAsia="宋体" w:cstheme="minorBidi"/>
                <w:color w:val="auto"/>
                <w:kern w:val="24"/>
                <w:sz w:val="21"/>
                <w:szCs w:val="21"/>
                <w:lang w:val="en-US" w:eastAsia="zh-CN" w:bidi="ar-SA"/>
              </w:rPr>
              <w:t>用水蒸发损耗不外排；</w:t>
            </w:r>
          </w:p>
          <w:p>
            <w:pPr>
              <w:keepNext w:val="0"/>
              <w:keepLines w:val="0"/>
              <w:pageBreakBefore w:val="0"/>
              <w:widowControl/>
              <w:kinsoku/>
              <w:wordWrap/>
              <w:overflowPunct/>
              <w:topLinePunct w:val="0"/>
              <w:autoSpaceDE w:val="0"/>
              <w:autoSpaceDN w:val="0"/>
              <w:bidi w:val="0"/>
              <w:snapToGrid/>
              <w:spacing w:line="240" w:lineRule="auto"/>
              <w:ind w:left="0" w:leftChars="0" w:right="0" w:rightChars="0" w:firstLine="0" w:firstLineChars="0"/>
              <w:jc w:val="left"/>
              <w:textAlignment w:val="center"/>
              <w:rPr>
                <w:rFonts w:hint="eastAsia" w:ascii="Times New Roman" w:hAnsi="Times New Roman"/>
                <w:kern w:val="24"/>
                <w:sz w:val="21"/>
                <w:szCs w:val="21"/>
                <w:lang w:val="en-US" w:eastAsia="zh-CN"/>
              </w:rPr>
            </w:pPr>
            <w:r>
              <w:rPr>
                <w:rFonts w:hint="eastAsia" w:ascii="Times New Roman" w:hAnsi="Times New Roman" w:eastAsia="宋体" w:cstheme="minorBidi"/>
                <w:color w:val="auto"/>
                <w:kern w:val="24"/>
                <w:sz w:val="21"/>
                <w:szCs w:val="21"/>
                <w:lang w:val="en-US" w:eastAsia="zh-CN" w:bidi="ar-SA"/>
              </w:rPr>
              <w:t>车辆冲洗废水依托现有沉淀池沉淀处理后循环使用，不外排。脱硫废水循环使用，不外排，定期更换回用于生产</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固废治理</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snapToGrid/>
              <w:spacing w:line="240" w:lineRule="auto"/>
              <w:ind w:left="0" w:leftChars="0" w:right="0" w:rightChars="0" w:firstLine="0" w:firstLineChars="0"/>
              <w:jc w:val="left"/>
              <w:textAlignment w:val="center"/>
              <w:rPr>
                <w:rFonts w:hint="eastAsia" w:ascii="Times New Roman" w:hAnsi="Times New Roman" w:eastAsia="宋体" w:cstheme="minorBidi"/>
                <w:color w:val="auto"/>
                <w:kern w:val="24"/>
                <w:sz w:val="21"/>
                <w:szCs w:val="21"/>
                <w:lang w:val="en-US" w:eastAsia="zh-CN" w:bidi="ar-SA"/>
              </w:rPr>
            </w:pPr>
            <w:r>
              <w:rPr>
                <w:rFonts w:hint="eastAsia" w:ascii="Times New Roman" w:hAnsi="Times New Roman" w:eastAsia="宋体" w:cstheme="minorBidi"/>
                <w:color w:val="auto"/>
                <w:kern w:val="24"/>
                <w:sz w:val="21"/>
                <w:szCs w:val="21"/>
                <w:lang w:val="en-US" w:eastAsia="zh-CN" w:bidi="ar-SA"/>
              </w:rPr>
              <w:t>废砖坯、不合格产品、脱硫石膏、破碎筛分沉降尘灰</w:t>
            </w:r>
            <w:r>
              <w:rPr>
                <w:rFonts w:hint="eastAsia" w:ascii="Times New Roman" w:hAnsi="Times New Roman" w:eastAsia="宋体" w:cstheme="minorBidi"/>
                <w:color w:val="auto"/>
                <w:kern w:val="24"/>
                <w:sz w:val="21"/>
                <w:szCs w:val="21"/>
                <w:lang w:val="en-US" w:eastAsia="zh-CN" w:bidi="ar-SA"/>
              </w:rPr>
              <w:tab/>
            </w:r>
            <w:r>
              <w:rPr>
                <w:rFonts w:hint="eastAsia" w:ascii="Times New Roman" w:hAnsi="Times New Roman" w:eastAsia="宋体" w:cstheme="minorBidi"/>
                <w:color w:val="auto"/>
                <w:kern w:val="24"/>
                <w:sz w:val="21"/>
                <w:szCs w:val="21"/>
                <w:lang w:val="en-US" w:eastAsia="zh-CN" w:bidi="ar-SA"/>
              </w:rPr>
              <w:t>回用于生产</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eastAsia="宋体" w:cstheme="minorBidi"/>
                <w:color w:val="auto"/>
                <w:kern w:val="24"/>
                <w:sz w:val="21"/>
                <w:szCs w:val="21"/>
                <w:lang w:val="en-US" w:eastAsia="zh-CN" w:bidi="ar-SA"/>
              </w:rPr>
              <w:t>废砖坯、不合格产品、脱硫石膏、破碎筛分沉降尘灰</w:t>
            </w:r>
            <w:r>
              <w:rPr>
                <w:rFonts w:hint="eastAsia" w:ascii="Times New Roman" w:hAnsi="Times New Roman" w:eastAsia="宋体" w:cstheme="minorBidi"/>
                <w:color w:val="auto"/>
                <w:kern w:val="24"/>
                <w:sz w:val="21"/>
                <w:szCs w:val="21"/>
                <w:lang w:val="en-US" w:eastAsia="zh-CN" w:bidi="ar-SA"/>
              </w:rPr>
              <w:tab/>
            </w:r>
            <w:r>
              <w:rPr>
                <w:rFonts w:hint="eastAsia" w:ascii="Times New Roman" w:hAnsi="Times New Roman" w:eastAsia="宋体" w:cstheme="minorBidi"/>
                <w:color w:val="auto"/>
                <w:kern w:val="24"/>
                <w:sz w:val="21"/>
                <w:szCs w:val="21"/>
                <w:lang w:val="en-US" w:eastAsia="zh-CN" w:bidi="ar-SA"/>
              </w:rPr>
              <w:t>回用于生产</w:t>
            </w:r>
          </w:p>
        </w:tc>
        <w:tc>
          <w:tcPr>
            <w:tcW w:w="58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4</w:t>
            </w:r>
            <w:r>
              <w:rPr>
                <w:rFonts w:hint="eastAsia" w:ascii="Times New Roman" w:hAnsi="Times New Roman" w:eastAsia="宋体" w:cs="Times New Roman"/>
                <w:b w:val="0"/>
                <w:bCs w:val="0"/>
                <w:color w:val="auto"/>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p>
        </w:tc>
        <w:tc>
          <w:tcPr>
            <w:tcW w:w="18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snapToGrid/>
              <w:spacing w:line="240" w:lineRule="auto"/>
              <w:ind w:left="0" w:leftChars="0" w:right="0" w:rightChars="0" w:firstLine="0" w:firstLineChars="0"/>
              <w:jc w:val="left"/>
              <w:textAlignment w:val="center"/>
              <w:rPr>
                <w:rFonts w:hint="eastAsia" w:ascii="Times New Roman" w:hAnsi="Times New Roman" w:eastAsia="宋体" w:cstheme="minorBidi"/>
                <w:color w:val="auto"/>
                <w:kern w:val="24"/>
                <w:sz w:val="21"/>
                <w:szCs w:val="21"/>
                <w:lang w:val="en-US" w:eastAsia="zh-CN" w:bidi="ar-SA"/>
              </w:rPr>
            </w:pPr>
            <w:r>
              <w:rPr>
                <w:rFonts w:hint="default" w:ascii="Times New Roman" w:hAnsi="Times New Roman" w:eastAsia="宋体" w:cstheme="minorBidi"/>
                <w:color w:val="auto"/>
                <w:kern w:val="24"/>
                <w:sz w:val="21"/>
                <w:szCs w:val="21"/>
                <w:lang w:val="en-US" w:eastAsia="zh-CN" w:bidi="ar-SA"/>
              </w:rPr>
              <w:t>满足危险废物贮存污染控制标准GB18597-2023，检查统计表(详细记录台账)及危废转移联单记录，实现厂区危险废物100%交由有资质的单位进行处理</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kern w:val="24"/>
                <w:sz w:val="21"/>
                <w:szCs w:val="21"/>
                <w:lang w:val="en-US" w:eastAsia="zh-CN"/>
              </w:rPr>
            </w:pPr>
            <w:r>
              <w:rPr>
                <w:rFonts w:hint="eastAsia" w:ascii="Times New Roman" w:hAnsi="Times New Roman"/>
                <w:kern w:val="24"/>
                <w:sz w:val="21"/>
                <w:szCs w:val="21"/>
                <w:lang w:val="en-US" w:eastAsia="zh-CN"/>
              </w:rPr>
              <w:t>危险废物经分类收集暂存后交有危废处置资质单位处理</w:t>
            </w:r>
          </w:p>
        </w:tc>
        <w:tc>
          <w:tcPr>
            <w:tcW w:w="582"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生活垃圾</w:t>
            </w:r>
            <w:r>
              <w:rPr>
                <w:rFonts w:hint="eastAsia" w:ascii="Times New Roman" w:hAnsi="Times New Roman" w:eastAsia="宋体"/>
                <w:kern w:val="24"/>
                <w:sz w:val="21"/>
                <w:szCs w:val="21"/>
                <w:lang w:val="en-US" w:eastAsia="zh-CN"/>
              </w:rPr>
              <w:t>、</w:t>
            </w:r>
            <w:r>
              <w:rPr>
                <w:rFonts w:hint="default" w:ascii="Times New Roman" w:hAnsi="Times New Roman" w:eastAsia="宋体"/>
                <w:kern w:val="24"/>
                <w:sz w:val="21"/>
                <w:szCs w:val="21"/>
                <w:lang w:val="en-US" w:eastAsia="zh-CN"/>
              </w:rPr>
              <w:t>含油棉纱</w:t>
            </w:r>
            <w:r>
              <w:rPr>
                <w:rFonts w:hint="eastAsia" w:ascii="Times New Roman" w:hAnsi="Times New Roman" w:eastAsia="宋体"/>
                <w:kern w:val="24"/>
                <w:sz w:val="21"/>
                <w:szCs w:val="21"/>
                <w:lang w:val="en-US" w:eastAsia="zh-CN"/>
              </w:rPr>
              <w:t>、</w:t>
            </w:r>
            <w:r>
              <w:rPr>
                <w:rFonts w:hint="default" w:ascii="Times New Roman" w:hAnsi="Times New Roman" w:eastAsia="宋体"/>
                <w:kern w:val="24"/>
                <w:sz w:val="21"/>
                <w:szCs w:val="21"/>
                <w:lang w:val="en-US" w:eastAsia="zh-CN"/>
              </w:rPr>
              <w:t>手套交环卫部门处理</w:t>
            </w:r>
            <w:r>
              <w:rPr>
                <w:rFonts w:hint="eastAsia" w:ascii="Times New Roman" w:hAnsi="Times New Roman" w:eastAsia="宋体"/>
                <w:kern w:val="24"/>
                <w:sz w:val="21"/>
                <w:szCs w:val="21"/>
                <w:lang w:val="en-US" w:eastAsia="zh-CN"/>
              </w:rPr>
              <w:t>。</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kern w:val="24"/>
                <w:sz w:val="21"/>
                <w:szCs w:val="21"/>
                <w:lang w:val="en-US" w:eastAsia="zh-CN"/>
              </w:rPr>
            </w:pPr>
            <w:r>
              <w:rPr>
                <w:rFonts w:hint="default" w:ascii="Times New Roman" w:hAnsi="Times New Roman"/>
                <w:kern w:val="24"/>
                <w:sz w:val="21"/>
                <w:szCs w:val="21"/>
                <w:lang w:val="en-US" w:eastAsia="zh-CN"/>
              </w:rPr>
              <w:t>生活垃圾</w:t>
            </w:r>
            <w:r>
              <w:rPr>
                <w:rFonts w:hint="eastAsia" w:ascii="Times New Roman" w:hAnsi="Times New Roman"/>
                <w:kern w:val="24"/>
                <w:sz w:val="21"/>
                <w:szCs w:val="21"/>
                <w:lang w:val="en-US" w:eastAsia="zh-CN"/>
              </w:rPr>
              <w:t>、</w:t>
            </w:r>
            <w:r>
              <w:rPr>
                <w:rFonts w:hint="default" w:ascii="Times New Roman" w:hAnsi="Times New Roman"/>
                <w:kern w:val="24"/>
                <w:sz w:val="21"/>
                <w:szCs w:val="21"/>
                <w:lang w:val="en-US" w:eastAsia="zh-CN"/>
              </w:rPr>
              <w:t>含油棉纱</w:t>
            </w:r>
            <w:r>
              <w:rPr>
                <w:rFonts w:hint="eastAsia" w:ascii="Times New Roman" w:hAnsi="Times New Roman"/>
                <w:kern w:val="24"/>
                <w:sz w:val="21"/>
                <w:szCs w:val="21"/>
                <w:lang w:val="en-US" w:eastAsia="zh-CN"/>
              </w:rPr>
              <w:t>、</w:t>
            </w:r>
            <w:r>
              <w:rPr>
                <w:rFonts w:hint="default" w:ascii="Times New Roman" w:hAnsi="Times New Roman"/>
                <w:kern w:val="24"/>
                <w:sz w:val="21"/>
                <w:szCs w:val="21"/>
                <w:lang w:val="en-US" w:eastAsia="zh-CN"/>
              </w:rPr>
              <w:t>手套交环卫部门处理</w:t>
            </w:r>
            <w:r>
              <w:rPr>
                <w:rFonts w:hint="eastAsia" w:ascii="Times New Roman" w:hAnsi="Times New Roman"/>
                <w:kern w:val="24"/>
                <w:sz w:val="21"/>
                <w:szCs w:val="21"/>
                <w:lang w:val="en-US" w:eastAsia="zh-CN"/>
              </w:rPr>
              <w:t>。</w:t>
            </w:r>
          </w:p>
        </w:tc>
        <w:tc>
          <w:tcPr>
            <w:tcW w:w="582"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噪声治理</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选取低噪声设备</w:t>
            </w:r>
            <w:r>
              <w:rPr>
                <w:rFonts w:hint="eastAsia" w:ascii="Times New Roman" w:hAnsi="Times New Roman" w:eastAsia="宋体"/>
                <w:kern w:val="24"/>
                <w:sz w:val="21"/>
                <w:szCs w:val="21"/>
                <w:lang w:val="en-US" w:eastAsia="zh-CN"/>
              </w:rPr>
              <w:t>，</w:t>
            </w:r>
            <w:r>
              <w:rPr>
                <w:rFonts w:hint="default" w:ascii="Times New Roman" w:hAnsi="Times New Roman" w:eastAsia="宋体"/>
                <w:kern w:val="24"/>
                <w:sz w:val="21"/>
                <w:szCs w:val="21"/>
                <w:lang w:val="en-US" w:eastAsia="zh-CN"/>
              </w:rPr>
              <w:t>基础减震</w:t>
            </w:r>
            <w:r>
              <w:rPr>
                <w:rFonts w:hint="eastAsia" w:ascii="Times New Roman" w:hAnsi="Times New Roman" w:eastAsia="宋体"/>
                <w:kern w:val="24"/>
                <w:sz w:val="21"/>
                <w:szCs w:val="21"/>
                <w:lang w:val="en-US" w:eastAsia="zh-CN"/>
              </w:rPr>
              <w:t>、</w:t>
            </w:r>
            <w:r>
              <w:rPr>
                <w:rFonts w:hint="default" w:ascii="Times New Roman" w:hAnsi="Times New Roman" w:eastAsia="宋体"/>
                <w:kern w:val="24"/>
                <w:sz w:val="21"/>
                <w:szCs w:val="21"/>
                <w:lang w:val="en-US" w:eastAsia="zh-CN"/>
              </w:rPr>
              <w:t>隔声</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kern w:val="24"/>
                <w:sz w:val="21"/>
                <w:szCs w:val="21"/>
                <w:lang w:val="en-US" w:eastAsia="zh-CN"/>
              </w:rPr>
            </w:pPr>
            <w:r>
              <w:rPr>
                <w:rFonts w:hint="default" w:ascii="Times New Roman" w:hAnsi="Times New Roman"/>
                <w:kern w:val="24"/>
                <w:sz w:val="21"/>
                <w:szCs w:val="21"/>
                <w:lang w:val="en-US" w:eastAsia="zh-CN"/>
              </w:rPr>
              <w:t>选取低噪声设备</w:t>
            </w:r>
            <w:r>
              <w:rPr>
                <w:rFonts w:hint="eastAsia" w:ascii="Times New Roman" w:hAnsi="Times New Roman"/>
                <w:kern w:val="24"/>
                <w:sz w:val="21"/>
                <w:szCs w:val="21"/>
                <w:lang w:val="en-US" w:eastAsia="zh-CN"/>
              </w:rPr>
              <w:t>，</w:t>
            </w:r>
            <w:r>
              <w:rPr>
                <w:rFonts w:hint="default" w:ascii="Times New Roman" w:hAnsi="Times New Roman"/>
                <w:kern w:val="24"/>
                <w:sz w:val="21"/>
                <w:szCs w:val="21"/>
                <w:lang w:val="en-US" w:eastAsia="zh-CN"/>
              </w:rPr>
              <w:t>基础减震</w:t>
            </w:r>
            <w:r>
              <w:rPr>
                <w:rFonts w:hint="eastAsia" w:ascii="Times New Roman" w:hAnsi="Times New Roman"/>
                <w:kern w:val="24"/>
                <w:sz w:val="21"/>
                <w:szCs w:val="21"/>
                <w:lang w:val="en-US" w:eastAsia="zh-CN"/>
              </w:rPr>
              <w:t>、</w:t>
            </w:r>
            <w:r>
              <w:rPr>
                <w:rFonts w:hint="default" w:ascii="Times New Roman" w:hAnsi="Times New Roman"/>
                <w:kern w:val="24"/>
                <w:sz w:val="21"/>
                <w:szCs w:val="21"/>
                <w:lang w:val="en-US" w:eastAsia="zh-CN"/>
              </w:rPr>
              <w:t>隔声</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rPr>
            </w:pPr>
            <w:r>
              <w:rPr>
                <w:rFonts w:hint="eastAsia" w:cs="Times New Roman"/>
                <w:b w:val="0"/>
                <w:bCs w:val="0"/>
                <w:color w:val="auto"/>
                <w:sz w:val="21"/>
                <w:szCs w:val="21"/>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土壤及地下水污染防治措施</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厂区内进行分区防渗</w:t>
            </w:r>
            <w:r>
              <w:rPr>
                <w:rFonts w:hint="eastAsia" w:ascii="Times New Roman" w:hAnsi="Times New Roman" w:eastAsia="宋体"/>
                <w:kern w:val="24"/>
                <w:sz w:val="21"/>
                <w:szCs w:val="21"/>
                <w:lang w:val="en-US" w:eastAsia="zh-CN"/>
              </w:rPr>
              <w:t>，</w:t>
            </w:r>
            <w:r>
              <w:rPr>
                <w:rFonts w:hint="default" w:ascii="Times New Roman" w:hAnsi="Times New Roman" w:eastAsia="宋体"/>
                <w:kern w:val="24"/>
                <w:sz w:val="21"/>
                <w:szCs w:val="21"/>
                <w:lang w:val="en-US" w:eastAsia="zh-CN"/>
              </w:rPr>
              <w:t>危废暂存间、污泥储存间设置为重点防渗区域，对危废暂存间、污泥储存池采取防腐、防渗等处理措施。污泥储存池外设置相应防腐、防渗的围堰；其他生产区域为一般防渗区域，办公区域为简单防渗区域，进行一般地面硬化</w:t>
            </w:r>
            <w:r>
              <w:rPr>
                <w:rFonts w:hint="eastAsia" w:ascii="Times New Roman" w:hAnsi="Times New Roman" w:eastAsia="宋体"/>
                <w:kern w:val="24"/>
                <w:sz w:val="21"/>
                <w:szCs w:val="21"/>
                <w:lang w:val="en-US" w:eastAsia="zh-CN"/>
              </w:rPr>
              <w:t>。</w:t>
            </w:r>
          </w:p>
        </w:tc>
        <w:tc>
          <w:tcPr>
            <w:tcW w:w="191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kern w:val="24"/>
                <w:sz w:val="21"/>
                <w:szCs w:val="21"/>
                <w:lang w:val="en-US" w:eastAsia="zh-CN"/>
              </w:rPr>
            </w:pPr>
            <w:r>
              <w:rPr>
                <w:rFonts w:hint="default" w:ascii="Times New Roman" w:hAnsi="Times New Roman" w:eastAsia="宋体"/>
                <w:kern w:val="24"/>
                <w:sz w:val="21"/>
                <w:szCs w:val="21"/>
                <w:lang w:val="en-US" w:eastAsia="zh-CN"/>
              </w:rPr>
              <w:t>厂区内进行分区防渗</w:t>
            </w:r>
            <w:r>
              <w:rPr>
                <w:rFonts w:hint="eastAsia" w:ascii="Times New Roman" w:hAnsi="Times New Roman" w:eastAsia="宋体"/>
                <w:kern w:val="24"/>
                <w:sz w:val="21"/>
                <w:szCs w:val="21"/>
                <w:lang w:val="en-US" w:eastAsia="zh-CN"/>
              </w:rPr>
              <w:t>，</w:t>
            </w:r>
            <w:r>
              <w:rPr>
                <w:rFonts w:hint="default" w:ascii="Times New Roman" w:hAnsi="Times New Roman" w:eastAsia="宋体"/>
                <w:kern w:val="24"/>
                <w:sz w:val="21"/>
                <w:szCs w:val="21"/>
                <w:lang w:val="en-US" w:eastAsia="zh-CN"/>
              </w:rPr>
              <w:t>危废暂存间、污泥储存间设置为重点防渗区域，对危废暂存间、污泥储存池采取防腐、防渗等处理措施。污泥储存池外设置相应防腐、防渗的围堰；其他生产区域为一般防渗区域，办公区域为简单防渗区域，进行一般地面硬化</w:t>
            </w:r>
            <w:r>
              <w:rPr>
                <w:rFonts w:hint="eastAsia" w:ascii="Times New Roman" w:hAnsi="Times New Roman" w:eastAsia="宋体"/>
                <w:kern w:val="24"/>
                <w:sz w:val="21"/>
                <w:szCs w:val="21"/>
                <w:lang w:val="en-US" w:eastAsia="zh-CN"/>
              </w:rPr>
              <w:t>。</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417" w:type="pct"/>
            <w:gridSpan w:val="3"/>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jc w:val="center"/>
              <w:rPr>
                <w:rFonts w:hint="eastAsia" w:eastAsia="宋体"/>
                <w:color w:val="auto"/>
                <w:sz w:val="21"/>
                <w:szCs w:val="21"/>
                <w:lang w:eastAsia="zh-CN"/>
              </w:rPr>
            </w:pPr>
            <w:r>
              <w:rPr>
                <w:rFonts w:hint="eastAsia"/>
                <w:color w:val="auto"/>
                <w:sz w:val="21"/>
                <w:szCs w:val="21"/>
                <w:lang w:eastAsia="zh-CN"/>
              </w:rPr>
              <w:t>合计</w:t>
            </w:r>
          </w:p>
        </w:tc>
        <w:tc>
          <w:tcPr>
            <w:tcW w:w="582" w:type="pct"/>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40.0</w:t>
            </w:r>
          </w:p>
        </w:tc>
      </w:tr>
    </w:tbl>
    <w:p>
      <w:pPr>
        <w:ind w:firstLine="480" w:firstLineChars="200"/>
        <w:rPr>
          <w:rFonts w:hint="eastAsia" w:eastAsia="宋体"/>
          <w:lang w:eastAsia="zh-CN"/>
        </w:rPr>
      </w:pPr>
      <w:r>
        <w:t>根据企业自查后提供的相关资料和报告编制人员的现场踏勘，结合项目环评、环评批复文件、环保设计材料等要求，该项目的建设内容、环保设施及措施的建设与环评及批复无重大变</w:t>
      </w:r>
      <w:r>
        <w:rPr>
          <w:rFonts w:hint="eastAsia"/>
        </w:rPr>
        <w:t>动</w:t>
      </w:r>
      <w:r>
        <w:rPr>
          <w:rFonts w:hint="eastAsia"/>
          <w:lang w:eastAsia="zh-CN"/>
        </w:rPr>
        <w:t>。</w:t>
      </w:r>
    </w:p>
    <w:p>
      <w:pPr>
        <w:sectPr>
          <w:pgSz w:w="11905" w:h="16838"/>
          <w:pgMar w:top="1083" w:right="1440" w:bottom="1083" w:left="1440" w:header="737" w:footer="510" w:gutter="0"/>
          <w:pgBorders>
            <w:top w:val="none" w:sz="0" w:space="0"/>
            <w:left w:val="none" w:sz="0" w:space="0"/>
            <w:bottom w:val="none" w:sz="0" w:space="0"/>
            <w:right w:val="none" w:sz="0" w:space="0"/>
          </w:pgBorders>
          <w:cols w:space="0" w:num="1"/>
          <w:docGrid w:type="lines" w:linePitch="322" w:charSpace="0"/>
        </w:sectPr>
      </w:pPr>
      <w:r>
        <w:br w:type="page"/>
      </w:r>
    </w:p>
    <w:p>
      <w:pPr>
        <w:pStyle w:val="2"/>
      </w:pPr>
      <w:bookmarkStart w:id="54" w:name="_Toc6490"/>
      <w:bookmarkStart w:id="55" w:name="_Toc497833596"/>
      <w:r>
        <w:t>5 建设项目环评报告书的主要结论与建议及审批部门决定</w:t>
      </w:r>
      <w:bookmarkEnd w:id="54"/>
      <w:bookmarkEnd w:id="55"/>
    </w:p>
    <w:p>
      <w:pPr>
        <w:pStyle w:val="3"/>
      </w:pPr>
      <w:bookmarkStart w:id="56" w:name="_Toc240167715"/>
      <w:bookmarkStart w:id="57" w:name="_Toc408406364"/>
      <w:bookmarkStart w:id="58" w:name="_Toc427855253"/>
      <w:bookmarkStart w:id="59" w:name="_Toc427855152"/>
      <w:bookmarkStart w:id="60" w:name="_Toc239752863"/>
      <w:bookmarkStart w:id="61" w:name="_Toc240167870"/>
      <w:bookmarkStart w:id="62" w:name="_Toc402788538"/>
      <w:bookmarkStart w:id="63" w:name="_Toc3752"/>
      <w:bookmarkStart w:id="64" w:name="_Toc497833597"/>
      <w:r>
        <w:t>5.1 建设项目环评报告书</w:t>
      </w:r>
      <w:r>
        <w:rPr>
          <w:rFonts w:hint="eastAsia"/>
          <w:lang w:eastAsia="zh-CN"/>
        </w:rPr>
        <w:t>（表）</w:t>
      </w:r>
      <w:r>
        <w:t>的主要结论</w:t>
      </w:r>
      <w:bookmarkEnd w:id="56"/>
      <w:bookmarkEnd w:id="57"/>
      <w:bookmarkEnd w:id="58"/>
      <w:bookmarkEnd w:id="59"/>
      <w:bookmarkEnd w:id="60"/>
      <w:bookmarkEnd w:id="61"/>
      <w:bookmarkEnd w:id="62"/>
      <w:r>
        <w:t>与建议</w:t>
      </w:r>
      <w:bookmarkEnd w:id="63"/>
      <w:bookmarkEnd w:id="64"/>
    </w:p>
    <w:p>
      <w:pPr>
        <w:pStyle w:val="4"/>
      </w:pPr>
      <w:bookmarkStart w:id="65" w:name="_Toc497833598"/>
      <w:bookmarkStart w:id="66" w:name="_Toc427855153"/>
      <w:bookmarkStart w:id="67" w:name="_Toc427855254"/>
      <w:r>
        <w:t>5.1.1 项目概况</w:t>
      </w:r>
    </w:p>
    <w:p>
      <w:pPr>
        <w:ind w:firstLine="480" w:firstLineChars="200"/>
        <w:rPr>
          <w:rFonts w:hint="eastAsia" w:ascii="Times New Roman" w:hAnsi="Times New Roman" w:eastAsia="宋体" w:cs="Times New Roman"/>
          <w:bCs/>
          <w:color w:val="auto"/>
          <w:sz w:val="24"/>
          <w:lang w:val="en-US" w:eastAsia="zh-CN"/>
        </w:rPr>
      </w:pPr>
      <w:r>
        <w:rPr>
          <w:rFonts w:hint="eastAsia"/>
          <w:lang w:eastAsia="zh-CN"/>
        </w:rPr>
        <w:t>巫溪县华安墙材有限公司位于巫溪县上磺镇上磺村一社，主要进行页岩空心砖生产。本项目在保持砖厂生产工艺和生产规模不变的前提下，依托砖厂现有年产3500万匹标砖生产线，有效解决全县污水处理厂污泥处置难题，缓解污泥环境风险，拟在现有页岩砖生产线上增加生活污泥给料入口，利用生活污泥代替部分页岩作为原料生产页岩空心砖。项目总投资1300万元，其中环保投资35万元，环保投资占总投资的2.69%</w:t>
      </w:r>
      <w:r>
        <w:rPr>
          <w:rFonts w:hint="eastAsia" w:ascii="Times New Roman" w:hAnsi="Times New Roman" w:cs="Times New Roman"/>
          <w:bCs/>
          <w:color w:val="auto"/>
          <w:sz w:val="24"/>
        </w:rPr>
        <w:t>。</w:t>
      </w:r>
    </w:p>
    <w:p>
      <w:pPr>
        <w:pStyle w:val="4"/>
      </w:pPr>
      <w:r>
        <w:t>5.1.2 产业政策及选址符合性</w:t>
      </w:r>
    </w:p>
    <w:p>
      <w:pPr>
        <w:snapToGrid w:val="0"/>
        <w:spacing w:line="355" w:lineRule="auto"/>
        <w:ind w:firstLine="480" w:firstLineChars="200"/>
      </w:pPr>
      <w:r>
        <w:t>（1）产业政策</w:t>
      </w:r>
    </w:p>
    <w:p>
      <w:pPr>
        <w:pStyle w:val="80"/>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为N7723固体废物治理，利用原有砖厂协同处置城镇生活污泥，不改变生产设备、工艺，不新增砖厂产能。根据《产业结构调整指导目录（2019年本）（2021年修正）》，本项目属于鼓励类“四十三、环境保护与资源节约综合利用 20、城镇垃圾、农村生活垃圾、农村生活污水、污泥及其他固体废弃物减量化、资源化、无害化处理和综合利用工程”。</w:t>
      </w:r>
    </w:p>
    <w:p>
      <w:pPr>
        <w:pStyle w:val="80"/>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重庆市巫溪县经济和信息委员会以颁发《重庆市企业投资项目备案证》（项目备案编码：2308-500238-07-02-116316）（附件1）的形式同意该项目备案建设。根据《重庆市企业投资项目备案证》，本项目的产能为3500万块页岩砖。本项目利用原有砖厂协同处置城镇生活污泥，不改变生产设备、工艺，不新增砖厂产能。</w:t>
      </w:r>
    </w:p>
    <w:p>
      <w:pPr>
        <w:pStyle w:val="80"/>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原有砖厂产能为3500万块页岩砖，根据《产业结构调整指导目录（2019年）》：“6000万标砖/年（不含）以下的烧结砖及烧结空心砌块生产线”属于限制类项目。</w:t>
      </w:r>
    </w:p>
    <w:p>
      <w:pPr>
        <w:pStyle w:val="80"/>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根据《工业和信息化部 环境保护部 国家安全监管总局关于加快烧结砖瓦行业转型发展的若干意见》（工信部联原〔2017〕279号）要求：认真落实《产业结构调整指导目录》和《关于利用综合标准依法依规推动落后产能退出的指导意见》（工信部联产业〔2017〕30号），鼓励利用工业固废、矿物尾渣、淤泥、污泥、农林废弃物等替代一次原燃料，支持利用建筑垃圾生产砖瓦制品，进一步扩大资源综合利用范围，提高原燃料中固废掺配比例，减少对天然资源的消耗。加大力度研发利用砖瓦烧结窑炉协同处置河湖淤泥、建筑废弃土、建筑渣土及其他废弃物的成套技术，探索利用大型烧结砖隧道窑安全处置城市污泥，提高综合处置能力和利用效率。</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的建设能更好的解决巫溪县市政污泥减量化、资源化以及无害化的处置难题，缓解巫溪县一般工业固废资源化利用问题，提高巫溪县市政污泥处置规模。建设单位积极响应政府号召，接纳巫溪县生活污水处理厂产生的污泥，代替部分页岩作为原材料，用于烧结机砖，建成后生产规模为年产3500万块页岩砖。本项目已取得巫溪县住房和城乡建设委员会《关于页岩砖加工技改项目协同处置城镇生活污泥的请示》（附件14），同意本项目的建设。</w:t>
      </w:r>
    </w:p>
    <w:p>
      <w:pPr>
        <w:pStyle w:val="80"/>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依托华安墙材原有砖厂隧道窑生产线生产空心砖，污染物能够达标排放，不属于依法淘汰落后工艺、装备和产品，依托可行。本项目本身属于一般固体废物资源化综合利用处置，属于“工信部联原〔2017〕279号”文鼓励发展方向。</w:t>
      </w:r>
    </w:p>
    <w:p>
      <w:pPr>
        <w:pStyle w:val="80"/>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综上所述，本项目的建设符合国家和重庆市的产业政策要求</w:t>
      </w:r>
      <w:r>
        <w:rPr>
          <w:color w:val="000000" w:themeColor="text1"/>
          <w14:textFill>
            <w14:solidFill>
              <w14:schemeClr w14:val="tx1"/>
            </w14:solidFill>
          </w14:textFill>
        </w:rPr>
        <w:t>。</w:t>
      </w:r>
    </w:p>
    <w:p>
      <w:pPr>
        <w:snapToGrid w:val="0"/>
        <w:spacing w:line="355" w:lineRule="auto"/>
        <w:ind w:firstLine="480" w:firstLineChars="200"/>
        <w:rPr>
          <w:kern w:val="0"/>
        </w:rPr>
      </w:pPr>
      <w:r>
        <w:t>（2）项目</w:t>
      </w:r>
      <w:r>
        <w:rPr>
          <w:bCs/>
        </w:rPr>
        <w:t>选址合理性分析</w:t>
      </w:r>
    </w:p>
    <w:p>
      <w:pPr>
        <w:snapToGrid w:val="0"/>
        <w:spacing w:line="355" w:lineRule="auto"/>
        <w:ind w:firstLine="480" w:firstLineChars="200"/>
      </w:pPr>
      <w:r>
        <w:rPr>
          <w:rFonts w:hint="eastAsia"/>
          <w:color w:val="000000" w:themeColor="text1"/>
          <w14:textFill>
            <w14:solidFill>
              <w14:schemeClr w14:val="tx1"/>
            </w14:solidFill>
          </w14:textFill>
        </w:rPr>
        <w:t>原项目（即巫溪县华安墙材有限公司巫溪县空心砖生产线项目，以下简称“原项目”）已取得巫溪县生态环境局（原巫溪县环境保护局）出具的《重庆市建设项目环境影响评价文件批准书》（渝（巫溪）环准[2011]58号）（见附件3）以及《重庆市建设项目竣工环境保护验收批复》（渝（溪）环验[2012]08号）（见附件4），且已取得最新排污许可证（编号为91500238563485582G001V）（附件6），项目土地性质为建设用地中的工矿用地，符合巫溪县土地利用规划，项目与巫溪县土地利用规划位置图详见附图8，现有砖厂属于合法保留的砖厂，本项目不新增占地。本项目的建设符合《重庆市人民政府办公厅关于印发加强重点区域烧结砖瓦企业大气污染整治深化蓝天行动工作方案的通知》（渝府办〔2017〕20号）要求</w:t>
      </w:r>
      <w:r>
        <w:rPr>
          <w:rFonts w:hint="eastAsia"/>
          <w:bCs/>
        </w:rPr>
        <w:t>。</w:t>
      </w:r>
    </w:p>
    <w:p>
      <w:pPr>
        <w:pStyle w:val="4"/>
      </w:pPr>
      <w:r>
        <w:t>5.1.</w:t>
      </w:r>
      <w:r>
        <w:rPr>
          <w:rFonts w:hint="eastAsia"/>
        </w:rPr>
        <w:t>3</w:t>
      </w:r>
      <w:r>
        <w:t xml:space="preserve"> 工程所在地环境功能区划、环境质量现状</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eastAsia="zh-CN"/>
        </w:rPr>
        <w:t>（</w:t>
      </w:r>
      <w:r>
        <w:rPr>
          <w:rFonts w:hint="eastAsia"/>
          <w:color w:val="auto"/>
          <w:sz w:val="24"/>
          <w:lang w:val="en-US" w:eastAsia="zh-CN"/>
        </w:rPr>
        <w:t>1）</w:t>
      </w:r>
      <w:r>
        <w:rPr>
          <w:color w:val="000000" w:themeColor="text1"/>
          <w14:textFill>
            <w14:solidFill>
              <w14:schemeClr w14:val="tx1"/>
            </w14:solidFill>
          </w14:textFill>
        </w:rPr>
        <w:t>环境空气质量现状监测与评价</w:t>
      </w:r>
    </w:p>
    <w:p>
      <w:pPr>
        <w:pStyle w:val="80"/>
        <w:keepNext w:val="0"/>
        <w:keepLines w:val="0"/>
        <w:pageBreakBefore w:val="0"/>
        <w:widowControl/>
        <w:kinsoku/>
        <w:wordWrap w:val="0"/>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位于重庆市巫溪县上磺镇上磺村一社，根据《重庆市环境空气质量功能区划分规定的通知》（渝府发[2016]19号），本项目所在地环境空气功能区划为二类区，环境空气质量执行《环境空气质量标准》（GB3095－2012）中二级标准。</w:t>
      </w:r>
    </w:p>
    <w:p>
      <w:pPr>
        <w:pStyle w:val="80"/>
        <w:bidi w:val="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根据重庆市生态环境局发布的《2022年重庆市生态环境状况公报》，基本污染物年评价质量浓度满足环境空气质量标准，区域城市环境空气质量达标，本项目位于达标区。 本项目评价范围内的TSP和氟化物现状监测浓度均满足《环境空气质量标准》（GB3095-2012）二级标准标准限值</w:t>
      </w:r>
      <w:r>
        <w:rPr>
          <w:rFonts w:hint="eastAsia"/>
          <w:color w:val="000000" w:themeColor="text1"/>
          <w:lang w:eastAsia="zh-CN"/>
          <w14:textFill>
            <w14:solidFill>
              <w14:schemeClr w14:val="tx1"/>
            </w14:solidFill>
          </w14:textFill>
        </w:rPr>
        <w:t>。</w:t>
      </w:r>
    </w:p>
    <w:p>
      <w:pPr>
        <w:numPr>
          <w:ilvl w:val="0"/>
          <w:numId w:val="6"/>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地表水环境质量现状监测与评价</w:t>
      </w:r>
    </w:p>
    <w:p>
      <w:pPr>
        <w:spacing w:line="360" w:lineRule="auto"/>
        <w:ind w:firstLine="480" w:firstLineChars="200"/>
        <w:rPr>
          <w:rFonts w:hint="eastAsia" w:cs="Times New Roman"/>
          <w:bCs/>
          <w:color w:val="auto"/>
          <w:sz w:val="24"/>
          <w:szCs w:val="24"/>
          <w:lang w:val="en-US" w:eastAsia="zh-CN"/>
        </w:rPr>
      </w:pPr>
      <w:r>
        <w:rPr>
          <w:rFonts w:hint="eastAsia" w:cs="Times New Roman"/>
          <w:bCs/>
          <w:color w:val="auto"/>
          <w:sz w:val="24"/>
          <w:szCs w:val="24"/>
          <w:lang w:val="en-US" w:eastAsia="zh-CN"/>
        </w:rPr>
        <w:t>项目属于长溪河流域，长溪河位于项目南侧约600m处。根据《重庆市人民政府批转重庆市地表水环境功能类别调整方案的通知》（渝府发〔2012〕4 号文）及《重庆市人民政府关于批转重庆市地表水环境功能类别局部调整方案的通知》（渝府〔2016〕43号），长溪河为Ⅱ类水域，执行《地表水环境质量标准》（GB3838-2002）Ⅱ类标准。</w:t>
      </w:r>
    </w:p>
    <w:p>
      <w:pPr>
        <w:spacing w:line="360" w:lineRule="auto"/>
        <w:ind w:firstLine="480" w:firstLineChars="200"/>
        <w:rPr>
          <w:rFonts w:hint="eastAsia" w:cs="Times New Roman"/>
          <w:bCs/>
          <w:color w:val="auto"/>
          <w:sz w:val="24"/>
          <w:szCs w:val="24"/>
          <w:lang w:val="en-US" w:eastAsia="zh-CN"/>
        </w:rPr>
      </w:pPr>
      <w:r>
        <w:rPr>
          <w:rFonts w:hint="eastAsia" w:cs="Times New Roman"/>
          <w:bCs/>
          <w:color w:val="auto"/>
          <w:sz w:val="24"/>
          <w:szCs w:val="24"/>
          <w:lang w:val="en-US" w:eastAsia="zh-CN"/>
        </w:rPr>
        <w:t>根据重庆市巫溪县生态环境局发布的《2023年8月和1—8月巫溪县环境质量简报》，2023年8月，全县地表水总体水质为优。1个国控考核断面（大宁河花台）为II类水质，达到Ⅱ类水质考核标准；4个市控考核断面（汤溪河沙市镇、梅溪河向子村、长溪河双河、巴岩子河西槽）为Ⅱ类及以上水质，其中长溪河双河断面为I类水质，优于Ⅱ类水质考核标准。13个水环境功能区水质达标率均为100%。由此，长溪河2023年8月现状水质可满足相应水域功能的要求。项目所在区域地表水环境质量现状总体良好，有一定环境容量。</w:t>
      </w:r>
    </w:p>
    <w:p>
      <w:pPr>
        <w:numPr>
          <w:ilvl w:val="0"/>
          <w:numId w:val="6"/>
        </w:numPr>
        <w:spacing w:line="360" w:lineRule="auto"/>
        <w:ind w:firstLine="480" w:firstLineChars="20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声环境质量现状</w:t>
      </w:r>
    </w:p>
    <w:p>
      <w:pPr>
        <w:pStyle w:val="8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各监测点的昼、夜噪声均能满足《声环境质量标准》（GB3096-2008）中2类标准要求，项目所在区域声环境质量较好。</w:t>
      </w:r>
    </w:p>
    <w:p>
      <w:pPr>
        <w:numPr>
          <w:ilvl w:val="0"/>
          <w:numId w:val="6"/>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生态环境</w:t>
      </w:r>
    </w:p>
    <w:p>
      <w:pPr>
        <w:pStyle w:val="8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本项目利用现有砖厂用地，不新增占地，且用地范围内不含有生态环境保护目标，无需进行生态现状调查。</w:t>
      </w:r>
    </w:p>
    <w:p>
      <w:pPr>
        <w:numPr>
          <w:ilvl w:val="0"/>
          <w:numId w:val="6"/>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电磁辐射</w:t>
      </w:r>
    </w:p>
    <w:p>
      <w:pPr>
        <w:pStyle w:val="80"/>
        <w:ind w:firstLine="480"/>
        <w:rPr>
          <w:rFonts w:eastAsia="仿宋"/>
          <w:color w:val="000000" w:themeColor="text1"/>
          <w14:textFill>
            <w14:solidFill>
              <w14:schemeClr w14:val="tx1"/>
            </w14:solidFill>
          </w14:textFill>
        </w:rPr>
      </w:pPr>
      <w:r>
        <w:rPr>
          <w:rFonts w:hint="eastAsia"/>
          <w:color w:val="000000" w:themeColor="text1"/>
          <w14:textFill>
            <w14:solidFill>
              <w14:schemeClr w14:val="tx1"/>
            </w14:solidFill>
          </w14:textFill>
        </w:rPr>
        <w:t>项目不属于新建或改建、扩建广播电台、差转台、电视塔台、卫星地球上行站、雷达等电磁辐射类项目，无需对电磁辐射现状开展监测与评价</w:t>
      </w:r>
      <w:r>
        <w:rPr>
          <w:color w:val="000000" w:themeColor="text1"/>
          <w14:textFill>
            <w14:solidFill>
              <w14:schemeClr w14:val="tx1"/>
            </w14:solidFill>
          </w14:textFill>
        </w:rPr>
        <w:t>。</w:t>
      </w:r>
    </w:p>
    <w:p>
      <w:pPr>
        <w:numPr>
          <w:ilvl w:val="0"/>
          <w:numId w:val="6"/>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地下水</w:t>
      </w:r>
      <w:r>
        <w:rPr>
          <w:rFonts w:hint="eastAsia"/>
          <w:color w:val="000000" w:themeColor="text1"/>
          <w14:textFill>
            <w14:solidFill>
              <w14:schemeClr w14:val="tx1"/>
            </w14:solidFill>
          </w14:textFill>
        </w:rPr>
        <w:t>、土壤环境</w:t>
      </w:r>
    </w:p>
    <w:p>
      <w:pPr>
        <w:pStyle w:val="80"/>
        <w:ind w:firstLine="480"/>
        <w:rPr>
          <w:rFonts w:hint="eastAsia"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根据《建设项目环境影响报告表编制技术指南（污染影响类）（试行）》，不开展地下水、土壤环境质量现状调查</w:t>
      </w:r>
      <w:r>
        <w:rPr>
          <w:rFonts w:hint="eastAsia" w:ascii="Times New Roman" w:hAnsi="Times New Roman" w:eastAsia="宋体" w:cs="Times New Roman"/>
          <w:color w:val="000000" w:themeColor="text1"/>
          <w:kern w:val="2"/>
          <w:sz w:val="24"/>
          <w:szCs w:val="24"/>
          <w:lang w:val="en-GB" w:eastAsia="zh-CN" w:bidi="ar-SA"/>
          <w14:textFill>
            <w14:solidFill>
              <w14:schemeClr w14:val="tx1"/>
            </w14:solidFill>
          </w14:textFill>
        </w:rPr>
        <w:t>。</w:t>
      </w:r>
    </w:p>
    <w:p>
      <w:pPr>
        <w:pStyle w:val="4"/>
        <w:rPr>
          <w:rFonts w:hint="eastAsia"/>
        </w:rPr>
      </w:pPr>
      <w:r>
        <w:rPr>
          <w:rFonts w:hint="eastAsia"/>
          <w:lang w:eastAsia="zh-CN"/>
        </w:rPr>
        <w:t>5.1.</w:t>
      </w:r>
      <w:r>
        <w:rPr>
          <w:rFonts w:hint="eastAsia"/>
          <w:lang w:val="en-US" w:eastAsia="zh-CN"/>
        </w:rPr>
        <w:t>4</w:t>
      </w:r>
      <w:r>
        <w:rPr>
          <w:rFonts w:hint="eastAsia"/>
          <w:lang w:eastAsia="zh-CN"/>
        </w:rPr>
        <w:t xml:space="preserve"> </w:t>
      </w:r>
      <w:r>
        <w:t xml:space="preserve"> </w:t>
      </w:r>
      <w:r>
        <w:rPr>
          <w:rFonts w:hint="eastAsia"/>
        </w:rPr>
        <w:t>环境影响及污染防治措施</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eastAsia="zh-CN"/>
        </w:rPr>
        <w:t>（</w:t>
      </w:r>
      <w:r>
        <w:rPr>
          <w:rFonts w:hint="eastAsia"/>
          <w:lang w:val="en-US" w:eastAsia="zh-CN"/>
        </w:rPr>
        <w:t>1）大气污染物环境影响和保护措施</w:t>
      </w:r>
    </w:p>
    <w:p>
      <w:pPr>
        <w:pStyle w:val="80"/>
        <w:bidi w:val="0"/>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生产线隧道窑干燥、烧制废气经喷淋除臭装置后，依托现有脱硫除尘塔（双碱法）处理达标后，通过15m高排气筒排放。在给料阶段增加喷雾装置，破碎、筛分工序采用全密闭厂房，经布袋除尘器收集后，经15m高排气筒排放</w:t>
      </w:r>
      <w:r>
        <w:rPr>
          <w:rFonts w:hint="default"/>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在污泥暂存池表面喷洒除臭剂+现场喷洒天然植物提取液</w:t>
      </w:r>
      <w:r>
        <w:rPr>
          <w:rFonts w:hint="default"/>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食堂油烟经集气罩收集后通过油烟净化器处理后引至楼顶排放</w:t>
      </w:r>
      <w:r>
        <w:rPr>
          <w:rFonts w:hint="default"/>
          <w:color w:val="000000" w:themeColor="text1"/>
          <w:lang w:eastAsia="zh-CN"/>
          <w14:textFill>
            <w14:solidFill>
              <w14:schemeClr w14:val="tx1"/>
            </w14:solidFill>
          </w14:textFill>
        </w:rPr>
        <w:t>。</w:t>
      </w:r>
    </w:p>
    <w:p>
      <w:pPr>
        <w:pStyle w:val="8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取外围建设不低于堆放高度的密闭围墙、防风抑尘网等措施，场内配备喷雾、覆盖和围挡等防风抑尘措施，种植树木绿化等措施抑尘。通过路面硬化，密闭运输，采用专用车辆运输，定期洒水，定期清洁，车辆进出厂对轮胎等进行冲洗，厂区绿化等措施降尘防尘。</w:t>
      </w:r>
    </w:p>
    <w:p>
      <w:pPr>
        <w:pStyle w:val="8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因此，拟建项目废气对周围大气环境质量影响较小，环境可以接受。</w:t>
      </w:r>
    </w:p>
    <w:p>
      <w:pPr>
        <w:pStyle w:val="8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（2）水污染物环境影响和保护措施</w:t>
      </w:r>
    </w:p>
    <w:p>
      <w:pPr>
        <w:pStyle w:val="8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废水经食堂隔油池沉淀后，与生活污水一起通过化粪池收集后用作农肥，不排放。项目采区及破碎抑尘用水蒸发损耗不外排；车辆冲洗废水依托现有沉淀池沉淀处理后循环使用，不外排。脱硫废水循环使用，不外排，定期更换回用于生产。</w:t>
      </w:r>
    </w:p>
    <w:p>
      <w:pPr>
        <w:pStyle w:val="80"/>
        <w:bidi w:val="0"/>
        <w:rPr>
          <w:rFonts w:hint="default"/>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综上，项目废水均不外排，对外环境影响小</w:t>
      </w:r>
      <w:r>
        <w:rPr>
          <w:rFonts w:hint="default"/>
          <w:color w:val="000000" w:themeColor="text1"/>
          <w:lang w:val="zh-CN" w:eastAsia="zh-CN"/>
          <w14:textFill>
            <w14:solidFill>
              <w14:schemeClr w14:val="tx1"/>
            </w14:solidFill>
          </w14:textFill>
        </w:rPr>
        <w:t>。</w:t>
      </w:r>
    </w:p>
    <w:p>
      <w:pPr>
        <w:pStyle w:val="80"/>
        <w:bidi w:val="0"/>
        <w:rPr>
          <w:rFonts w:hint="default"/>
          <w:color w:val="000000" w:themeColor="text1"/>
          <w:lang w:val="en-US" w:eastAsia="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3）噪声环境影响和保护措施</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eastAsia"/>
          <w:color w:val="000000" w:themeColor="text1"/>
          <w:lang w:val="en-US" w:eastAsia="zh-CN"/>
          <w14:textFill>
            <w14:solidFill>
              <w14:schemeClr w14:val="tx1"/>
            </w14:solidFill>
          </w14:textFill>
        </w:rPr>
      </w:pPr>
      <w:r>
        <w:rPr>
          <w:rFonts w:hint="default"/>
          <w:color w:val="000000" w:themeColor="text1"/>
          <w:lang w:val="zh-CN" w:eastAsia="zh-CN"/>
          <w14:textFill>
            <w14:solidFill>
              <w14:schemeClr w14:val="tx1"/>
            </w14:solidFill>
          </w14:textFill>
        </w:rPr>
        <w:t>本次项目依托砖厂现有的生产设施设备，生活污泥通过密闭输送机加入，固定噪声源主要为污泥密闭输送机设备运行过程产生的噪声，采用选用低噪声设备、减振、建筑隔声等措施进行降噪</w:t>
      </w:r>
      <w:r>
        <w:rPr>
          <w:rFonts w:hint="eastAsia"/>
          <w:color w:val="000000" w:themeColor="text1"/>
          <w:lang w:val="en-US" w:eastAsia="zh-CN"/>
          <w14:textFill>
            <w14:solidFill>
              <w14:schemeClr w14:val="tx1"/>
            </w14:solidFill>
          </w14:textFill>
        </w:rPr>
        <w:t>。本项目建成后，厂界噪声最大值为46.28dB(A)，位于南厂界.昼间、夜间各厂界影响值均满足《工业企业厂界环境噪声排放标准》2类标准要求，同时，项目周边声环境敏感目标分布较远，因此不会造成噪声扰民现象，但建设单位仍应引起重视，合理布置高噪声设备，进一步完善降噪措施，降低噪声对环境的影响。</w:t>
      </w:r>
    </w:p>
    <w:p>
      <w:pPr>
        <w:pStyle w:val="80"/>
        <w:bidi w:val="0"/>
        <w:ind w:left="240" w:leftChars="100" w:firstLine="240" w:firstLineChars="1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固体废物环境影响和保护措施</w:t>
      </w:r>
    </w:p>
    <w:p>
      <w:pPr>
        <w:pStyle w:val="80"/>
        <w:bidi w:val="0"/>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一般固废</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①废砖坯：根据建设单位提供资料，废砖坯产生量约为3793t/a（一般固体废物，废物代码303-999-46），定期清理后回用于生产制砖。</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②不合格产品：产生量约为87.5t/a（一般固体废物，废物代码303-999-46），定期清理后回用于生产制砖。</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③破碎筛分沉降尘灰：产生量约为3.11t/a（一般固体废物，废物代码303-999-46），定期清理后回用于生产制砖。</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④脱硫石膏：除尘脱硫塔SO2去除量约为18.2t/a（一般固体废物，废物代码SW06废气脱硫的湿式石灰石/石膏法工艺中，吸收剂与烟气中SO2等反应后生成的副产物），则会产生脱硫石膏36.4t/a，定期清理后外售综合利用。</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危险废物</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①含油废棉纱（HW49）</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含油废棉纱年产生量约为0.01t/a，根据《国家危险废物名录》（2021年版）中规定，含油废棉纱属于危险废物，编号为900-041-49，经收集后统一暂存于危废暂存间，定期交由危险废物资质单位处置。</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②废机油</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机械设备检修保养过程中产生的废机油（HW08），代码为900-214-08，项目产生的废机油量约0.02t/a。暂存于危废间，并定期委托有资质单位定期处理。</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③废油桶</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机械设备检修保养过程中产生的废油桶（HW08），代码为900-041-49，项目产生的废油桶约0.02t/a。暂存于危废间，并定期委托有资质单位定期处理。</w:t>
      </w:r>
    </w:p>
    <w:p>
      <w:pPr>
        <w:pStyle w:val="80"/>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少量生活垃圾：产生量约为4.29t/a，委托环卫部门及时清运、处置。</w:t>
      </w:r>
    </w:p>
    <w:p>
      <w:pPr>
        <w:pStyle w:val="80"/>
        <w:bidi w:val="0"/>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t>地下水及土壤环境</w:t>
      </w:r>
    </w:p>
    <w:p>
      <w:pPr>
        <w:pStyle w:val="80"/>
        <w:bidi w:val="0"/>
        <w:rPr>
          <w:rFonts w:hint="eastAsia"/>
          <w:lang w:val="en-US" w:eastAsia="zh-CN"/>
        </w:rPr>
      </w:pPr>
      <w:r>
        <w:rPr>
          <w:rFonts w:hint="eastAsia"/>
        </w:rPr>
        <w:t>本项目所处置的污泥含水率约60~80%，进场后在存池进行堆存，其堆放区按要求设置防雨、防腐及防渗漏等处理，按照《一般工业固体废物贮存和填埋污染物控制标准》（GB18599-2020）中II类场技术要求进行设计，能够有效防止堆存过程产生的渗滤液泄漏</w:t>
      </w:r>
      <w:r>
        <w:rPr>
          <w:rFonts w:hint="eastAsia"/>
          <w:lang w:val="en-US" w:eastAsia="zh-CN"/>
        </w:rPr>
        <w:t>。根据工程分析，本项目正常情况下不会对土壤及地下水造成影响。</w:t>
      </w:r>
    </w:p>
    <w:p>
      <w:pPr>
        <w:pStyle w:val="80"/>
        <w:bidi w:val="0"/>
        <w:rPr>
          <w:rFonts w:hint="eastAsia"/>
          <w:lang w:val="en-US" w:eastAsia="zh-CN"/>
        </w:rPr>
      </w:pPr>
      <w:r>
        <w:rPr>
          <w:rFonts w:hint="eastAsia"/>
          <w:lang w:val="en-US" w:eastAsia="zh-CN"/>
        </w:rPr>
        <w:t>本项的危废暂存间和油类库房等区域已采取防腐、防渗措施，区域周边设置截流沟和收集池，已经根据相关规范严格落实了各项防渗措施，已达到重点防渗区：等效黏土防渗层Mb≥6m，K≤1×10</w:t>
      </w:r>
      <w:r>
        <w:rPr>
          <w:rFonts w:hint="eastAsia"/>
          <w:vertAlign w:val="superscript"/>
          <w:lang w:val="en-US" w:eastAsia="zh-CN"/>
        </w:rPr>
        <w:t>-7</w:t>
      </w:r>
      <w:r>
        <w:rPr>
          <w:rFonts w:hint="eastAsia"/>
          <w:lang w:val="en-US" w:eastAsia="zh-CN"/>
        </w:rPr>
        <w:t>cm/s防渗技术要求。</w:t>
      </w:r>
    </w:p>
    <w:p>
      <w:pPr>
        <w:pStyle w:val="80"/>
        <w:bidi w:val="0"/>
        <w:rPr>
          <w:rFonts w:hint="eastAsia"/>
          <w:lang w:val="en-US" w:eastAsia="zh-CN"/>
        </w:rPr>
      </w:pPr>
      <w:r>
        <w:rPr>
          <w:rFonts w:hint="eastAsia"/>
          <w:lang w:val="en-US" w:eastAsia="zh-CN"/>
        </w:rPr>
        <w:t>润滑油存放于托盘内，托盘有效容积大于存储油桶容积，正常情况下不会出现润滑油泄漏至外地面，在完善防渗措施后项目物料泄漏不会土壤和地下水环造成影响。</w:t>
      </w:r>
    </w:p>
    <w:p>
      <w:pPr>
        <w:pStyle w:val="80"/>
        <w:bidi w:val="0"/>
        <w:rPr>
          <w:rFonts w:hint="default"/>
          <w:color w:val="000000" w:themeColor="text1"/>
          <w:lang w:val="en-US" w:eastAsia="zh-CN"/>
          <w14:textFill>
            <w14:solidFill>
              <w14:schemeClr w14:val="tx1"/>
            </w14:solidFill>
          </w14:textFill>
        </w:rPr>
      </w:pPr>
      <w:r>
        <w:rPr>
          <w:rFonts w:hint="eastAsia"/>
          <w:lang w:val="en-US" w:eastAsia="zh-CN"/>
        </w:rPr>
        <w:t>本项目建设严格实行环评提出的防治措施后，项目运营期对地下水、土壤影响可接受。</w:t>
      </w:r>
    </w:p>
    <w:p>
      <w:pPr>
        <w:pStyle w:val="4"/>
      </w:pPr>
      <w:r>
        <w:t>5.1.</w:t>
      </w:r>
      <w:r>
        <w:rPr>
          <w:rFonts w:hint="eastAsia"/>
          <w:lang w:val="en-US" w:eastAsia="zh-CN"/>
        </w:rPr>
        <w:t>6</w:t>
      </w:r>
      <w:r>
        <w:t>总量控制</w:t>
      </w:r>
    </w:p>
    <w:p>
      <w:pPr>
        <w:pStyle w:val="65"/>
        <w:keepNext w:val="0"/>
        <w:keepLines w:val="0"/>
        <w:pageBreakBefore w:val="0"/>
        <w:widowControl w:val="0"/>
        <w:tabs>
          <w:tab w:val="left" w:pos="1195"/>
        </w:tabs>
        <w:kinsoku/>
        <w:overflowPunct/>
        <w:topLinePunct w:val="0"/>
        <w:autoSpaceDE w:val="0"/>
        <w:autoSpaceDN w:val="0"/>
        <w:bidi w:val="0"/>
        <w:adjustRightInd w:val="0"/>
        <w:snapToGrid/>
        <w:spacing w:line="360" w:lineRule="auto"/>
        <w:ind w:left="0" w:firstLine="480" w:firstLineChars="200"/>
        <w:textAlignment w:val="auto"/>
        <w:rPr>
          <w:rFonts w:ascii="Times New Roman" w:hAnsi="Times New Roman" w:cs="Times New Roman"/>
          <w:b w:val="0"/>
          <w:bCs/>
          <w:color w:val="auto"/>
        </w:rPr>
      </w:pPr>
      <w:r>
        <w:rPr>
          <w:rFonts w:ascii="Times New Roman" w:hAnsi="Times New Roman" w:cs="Times New Roman"/>
          <w:b w:val="0"/>
          <w:bCs/>
          <w:color w:val="auto"/>
        </w:rPr>
        <w:t>本项目无新增废水排放，不涉及废水总量控制指标。</w:t>
      </w:r>
    </w:p>
    <w:p>
      <w:pPr>
        <w:pStyle w:val="65"/>
        <w:keepNext w:val="0"/>
        <w:keepLines w:val="0"/>
        <w:pageBreakBefore w:val="0"/>
        <w:widowControl w:val="0"/>
        <w:tabs>
          <w:tab w:val="left" w:pos="1195"/>
        </w:tabs>
        <w:kinsoku/>
        <w:overflowPunct/>
        <w:topLinePunct w:val="0"/>
        <w:autoSpaceDE w:val="0"/>
        <w:autoSpaceDN w:val="0"/>
        <w:bidi w:val="0"/>
        <w:adjustRightInd w:val="0"/>
        <w:snapToGrid/>
        <w:spacing w:line="360" w:lineRule="auto"/>
        <w:ind w:left="0" w:firstLine="480" w:firstLineChars="200"/>
        <w:textAlignment w:val="auto"/>
        <w:rPr>
          <w:rFonts w:hint="eastAsia" w:ascii="Times New Roman" w:hAnsi="Times New Roman" w:cs="Times New Roman"/>
          <w:b w:val="0"/>
          <w:bCs/>
          <w:color w:val="auto"/>
        </w:rPr>
      </w:pPr>
      <w:r>
        <w:rPr>
          <w:rFonts w:ascii="Times New Roman" w:hAnsi="Times New Roman" w:cs="Times New Roman"/>
          <w:b w:val="0"/>
          <w:bCs/>
          <w:color w:val="auto"/>
        </w:rPr>
        <w:t>本项目核算总量指标</w:t>
      </w:r>
      <w:r>
        <w:rPr>
          <w:rFonts w:hint="eastAsia" w:ascii="Times New Roman" w:hAnsi="Times New Roman" w:cs="Times New Roman"/>
          <w:b w:val="0"/>
          <w:bCs/>
          <w:color w:val="auto"/>
        </w:rPr>
        <w:t>：</w:t>
      </w:r>
    </w:p>
    <w:p>
      <w:pPr>
        <w:spacing w:line="360" w:lineRule="auto"/>
        <w:ind w:firstLine="480" w:firstLineChars="200"/>
        <w:jc w:val="left"/>
        <w:rPr>
          <w:rFonts w:hint="default" w:ascii="Times New Roman" w:hAnsi="Times New Roman" w:cs="Times New Roman"/>
          <w:color w:val="auto"/>
          <w:sz w:val="24"/>
          <w:szCs w:val="24"/>
          <w:lang w:val="en-US" w:eastAsia="zh-CN"/>
        </w:rPr>
      </w:pPr>
      <w:r>
        <w:rPr>
          <w:rFonts w:ascii="Times New Roman" w:hAnsi="Times New Roman" w:cs="Times New Roman"/>
          <w:b w:val="0"/>
          <w:bCs/>
          <w:color w:val="auto"/>
        </w:rPr>
        <w:t>废气（有组织）：颗粒物：</w:t>
      </w:r>
      <w:r>
        <w:rPr>
          <w:rFonts w:hint="eastAsia" w:ascii="Times New Roman" w:hAnsi="Times New Roman" w:cs="Times New Roman"/>
          <w:b w:val="0"/>
          <w:bCs/>
          <w:color w:val="auto"/>
          <w:lang w:val="en-US" w:eastAsia="zh-CN"/>
        </w:rPr>
        <w:t>6.475</w:t>
      </w:r>
      <w:r>
        <w:rPr>
          <w:rFonts w:ascii="Times New Roman" w:hAnsi="Times New Roman" w:cs="Times New Roman"/>
          <w:b w:val="0"/>
          <w:bCs/>
          <w:color w:val="auto"/>
        </w:rPr>
        <w:t>t/a，SO</w:t>
      </w:r>
      <w:r>
        <w:rPr>
          <w:rFonts w:ascii="Times New Roman" w:hAnsi="Times New Roman" w:cs="Times New Roman"/>
          <w:b w:val="0"/>
          <w:bCs/>
          <w:color w:val="auto"/>
          <w:vertAlign w:val="subscript"/>
        </w:rPr>
        <w:t>2</w:t>
      </w:r>
      <w:r>
        <w:rPr>
          <w:rFonts w:ascii="Times New Roman" w:hAnsi="Times New Roman" w:cs="Times New Roman"/>
          <w:b w:val="0"/>
          <w:bCs/>
          <w:color w:val="auto"/>
        </w:rPr>
        <w:t>：</w:t>
      </w:r>
      <w:r>
        <w:rPr>
          <w:rFonts w:hint="eastAsia" w:ascii="Times New Roman" w:hAnsi="Times New Roman" w:cs="Times New Roman"/>
          <w:b w:val="0"/>
          <w:bCs/>
          <w:color w:val="auto"/>
          <w:lang w:val="en-US" w:eastAsia="zh-CN"/>
        </w:rPr>
        <w:t>1.061</w:t>
      </w:r>
      <w:r>
        <w:rPr>
          <w:rFonts w:ascii="Times New Roman" w:hAnsi="Times New Roman" w:cs="Times New Roman"/>
          <w:b w:val="0"/>
          <w:bCs/>
          <w:color w:val="auto"/>
        </w:rPr>
        <w:t>t/a，氮氧化物：1</w:t>
      </w:r>
      <w:r>
        <w:rPr>
          <w:rFonts w:hint="eastAsia" w:ascii="Times New Roman" w:hAnsi="Times New Roman" w:cs="Times New Roman"/>
          <w:b w:val="0"/>
          <w:bCs/>
          <w:color w:val="auto"/>
        </w:rPr>
        <w:t>1.</w:t>
      </w:r>
      <w:r>
        <w:rPr>
          <w:rFonts w:hint="eastAsia" w:ascii="Times New Roman" w:hAnsi="Times New Roman" w:cs="Times New Roman"/>
          <w:b w:val="0"/>
          <w:bCs/>
          <w:color w:val="auto"/>
          <w:lang w:val="en-US" w:eastAsia="zh-CN"/>
        </w:rPr>
        <w:t>41</w:t>
      </w:r>
      <w:r>
        <w:rPr>
          <w:rFonts w:ascii="Times New Roman" w:hAnsi="Times New Roman" w:cs="Times New Roman"/>
          <w:b w:val="0"/>
          <w:bCs/>
          <w:color w:val="auto"/>
        </w:rPr>
        <w:t>t/a</w:t>
      </w:r>
      <w:r>
        <w:rPr>
          <w:rFonts w:hint="eastAsia"/>
          <w:color w:val="auto"/>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textAlignment w:val="auto"/>
      </w:pPr>
      <w:r>
        <w:t>5.1.</w:t>
      </w:r>
      <w:r>
        <w:rPr>
          <w:rFonts w:hint="eastAsia"/>
        </w:rPr>
        <w:t>8</w:t>
      </w:r>
      <w:r>
        <w:t xml:space="preserve"> 综合结论</w:t>
      </w:r>
    </w:p>
    <w:bookmarkEnd w:id="65"/>
    <w:bookmarkEnd w:id="66"/>
    <w:bookmarkEnd w:id="67"/>
    <w:p>
      <w:pPr>
        <w:spacing w:line="360" w:lineRule="auto"/>
        <w:ind w:firstLine="560"/>
        <w:rPr>
          <w:rFonts w:hint="eastAsia"/>
          <w:color w:val="auto"/>
          <w:sz w:val="24"/>
        </w:rPr>
      </w:pPr>
      <w:bookmarkStart w:id="68" w:name="_Toc427855261"/>
      <w:bookmarkStart w:id="69" w:name="_Toc427855160"/>
      <w:bookmarkStart w:id="70" w:name="_Toc9644"/>
      <w:bookmarkStart w:id="71" w:name="_Toc497833611"/>
      <w:r>
        <w:rPr>
          <w:rFonts w:hint="eastAsia" w:cs="Times New Roman"/>
          <w:color w:val="auto"/>
          <w:sz w:val="24"/>
          <w:szCs w:val="24"/>
          <w:lang w:eastAsia="zh-CN"/>
        </w:rPr>
        <w:t>巫溪县华安墙材有限公司“页岩砖加工技改项目”符合国家产业政策、城市总体规划、环境功能区划，以及清洁生产要求，运营期间应加强环境管理，认真落实环境工程措施，确保环保设施正常运行，实现废气、污水、噪声稳定达标排放，并落实好环保设施与主体工程建设的“三同时”制度，加强环境管理，确保污染治理设施的正常运行，该项目采取环境保护措施后，环境污染可得到有效控制，对环境空气、地表水、声环境影响较小，项目所产生的不利影响可控制到最低程度。从环境保护角度分析，本项目的建设是可行的。</w:t>
      </w:r>
    </w:p>
    <w:p>
      <w:pPr>
        <w:pStyle w:val="3"/>
      </w:pPr>
      <w:r>
        <w:t>5.2 审批部门审批决定</w:t>
      </w:r>
      <w:bookmarkEnd w:id="68"/>
      <w:bookmarkEnd w:id="69"/>
      <w:bookmarkEnd w:id="70"/>
      <w:bookmarkEnd w:id="71"/>
    </w:p>
    <w:p>
      <w:pPr>
        <w:ind w:firstLine="480" w:firstLineChars="200"/>
        <w:rPr>
          <w:rFonts w:hint="eastAsia"/>
          <w:lang w:val="en-US" w:eastAsia="zh-CN"/>
        </w:rPr>
      </w:pPr>
      <w:r>
        <w:rPr>
          <w:rFonts w:hint="eastAsia"/>
          <w:lang w:val="en-US" w:eastAsia="zh-CN"/>
        </w:rPr>
        <w:t>原文抄录《重庆市建设项目环境影响评价文件批准书》渝（巫溪 ）环准〔2024〕2号，详见附件1。</w:t>
      </w:r>
    </w:p>
    <w:p>
      <w:pPr>
        <w:ind w:firstLine="480" w:firstLineChars="200"/>
        <w:rPr>
          <w:rFonts w:hint="eastAsia"/>
          <w:lang w:val="en-US" w:eastAsia="zh-CN"/>
        </w:rPr>
      </w:pPr>
      <w:r>
        <w:rPr>
          <w:rFonts w:hint="eastAsia"/>
          <w:lang w:val="en-US" w:eastAsia="zh-CN"/>
        </w:rPr>
        <w:t>你单位报送的页岩砖加工技改项目（项目代码：2308-500238-07-02-116316）环境影响评价文件审批申请表及相关材料收悉。经研究，现批复如下：</w:t>
      </w:r>
    </w:p>
    <w:p>
      <w:pPr>
        <w:ind w:firstLine="480" w:firstLineChars="200"/>
        <w:rPr>
          <w:rFonts w:hint="eastAsia"/>
          <w:lang w:val="en-US" w:eastAsia="zh-CN"/>
        </w:rPr>
      </w:pPr>
      <w:r>
        <w:rPr>
          <w:rFonts w:hint="eastAsia"/>
          <w:lang w:val="en-US" w:eastAsia="zh-CN"/>
        </w:rPr>
        <w:t>一、根据《中华人民共和国环境影响评价法》等有关法律法规，我局原则同意重庆绿丰环保科技有限公司（统一社会信用代码：91500000MA60EA8COU）编写的该工程环境影响报告表结论及其提出的环境保护措施。</w:t>
      </w:r>
    </w:p>
    <w:p>
      <w:pPr>
        <w:ind w:firstLine="480" w:firstLineChars="200"/>
        <w:rPr>
          <w:rFonts w:hint="eastAsia"/>
          <w:lang w:val="en-US" w:eastAsia="zh-CN"/>
        </w:rPr>
      </w:pPr>
      <w:r>
        <w:rPr>
          <w:rFonts w:hint="eastAsia"/>
          <w:lang w:val="en-US" w:eastAsia="zh-CN"/>
        </w:rPr>
        <w:t>二、项目建设规模及主要内容：拟建技术改造项目位于重庆市巫溪县上磺镇上磺村一社。本项目在保持砖厂生产工艺和生产规模不变的前提下，依托砖厂现有年产3500万匹标砖生产线，有效解决全县污水处理厂污泥处置难题，缓解污泥环境风险，拟在现有页岩砖生产线上增加生活污泥给料入口，利用生活污泥代替部分页岩作为原料生产页岩空心砖。项目总投资1300万元，其中环保投资35万元，环保投资占总投资的2.69%。</w:t>
      </w:r>
    </w:p>
    <w:p>
      <w:pPr>
        <w:ind w:firstLine="480" w:firstLineChars="200"/>
        <w:rPr>
          <w:rFonts w:hint="eastAsia"/>
          <w:lang w:val="en-US" w:eastAsia="zh-CN"/>
        </w:rPr>
      </w:pPr>
      <w:r>
        <w:rPr>
          <w:rFonts w:hint="eastAsia"/>
          <w:lang w:val="en-US" w:eastAsia="zh-CN"/>
        </w:rPr>
        <w:t>三、你单位必须严格执行环境保护设施与主体工程同时设计、同时施工、同时投入使用的环境保护“三同时”制度，按规定自行组织竣工环境保护验收，并完善排污许可证相关手续。在工程设计、建设和营运过程中，认真落实环境影响报告表提出的污染防治和生态保护措施，防止环境污染、生态破坏、风险事故、环境危害等不良后果，重点做好以下工作：</w:t>
      </w:r>
    </w:p>
    <w:p>
      <w:pPr>
        <w:ind w:firstLine="480" w:firstLineChars="200"/>
        <w:rPr>
          <w:rFonts w:hint="eastAsia"/>
          <w:lang w:val="en-US" w:eastAsia="zh-CN"/>
        </w:rPr>
      </w:pPr>
      <w:r>
        <w:rPr>
          <w:rFonts w:hint="eastAsia"/>
          <w:lang w:val="en-US" w:eastAsia="zh-CN"/>
        </w:rPr>
        <w:t>（一）强化大气污染防治</w:t>
      </w:r>
    </w:p>
    <w:p>
      <w:pPr>
        <w:ind w:firstLine="480" w:firstLineChars="200"/>
        <w:rPr>
          <w:rFonts w:hint="eastAsia"/>
          <w:lang w:val="en-US" w:eastAsia="zh-CN"/>
        </w:rPr>
      </w:pPr>
      <w:r>
        <w:rPr>
          <w:rFonts w:hint="eastAsia"/>
          <w:lang w:val="en-US" w:eastAsia="zh-CN"/>
        </w:rPr>
        <w:t>施工期：加强环境管理，易产生扬尘的工序必须采取降尘措施，加强施工机械的使用管理和保养维修，提高机械设备使用效率，缩短工期，降低燃油机械废气排放，严禁在施工现场排放有毒烟尘和气体，对地面进行洒水防尘，按报告表要求建设废气臭气处理设施。</w:t>
      </w:r>
    </w:p>
    <w:p>
      <w:pPr>
        <w:ind w:firstLine="480" w:firstLineChars="200"/>
        <w:rPr>
          <w:rFonts w:hint="eastAsia"/>
          <w:lang w:val="en-US" w:eastAsia="zh-CN"/>
        </w:rPr>
      </w:pPr>
      <w:r>
        <w:rPr>
          <w:rFonts w:hint="eastAsia"/>
          <w:lang w:val="en-US" w:eastAsia="zh-CN"/>
        </w:rPr>
        <w:t>营运期：做好加工区域内的防尘、废气臭气的处理，按照环评报告表要求，厂房需要密闭的区域必须密闭；食堂油烟经油烟净化器处理后通过管道引至屋顶排放，油烟排放浓度满足重庆市地方标准《餐饮业大气污染物排放标准》（DB50/859-2018）。</w:t>
      </w:r>
    </w:p>
    <w:p>
      <w:pPr>
        <w:ind w:firstLine="480" w:firstLineChars="200"/>
        <w:rPr>
          <w:rFonts w:hint="eastAsia"/>
          <w:lang w:val="en-US" w:eastAsia="zh-CN"/>
        </w:rPr>
      </w:pPr>
      <w:r>
        <w:rPr>
          <w:rFonts w:hint="eastAsia"/>
          <w:lang w:val="en-US" w:eastAsia="zh-CN"/>
        </w:rPr>
        <w:t>（二）强化水污染防治</w:t>
      </w:r>
    </w:p>
    <w:p>
      <w:pPr>
        <w:ind w:firstLine="480" w:firstLineChars="200"/>
        <w:rPr>
          <w:rFonts w:hint="eastAsia"/>
          <w:lang w:val="en-US" w:eastAsia="zh-CN"/>
        </w:rPr>
      </w:pPr>
      <w:r>
        <w:rPr>
          <w:rFonts w:hint="eastAsia"/>
          <w:lang w:val="en-US" w:eastAsia="zh-CN"/>
        </w:rPr>
        <w:t>施工期：对施工机械或车辆进行冲洗的废水经隔油、沉淀处理后上清液回用于场地防尘酒水，不外排。生活污水依托现有措施处理。</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营运期：生产废水依托现有沉淀池沉淀处理后循环使用，不外排。污泥暂存过程中产生的渗滤液在堆放区内收集池收集，循环用于搅拌工序用水，不外排。生活污水通过化粪池收集后用作农肥，不排放。</w:t>
      </w:r>
    </w:p>
    <w:p>
      <w:pPr>
        <w:ind w:firstLine="480" w:firstLineChars="200"/>
        <w:rPr>
          <w:rFonts w:hint="eastAsia"/>
          <w:lang w:val="en-US" w:eastAsia="zh-CN"/>
        </w:rPr>
      </w:pPr>
      <w:r>
        <w:rPr>
          <w:rFonts w:hint="eastAsia"/>
          <w:lang w:val="en-US" w:eastAsia="zh-CN"/>
        </w:rPr>
        <w:t>（三）强化噪声污染防治</w:t>
      </w:r>
    </w:p>
    <w:p>
      <w:pPr>
        <w:ind w:firstLine="480" w:firstLineChars="200"/>
        <w:rPr>
          <w:rFonts w:hint="eastAsia"/>
          <w:lang w:val="en-US" w:eastAsia="zh-CN"/>
        </w:rPr>
      </w:pPr>
      <w:r>
        <w:rPr>
          <w:rFonts w:hint="eastAsia"/>
          <w:lang w:val="en-US" w:eastAsia="zh-CN"/>
        </w:rPr>
        <w:t>施工期：严格控制噪声污染，采用先进的施工机械和技术，选用低噪声作业机具，合理安排施工作业时间，将可能产生强噪声的施工和运输作业安排在白天，并避开休息时段，尽量避免噪声扰民，加强施工机械的维护和保养，避免由于设备性能差而使机械噪声增大现象产生，同时施工单位应加强源头控制等措施后，有效减小对周边区域的噪声污染影响。</w:t>
      </w:r>
    </w:p>
    <w:p>
      <w:pPr>
        <w:ind w:firstLine="480" w:firstLineChars="200"/>
        <w:rPr>
          <w:rFonts w:hint="eastAsia"/>
          <w:lang w:val="en-US" w:eastAsia="zh-CN"/>
        </w:rPr>
      </w:pPr>
      <w:r>
        <w:rPr>
          <w:rFonts w:hint="eastAsia"/>
          <w:lang w:val="en-US" w:eastAsia="zh-CN"/>
        </w:rPr>
        <w:t>营运期：采用选用低噪声设备、减振、建筑隔声等措施进行降噪；加工厂房必须全封闭等措施降低噪声对环境的影响。</w:t>
      </w:r>
    </w:p>
    <w:p>
      <w:pPr>
        <w:ind w:firstLine="480" w:firstLineChars="200"/>
        <w:rPr>
          <w:rFonts w:hint="eastAsia"/>
          <w:lang w:val="en-US" w:eastAsia="zh-CN"/>
        </w:rPr>
      </w:pPr>
      <w:r>
        <w:rPr>
          <w:rFonts w:hint="eastAsia"/>
          <w:lang w:val="en-US" w:eastAsia="zh-CN"/>
        </w:rPr>
        <w:t>（四）强化固体废物管理</w:t>
      </w:r>
    </w:p>
    <w:p>
      <w:pPr>
        <w:ind w:firstLine="480" w:firstLineChars="200"/>
        <w:rPr>
          <w:rFonts w:hint="eastAsia"/>
          <w:lang w:val="en-US" w:eastAsia="zh-CN"/>
        </w:rPr>
      </w:pPr>
      <w:r>
        <w:rPr>
          <w:rFonts w:hint="eastAsia"/>
          <w:lang w:val="en-US" w:eastAsia="zh-CN"/>
        </w:rPr>
        <w:t>施工期：设置危险废物暂存间，危险废物收集后分类暂存于危废暂存间内，定期交由有资质单位处置，不外排；生活垃圾收集后交由环卫部门统一处置；餐厨垃圾收集后交由相关资质单位处置。</w:t>
      </w:r>
    </w:p>
    <w:p>
      <w:pPr>
        <w:ind w:firstLine="480" w:firstLineChars="200"/>
        <w:rPr>
          <w:rFonts w:hint="eastAsia"/>
          <w:lang w:val="en-US" w:eastAsia="zh-CN"/>
        </w:rPr>
      </w:pPr>
      <w:r>
        <w:rPr>
          <w:rFonts w:hint="eastAsia"/>
          <w:lang w:val="en-US" w:eastAsia="zh-CN"/>
        </w:rPr>
        <w:t>营运期：一般固废定期清理后回用于生产制砖；产生的脱硫石膏定期清理后外售综合利用；危险废物经收集后统一暂存于危废暂存间，定期交由危险废物资质单位处置；生活垃圾委托环卫部门及时清运、处置。</w:t>
      </w:r>
    </w:p>
    <w:p>
      <w:pPr>
        <w:ind w:firstLine="480" w:firstLineChars="200"/>
        <w:rPr>
          <w:rFonts w:hint="eastAsia"/>
          <w:lang w:val="en-US" w:eastAsia="zh-CN"/>
        </w:rPr>
      </w:pPr>
      <w:r>
        <w:rPr>
          <w:rFonts w:hint="eastAsia"/>
          <w:lang w:val="en-US" w:eastAsia="zh-CN"/>
        </w:rPr>
        <w:t>（五）强化环境风险防范</w:t>
      </w:r>
    </w:p>
    <w:p>
      <w:pPr>
        <w:ind w:firstLine="480" w:firstLineChars="200"/>
        <w:rPr>
          <w:rFonts w:hint="eastAsia"/>
          <w:lang w:val="en-US" w:eastAsia="zh-CN"/>
        </w:rPr>
      </w:pPr>
      <w:r>
        <w:rPr>
          <w:rFonts w:hint="eastAsia"/>
          <w:lang w:val="en-US" w:eastAsia="zh-CN"/>
        </w:rPr>
        <w:t>将环境风险发生的可能性降到最低，制定风险事故防范措施和事故应急预案；加强工作人员的安全防范意识，定期进行安全知识教育，使操作人员能够应付突发事故的发生，将本项目运营期过程中可能产生的风险降到最低，避免对周边环境造成影响。</w:t>
      </w:r>
    </w:p>
    <w:p>
      <w:pPr>
        <w:ind w:firstLine="480" w:firstLineChars="200"/>
        <w:rPr>
          <w:rFonts w:hint="eastAsia"/>
          <w:lang w:val="en-US" w:eastAsia="zh-CN"/>
        </w:rPr>
      </w:pPr>
      <w:r>
        <w:rPr>
          <w:rFonts w:hint="eastAsia"/>
          <w:lang w:val="en-US" w:eastAsia="zh-CN"/>
        </w:rPr>
        <w:t>（六）环境信息依法公开</w:t>
      </w:r>
    </w:p>
    <w:p>
      <w:pPr>
        <w:ind w:firstLine="480" w:firstLineChars="200"/>
        <w:rPr>
          <w:rFonts w:hint="eastAsia"/>
          <w:lang w:val="en-US" w:eastAsia="zh-CN"/>
        </w:rPr>
      </w:pPr>
      <w:r>
        <w:rPr>
          <w:rFonts w:hint="eastAsia"/>
          <w:lang w:val="en-US" w:eastAsia="zh-CN"/>
        </w:rPr>
        <w:t>严格按照《企事业单位环境信息公开办法》(环境保护部令第31号)以及重庆市环境保护局《关于做好企业事业单位环境信息公开工作的通知》(渝环发[2015]31 号)等文件要求，及时向社会公开环境信息。</w:t>
      </w:r>
    </w:p>
    <w:p>
      <w:pPr>
        <w:ind w:firstLine="480" w:firstLineChars="200"/>
        <w:rPr>
          <w:rFonts w:hint="eastAsia"/>
          <w:lang w:val="en-US" w:eastAsia="zh-CN"/>
        </w:rPr>
      </w:pPr>
      <w:r>
        <w:rPr>
          <w:rFonts w:hint="eastAsia"/>
          <w:lang w:val="en-US" w:eastAsia="zh-CN"/>
        </w:rPr>
        <w:t>四、该项目的性质、规模、地点、采用的生产工艺或者防治污染、防止生态破坏的措施发生重大变动的，你单位应当重新报批建设项目的环境影响评价文件；项目开工建设前，应依法完备其他行政许可审批手续；自批准之日起超过5年该项目未开工建设的，其环评文件应当报我局重新审批。</w:t>
      </w:r>
    </w:p>
    <w:p>
      <w:pPr>
        <w:ind w:firstLine="480" w:firstLineChars="200"/>
        <w:rPr>
          <w:rFonts w:hint="eastAsia"/>
          <w:lang w:val="en-US" w:eastAsia="zh-CN"/>
        </w:rPr>
      </w:pPr>
      <w:r>
        <w:rPr>
          <w:rFonts w:hint="eastAsia"/>
          <w:lang w:val="en-US" w:eastAsia="zh-CN"/>
        </w:rPr>
        <w:t>五、有下列情形之一的，一切损失及后果均由你单位自行承担：</w:t>
      </w:r>
    </w:p>
    <w:p>
      <w:pPr>
        <w:ind w:firstLine="480" w:firstLineChars="200"/>
        <w:rPr>
          <w:rFonts w:hint="eastAsia"/>
          <w:lang w:val="en-US" w:eastAsia="zh-CN"/>
        </w:rPr>
      </w:pPr>
      <w:r>
        <w:rPr>
          <w:rFonts w:hint="eastAsia"/>
          <w:lang w:val="en-US" w:eastAsia="zh-CN"/>
        </w:rPr>
        <w:t>（一）该项目建成后未严格按照本批准书及报告表要求落实各项措施，擅自改变造成污染危害、污染事故或污染扰民的；</w:t>
      </w:r>
    </w:p>
    <w:p>
      <w:pPr>
        <w:ind w:firstLine="480" w:firstLineChars="200"/>
        <w:rPr>
          <w:rFonts w:hint="eastAsia"/>
          <w:lang w:val="en-US" w:eastAsia="zh-CN"/>
        </w:rPr>
      </w:pPr>
      <w:r>
        <w:rPr>
          <w:rFonts w:hint="eastAsia"/>
          <w:lang w:val="en-US" w:eastAsia="zh-CN"/>
        </w:rPr>
        <w:t>（二）项目环境保护申请表内容存在弄虚作假情况的。</w:t>
      </w:r>
    </w:p>
    <w:p>
      <w:pPr>
        <w:ind w:firstLine="480" w:firstLineChars="200"/>
        <w:rPr>
          <w:rFonts w:hint="eastAsia"/>
          <w:lang w:val="en-US" w:eastAsia="zh-CN"/>
        </w:rPr>
      </w:pPr>
      <w:r>
        <w:rPr>
          <w:rFonts w:hint="eastAsia"/>
          <w:lang w:val="en-US" w:eastAsia="zh-CN"/>
        </w:rPr>
        <w:t>六、巫溪县生态环境局、巫溪县生态环境保护综合行政执法支队对该项目履行属地监管职责；我局如发现环评文件存在重大质量问题或其他不能审批的情形，依法撤销审批决定，造成的一切法律后果和经济损失均由你单位承担。</w:t>
      </w:r>
    </w:p>
    <w:p>
      <w:pPr>
        <w:ind w:firstLine="480" w:firstLineChars="200"/>
        <w:rPr>
          <w:rFonts w:hint="eastAsia"/>
          <w:lang w:val="en-US" w:eastAsia="zh-CN"/>
        </w:rPr>
      </w:pPr>
    </w:p>
    <w:p>
      <w:pPr>
        <w:ind w:firstLine="480" w:firstLineChars="200"/>
        <w:rPr>
          <w:rFonts w:hint="eastAsia"/>
          <w:lang w:val="en-US" w:eastAsia="zh-CN"/>
        </w:rPr>
      </w:pPr>
    </w:p>
    <w:p/>
    <w:p>
      <w:pPr>
        <w:pStyle w:val="2"/>
        <w:keepNext/>
        <w:keepLines/>
        <w:pageBreakBefore/>
        <w:widowControl/>
        <w:kinsoku/>
        <w:wordWrap/>
        <w:overflowPunct/>
        <w:topLinePunct w:val="0"/>
        <w:autoSpaceDE/>
        <w:autoSpaceDN/>
        <w:bidi w:val="0"/>
        <w:adjustRightInd w:val="0"/>
        <w:snapToGrid w:val="0"/>
        <w:textAlignment w:val="auto"/>
      </w:pPr>
      <w:bookmarkStart w:id="72" w:name="_Toc497833612"/>
      <w:bookmarkStart w:id="73" w:name="_Toc23301"/>
      <w:r>
        <w:t>6 验收执行标准</w:t>
      </w:r>
      <w:bookmarkEnd w:id="72"/>
      <w:bookmarkEnd w:id="73"/>
    </w:p>
    <w:p>
      <w:pPr>
        <w:pStyle w:val="3"/>
      </w:pPr>
      <w:bookmarkStart w:id="74" w:name="_Toc28217"/>
      <w:r>
        <w:t>6.1 废气排放执行标准</w:t>
      </w:r>
      <w:bookmarkEnd w:id="74"/>
    </w:p>
    <w:p>
      <w:pPr>
        <w:ind w:firstLine="480" w:firstLineChars="200"/>
        <w:rPr>
          <w:color w:val="000000" w:themeColor="text1"/>
          <w14:textFill>
            <w14:solidFill>
              <w14:schemeClr w14:val="tx1"/>
            </w14:solidFill>
          </w14:textFill>
        </w:rPr>
      </w:pPr>
      <w:r>
        <w:rPr>
          <w:rFonts w:hint="eastAsia" w:ascii="Times New Roman" w:hAnsi="Times New Roman"/>
          <w:lang w:val="en-US" w:eastAsia="zh-CN"/>
        </w:rPr>
        <w:t>根据《</w:t>
      </w:r>
      <w:r>
        <w:rPr>
          <w:rFonts w:hint="eastAsia"/>
          <w:lang w:val="en-US" w:eastAsia="zh-CN"/>
        </w:rPr>
        <w:t>巫溪县华安墙材有限公司页岩砖加工技改项目</w:t>
      </w:r>
      <w:r>
        <w:rPr>
          <w:rFonts w:hint="eastAsia" w:ascii="Times New Roman" w:hAnsi="Times New Roman"/>
          <w:lang w:val="en-US" w:eastAsia="zh-CN"/>
        </w:rPr>
        <w:t>环境影响报告表》及</w:t>
      </w:r>
      <w:r>
        <w:rPr>
          <w:rFonts w:hint="eastAsia"/>
          <w:lang w:val="en-US" w:eastAsia="zh-CN"/>
        </w:rPr>
        <w:t>渝（巫溪 ）环准〔2024〕2号</w:t>
      </w:r>
      <w:r>
        <w:rPr>
          <w:rFonts w:hint="eastAsia" w:ascii="Times New Roman" w:hAnsi="Times New Roman"/>
          <w:lang w:val="en-US" w:eastAsia="zh-CN"/>
        </w:rPr>
        <w:t>文件，</w:t>
      </w:r>
      <w:r>
        <w:rPr>
          <w:rStyle w:val="84"/>
          <w:rFonts w:hint="eastAsia"/>
          <w:color w:val="000000" w:themeColor="text1"/>
          <w:lang w:val="en-US" w:eastAsia="zh-CN"/>
          <w14:textFill>
            <w14:solidFill>
              <w14:schemeClr w14:val="tx1"/>
            </w14:solidFill>
          </w14:textFill>
        </w:rPr>
        <w:t>废气执行《砖瓦工业大气污染物排放标准》（GB 29620-2013）及其修改单标准要求；NH3、H2S以及臭气浓度执行《恶臭污染物排放标准》（GB14554-1993）标准；本项目新增员工食堂，食堂油烟执行《餐饮业大气污染物排放标准》（DB50/859-2018）中最高允许排放浓度。具体标准值详见下表6-1、6-2、6-3</w:t>
      </w:r>
      <w:r>
        <w:rPr>
          <w:color w:val="000000" w:themeColor="text1"/>
          <w14:textFill>
            <w14:solidFill>
              <w14:schemeClr w14:val="tx1"/>
            </w14:solidFill>
          </w14:textFill>
        </w:rPr>
        <w:t>。</w:t>
      </w:r>
    </w:p>
    <w:p>
      <w:pPr>
        <w:pStyle w:val="65"/>
        <w:spacing w:line="302" w:lineRule="exact"/>
        <w:ind w:left="2371"/>
        <w:jc w:val="both"/>
        <w:rPr>
          <w:rFonts w:ascii="Times New Roman" w:hAnsi="Times New Roman" w:cs="Times New Roman"/>
          <w:color w:val="auto"/>
          <w:sz w:val="21"/>
          <w:szCs w:val="21"/>
        </w:rPr>
      </w:pPr>
      <w:r>
        <w:rPr>
          <w:rFonts w:hint="eastAsia"/>
          <w:color w:val="000000" w:themeColor="text1"/>
          <w:sz w:val="21"/>
          <w:szCs w:val="21"/>
          <w:lang w:val="en-US" w:eastAsia="zh-CN"/>
          <w14:textFill>
            <w14:solidFill>
              <w14:schemeClr w14:val="tx1"/>
            </w14:solidFill>
          </w14:textFill>
        </w:rPr>
        <w:t xml:space="preserve">表6-1 </w:t>
      </w:r>
      <w:r>
        <w:rPr>
          <w:rFonts w:ascii="Times New Roman" w:hAnsi="Times New Roman" w:cs="Times New Roman"/>
          <w:color w:val="auto"/>
          <w:sz w:val="21"/>
          <w:szCs w:val="21"/>
        </w:rPr>
        <w:t>大气污染物有组织排放标准</w:t>
      </w:r>
    </w:p>
    <w:tbl>
      <w:tblPr>
        <w:tblStyle w:val="23"/>
        <w:tblW w:w="501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4"/>
        <w:gridCol w:w="1191"/>
        <w:gridCol w:w="1873"/>
        <w:gridCol w:w="1055"/>
        <w:gridCol w:w="1267"/>
        <w:gridCol w:w="3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344"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序号</w:t>
            </w:r>
          </w:p>
        </w:tc>
        <w:tc>
          <w:tcPr>
            <w:tcW w:w="656"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污染源</w:t>
            </w:r>
          </w:p>
        </w:tc>
        <w:tc>
          <w:tcPr>
            <w:tcW w:w="1032" w:type="pct"/>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污染物</w:t>
            </w:r>
          </w:p>
        </w:tc>
        <w:tc>
          <w:tcPr>
            <w:tcW w:w="581" w:type="pct"/>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速率（kg/h）</w:t>
            </w:r>
          </w:p>
        </w:tc>
        <w:tc>
          <w:tcPr>
            <w:tcW w:w="69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限值（mg/m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w:t>
            </w:r>
          </w:p>
        </w:tc>
        <w:tc>
          <w:tcPr>
            <w:tcW w:w="1685"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656" w:type="pct"/>
            <w:vMerge w:val="restar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隧道窑</w:t>
            </w:r>
          </w:p>
        </w:tc>
        <w:tc>
          <w:tcPr>
            <w:tcW w:w="1032" w:type="pct"/>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颗粒物</w:t>
            </w:r>
          </w:p>
        </w:tc>
        <w:tc>
          <w:tcPr>
            <w:tcW w:w="581"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98" w:type="pc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c>
          <w:tcPr>
            <w:tcW w:w="1685" w:type="pct"/>
            <w:vMerge w:val="restart"/>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《砖瓦工业大气污染物排放标准》（GB 29620-2013）及其修改单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left w:val="single" w:color="auto" w:sz="4" w:space="0"/>
            </w:tcBorders>
            <w:noWrap w:val="0"/>
            <w:vAlign w:val="center"/>
          </w:tcPr>
          <w:p>
            <w:pPr>
              <w:widowControl/>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2</w:t>
            </w:r>
          </w:p>
        </w:tc>
        <w:tc>
          <w:tcPr>
            <w:tcW w:w="656" w:type="pct"/>
            <w:vMerge w:val="continue"/>
            <w:tcBorders>
              <w:top w:val="nil"/>
            </w:tcBorders>
            <w:noWrap w:val="0"/>
            <w:vAlign w:val="center"/>
          </w:tcPr>
          <w:p>
            <w:pPr>
              <w:widowControl/>
              <w:jc w:val="center"/>
              <w:textAlignment w:val="center"/>
              <w:rPr>
                <w:rFonts w:ascii="Times New Roman" w:hAnsi="Times New Roman" w:cs="Times New Roman"/>
                <w:color w:val="auto"/>
                <w:sz w:val="21"/>
                <w:szCs w:val="21"/>
                <w:lang w:bidi="ar"/>
              </w:rPr>
            </w:pPr>
          </w:p>
        </w:tc>
        <w:tc>
          <w:tcPr>
            <w:tcW w:w="1032"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SO2</w:t>
            </w:r>
          </w:p>
        </w:tc>
        <w:tc>
          <w:tcPr>
            <w:tcW w:w="58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9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150</w:t>
            </w:r>
          </w:p>
        </w:tc>
        <w:tc>
          <w:tcPr>
            <w:tcW w:w="1685" w:type="pct"/>
            <w:vMerge w:val="continue"/>
            <w:tcBorders>
              <w:top w:val="nil"/>
              <w:right w:val="single" w:color="auto" w:sz="4" w:space="0"/>
            </w:tcBorders>
            <w:noWrap w:val="0"/>
            <w:vAlign w:val="center"/>
          </w:tcPr>
          <w:p>
            <w:pPr>
              <w:widowControl/>
              <w:textAlignment w:val="center"/>
              <w:rPr>
                <w:rFonts w:ascii="Times New Roman" w:hAnsi="Times New Roman" w:cs="Times New Roman"/>
                <w:color w:val="auto"/>
                <w:sz w:val="21"/>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left w:val="single" w:color="auto" w:sz="4" w:space="0"/>
            </w:tcBorders>
            <w:noWrap w:val="0"/>
            <w:vAlign w:val="center"/>
          </w:tcPr>
          <w:p>
            <w:pPr>
              <w:widowControl/>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3</w:t>
            </w:r>
          </w:p>
        </w:tc>
        <w:tc>
          <w:tcPr>
            <w:tcW w:w="656" w:type="pct"/>
            <w:vMerge w:val="continue"/>
            <w:tcBorders>
              <w:top w:val="nil"/>
            </w:tcBorders>
            <w:noWrap w:val="0"/>
            <w:vAlign w:val="center"/>
          </w:tcPr>
          <w:p>
            <w:pPr>
              <w:widowControl/>
              <w:jc w:val="center"/>
              <w:textAlignment w:val="center"/>
              <w:rPr>
                <w:rFonts w:ascii="Times New Roman" w:hAnsi="Times New Roman" w:cs="Times New Roman"/>
                <w:color w:val="auto"/>
                <w:sz w:val="21"/>
                <w:szCs w:val="21"/>
                <w:lang w:bidi="ar"/>
              </w:rPr>
            </w:pPr>
          </w:p>
        </w:tc>
        <w:tc>
          <w:tcPr>
            <w:tcW w:w="1032"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NOx</w:t>
            </w:r>
          </w:p>
        </w:tc>
        <w:tc>
          <w:tcPr>
            <w:tcW w:w="58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9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200</w:t>
            </w:r>
          </w:p>
        </w:tc>
        <w:tc>
          <w:tcPr>
            <w:tcW w:w="1685" w:type="pct"/>
            <w:vMerge w:val="continue"/>
            <w:tcBorders>
              <w:top w:val="nil"/>
              <w:right w:val="single" w:color="auto" w:sz="4" w:space="0"/>
            </w:tcBorders>
            <w:noWrap w:val="0"/>
            <w:vAlign w:val="center"/>
          </w:tcPr>
          <w:p>
            <w:pPr>
              <w:widowControl/>
              <w:textAlignment w:val="center"/>
              <w:rPr>
                <w:rFonts w:ascii="Times New Roman" w:hAnsi="Times New Roman" w:cs="Times New Roman"/>
                <w:color w:val="auto"/>
                <w:sz w:val="21"/>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tcBorders>
              <w:left w:val="single" w:color="auto" w:sz="4" w:space="0"/>
              <w:bottom w:val="single" w:color="auto" w:sz="4" w:space="0"/>
            </w:tcBorders>
            <w:noWrap w:val="0"/>
            <w:vAlign w:val="center"/>
          </w:tcPr>
          <w:p>
            <w:pPr>
              <w:widowControl/>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4</w:t>
            </w:r>
          </w:p>
        </w:tc>
        <w:tc>
          <w:tcPr>
            <w:tcW w:w="656" w:type="pct"/>
            <w:vMerge w:val="continue"/>
            <w:tcBorders>
              <w:top w:val="nil"/>
              <w:bottom w:val="single" w:color="auto" w:sz="4" w:space="0"/>
            </w:tcBorders>
            <w:noWrap w:val="0"/>
            <w:vAlign w:val="center"/>
          </w:tcPr>
          <w:p>
            <w:pPr>
              <w:widowControl/>
              <w:jc w:val="center"/>
              <w:textAlignment w:val="center"/>
              <w:rPr>
                <w:rFonts w:ascii="Times New Roman" w:hAnsi="Times New Roman" w:cs="Times New Roman"/>
                <w:color w:val="auto"/>
                <w:sz w:val="21"/>
                <w:szCs w:val="21"/>
                <w:lang w:bidi="ar"/>
              </w:rPr>
            </w:pPr>
          </w:p>
        </w:tc>
        <w:tc>
          <w:tcPr>
            <w:tcW w:w="1032" w:type="pct"/>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氟化物（以F计）</w:t>
            </w:r>
          </w:p>
        </w:tc>
        <w:tc>
          <w:tcPr>
            <w:tcW w:w="581" w:type="pct"/>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9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685" w:type="pct"/>
            <w:vMerge w:val="continue"/>
            <w:tcBorders>
              <w:top w:val="nil"/>
              <w:bottom w:val="single" w:color="auto" w:sz="4" w:space="0"/>
              <w:right w:val="single" w:color="auto" w:sz="4" w:space="0"/>
            </w:tcBorders>
            <w:noWrap w:val="0"/>
            <w:vAlign w:val="center"/>
          </w:tcPr>
          <w:p>
            <w:pPr>
              <w:widowControl/>
              <w:textAlignment w:val="center"/>
              <w:rPr>
                <w:rFonts w:ascii="Times New Roman" w:hAnsi="Times New Roman" w:cs="Times New Roman"/>
                <w:color w:val="auto"/>
                <w:sz w:val="21"/>
                <w:szCs w:val="21"/>
                <w:lang w:bidi="ar"/>
              </w:rPr>
            </w:pPr>
          </w:p>
        </w:tc>
      </w:tr>
    </w:tbl>
    <w:p>
      <w:pPr>
        <w:pStyle w:val="65"/>
        <w:spacing w:line="302" w:lineRule="exact"/>
        <w:ind w:left="2371"/>
        <w:jc w:val="both"/>
        <w:rPr>
          <w:rFonts w:ascii="Times New Roman" w:hAnsi="Times New Roman" w:cs="Times New Roman"/>
          <w:color w:val="auto"/>
          <w:sz w:val="21"/>
          <w:szCs w:val="21"/>
        </w:rPr>
      </w:pPr>
      <w:r>
        <w:rPr>
          <w:rFonts w:hint="default"/>
          <w:color w:val="000000" w:themeColor="text1"/>
          <w:sz w:val="21"/>
          <w:szCs w:val="21"/>
          <w:lang w:val="en-US" w:eastAsia="zh-CN"/>
          <w14:textFill>
            <w14:solidFill>
              <w14:schemeClr w14:val="tx1"/>
            </w14:solidFill>
          </w14:textFill>
        </w:rPr>
        <w:t>表</w:t>
      </w:r>
      <w:r>
        <w:rPr>
          <w:rFonts w:hint="eastAsia"/>
          <w:color w:val="000000" w:themeColor="text1"/>
          <w:sz w:val="21"/>
          <w:szCs w:val="21"/>
          <w:lang w:val="en-US" w:eastAsia="zh-CN"/>
          <w14:textFill>
            <w14:solidFill>
              <w14:schemeClr w14:val="tx1"/>
            </w14:solidFill>
          </w14:textFill>
        </w:rPr>
        <w:t>6</w:t>
      </w:r>
      <w:r>
        <w:rPr>
          <w:rFonts w:hint="default"/>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rFonts w:hint="default"/>
          <w:color w:val="000000" w:themeColor="text1"/>
          <w:sz w:val="21"/>
          <w:szCs w:val="21"/>
          <w:lang w:val="en-US" w:eastAsia="zh-CN"/>
          <w14:textFill>
            <w14:solidFill>
              <w14:schemeClr w14:val="tx1"/>
            </w14:solidFill>
          </w14:textFill>
        </w:rPr>
        <w:t xml:space="preserve">  </w:t>
      </w:r>
      <w:r>
        <w:rPr>
          <w:rFonts w:ascii="Times New Roman" w:hAnsi="Times New Roman" w:cs="Times New Roman"/>
          <w:color w:val="auto"/>
          <w:sz w:val="21"/>
          <w:szCs w:val="21"/>
        </w:rPr>
        <w:t>大气污染物无组织排放控制标准</w:t>
      </w:r>
    </w:p>
    <w:tbl>
      <w:tblPr>
        <w:tblStyle w:val="23"/>
        <w:tblW w:w="503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831"/>
        <w:gridCol w:w="1168"/>
        <w:gridCol w:w="1123"/>
        <w:gridCol w:w="1923"/>
        <w:gridCol w:w="305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6"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控制项目</w:t>
            </w:r>
          </w:p>
        </w:tc>
        <w:tc>
          <w:tcPr>
            <w:tcW w:w="3993" w:type="pct"/>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厂界无组织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6" w:type="pct"/>
            <w:vMerge w:val="continue"/>
            <w:tcBorders>
              <w:top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64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标准值</w:t>
            </w:r>
          </w:p>
        </w:tc>
        <w:tc>
          <w:tcPr>
            <w:tcW w:w="61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单位</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污染物排放监控位置</w:t>
            </w:r>
          </w:p>
        </w:tc>
        <w:tc>
          <w:tcPr>
            <w:tcW w:w="167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总悬浮颗粒物</w:t>
            </w:r>
          </w:p>
        </w:tc>
        <w:tc>
          <w:tcPr>
            <w:tcW w:w="64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c>
          <w:tcPr>
            <w:tcW w:w="61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mg/m</w:t>
            </w:r>
            <w:r>
              <w:rPr>
                <w:rFonts w:hint="eastAsia" w:cs="Times New Roman"/>
                <w:b w:val="0"/>
                <w:bCs w:val="0"/>
                <w:color w:val="auto"/>
                <w:sz w:val="21"/>
                <w:szCs w:val="21"/>
                <w:vertAlign w:val="superscript"/>
                <w:lang w:val="en-US" w:eastAsia="zh-CN"/>
              </w:rPr>
              <w:t>3</w:t>
            </w:r>
          </w:p>
        </w:tc>
        <w:tc>
          <w:tcPr>
            <w:tcW w:w="1057"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企业边界</w:t>
            </w:r>
          </w:p>
        </w:tc>
        <w:tc>
          <w:tcPr>
            <w:tcW w:w="1676"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《砖瓦工业大气污染物排放</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标准 》（GB 29620-2013）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二氧化硫</w:t>
            </w:r>
          </w:p>
        </w:tc>
        <w:tc>
          <w:tcPr>
            <w:tcW w:w="64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c>
          <w:tcPr>
            <w:tcW w:w="61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mg/m</w:t>
            </w:r>
            <w:r>
              <w:rPr>
                <w:rFonts w:hint="eastAsia" w:cs="Times New Roman"/>
                <w:b w:val="0"/>
                <w:bCs w:val="0"/>
                <w:color w:val="auto"/>
                <w:sz w:val="21"/>
                <w:szCs w:val="21"/>
                <w:vertAlign w:val="superscript"/>
                <w:lang w:val="en-US" w:eastAsia="zh-CN"/>
              </w:rPr>
              <w:t>3</w:t>
            </w:r>
          </w:p>
        </w:tc>
        <w:tc>
          <w:tcPr>
            <w:tcW w:w="1057"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1676"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氟化物</w:t>
            </w:r>
          </w:p>
        </w:tc>
        <w:tc>
          <w:tcPr>
            <w:tcW w:w="64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0.02</w:t>
            </w:r>
          </w:p>
        </w:tc>
        <w:tc>
          <w:tcPr>
            <w:tcW w:w="61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mg/m</w:t>
            </w:r>
            <w:r>
              <w:rPr>
                <w:rFonts w:hint="eastAsia" w:cs="Times New Roman"/>
                <w:b w:val="0"/>
                <w:bCs w:val="0"/>
                <w:color w:val="auto"/>
                <w:sz w:val="21"/>
                <w:szCs w:val="21"/>
                <w:vertAlign w:val="superscript"/>
                <w:lang w:val="en-US" w:eastAsia="zh-CN"/>
              </w:rPr>
              <w:t>3</w:t>
            </w:r>
          </w:p>
        </w:tc>
        <w:tc>
          <w:tcPr>
            <w:tcW w:w="1057"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1676"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NH</w:t>
            </w:r>
            <w:r>
              <w:rPr>
                <w:rFonts w:hint="eastAsia" w:cs="Times New Roman"/>
                <w:b w:val="0"/>
                <w:bCs w:val="0"/>
                <w:color w:val="auto"/>
                <w:sz w:val="21"/>
                <w:szCs w:val="21"/>
                <w:vertAlign w:val="subscript"/>
                <w:lang w:val="en-US" w:eastAsia="zh-CN"/>
              </w:rPr>
              <w:t>3</w:t>
            </w:r>
          </w:p>
        </w:tc>
        <w:tc>
          <w:tcPr>
            <w:tcW w:w="64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1.5</w:t>
            </w:r>
          </w:p>
        </w:tc>
        <w:tc>
          <w:tcPr>
            <w:tcW w:w="61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mg/m</w:t>
            </w:r>
            <w:r>
              <w:rPr>
                <w:rFonts w:hint="eastAsia" w:cs="Times New Roman"/>
                <w:b w:val="0"/>
                <w:bCs w:val="0"/>
                <w:color w:val="auto"/>
                <w:sz w:val="21"/>
                <w:szCs w:val="21"/>
                <w:vertAlign w:val="superscript"/>
                <w:lang w:val="en-US" w:eastAsia="zh-CN"/>
              </w:rPr>
              <w:t>3</w:t>
            </w:r>
          </w:p>
        </w:tc>
        <w:tc>
          <w:tcPr>
            <w:tcW w:w="1057"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厂界</w:t>
            </w:r>
          </w:p>
        </w:tc>
        <w:tc>
          <w:tcPr>
            <w:tcW w:w="1676" w:type="pct"/>
            <w:vMerge w:val="restart"/>
            <w:tcBorders>
              <w:bottom w:val="single" w:color="000000" w:sz="12"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《恶臭污染物排放标准》</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（GB14554-93）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H</w:t>
            </w:r>
            <w:r>
              <w:rPr>
                <w:rFonts w:hint="eastAsia" w:cs="Times New Roman"/>
                <w:b w:val="0"/>
                <w:bCs w:val="0"/>
                <w:color w:val="auto"/>
                <w:sz w:val="21"/>
                <w:szCs w:val="21"/>
                <w:vertAlign w:val="subscript"/>
                <w:lang w:val="en-US" w:eastAsia="zh-CN"/>
              </w:rPr>
              <w:t>2</w:t>
            </w:r>
            <w:r>
              <w:rPr>
                <w:rFonts w:hint="eastAsia" w:cs="Times New Roman"/>
                <w:b w:val="0"/>
                <w:bCs w:val="0"/>
                <w:color w:val="auto"/>
                <w:sz w:val="21"/>
                <w:szCs w:val="21"/>
                <w:lang w:val="en-US" w:eastAsia="zh-CN"/>
              </w:rPr>
              <w:t>S</w:t>
            </w:r>
          </w:p>
        </w:tc>
        <w:tc>
          <w:tcPr>
            <w:tcW w:w="64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0.06</w:t>
            </w:r>
          </w:p>
        </w:tc>
        <w:tc>
          <w:tcPr>
            <w:tcW w:w="61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mg/m</w:t>
            </w:r>
            <w:r>
              <w:rPr>
                <w:rFonts w:hint="eastAsia" w:cs="Times New Roman"/>
                <w:b w:val="0"/>
                <w:bCs w:val="0"/>
                <w:color w:val="auto"/>
                <w:sz w:val="21"/>
                <w:szCs w:val="21"/>
                <w:vertAlign w:val="superscript"/>
                <w:lang w:val="en-US" w:eastAsia="zh-CN"/>
              </w:rPr>
              <w:t>3</w:t>
            </w:r>
          </w:p>
        </w:tc>
        <w:tc>
          <w:tcPr>
            <w:tcW w:w="1057" w:type="pct"/>
            <w:vMerge w:val="continue"/>
            <w:noWrap w:val="0"/>
            <w:vAlign w:val="center"/>
          </w:tcPr>
          <w:p>
            <w:pPr>
              <w:pStyle w:val="65"/>
              <w:spacing w:before="12" w:line="260" w:lineRule="exact"/>
              <w:ind w:left="833" w:right="826"/>
              <w:jc w:val="center"/>
              <w:rPr>
                <w:rFonts w:ascii="Times New Roman" w:hAnsi="Times New Roman" w:cs="Times New Roman"/>
                <w:color w:val="auto"/>
                <w:sz w:val="18"/>
                <w:szCs w:val="18"/>
              </w:rPr>
            </w:pPr>
          </w:p>
        </w:tc>
        <w:tc>
          <w:tcPr>
            <w:tcW w:w="1676" w:type="pct"/>
            <w:vMerge w:val="continue"/>
            <w:tcBorders>
              <w:top w:val="nil"/>
              <w:bottom w:val="single" w:color="000000" w:sz="12" w:space="0"/>
            </w:tcBorders>
            <w:noWrap w:val="0"/>
            <w:vAlign w:val="center"/>
          </w:tcPr>
          <w:p>
            <w:pPr>
              <w:jc w:val="center"/>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臭气浓度</w:t>
            </w:r>
          </w:p>
        </w:tc>
        <w:tc>
          <w:tcPr>
            <w:tcW w:w="64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20</w:t>
            </w:r>
          </w:p>
        </w:tc>
        <w:tc>
          <w:tcPr>
            <w:tcW w:w="61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无量纲</w:t>
            </w:r>
          </w:p>
        </w:tc>
        <w:tc>
          <w:tcPr>
            <w:tcW w:w="1057" w:type="pct"/>
            <w:vMerge w:val="continue"/>
            <w:noWrap w:val="0"/>
            <w:vAlign w:val="center"/>
          </w:tcPr>
          <w:p>
            <w:pPr>
              <w:pStyle w:val="65"/>
              <w:jc w:val="center"/>
              <w:rPr>
                <w:rFonts w:ascii="Times New Roman" w:hAnsi="Times New Roman" w:cs="Times New Roman"/>
                <w:color w:val="auto"/>
                <w:sz w:val="18"/>
                <w:szCs w:val="18"/>
              </w:rPr>
            </w:pPr>
          </w:p>
        </w:tc>
        <w:tc>
          <w:tcPr>
            <w:tcW w:w="1676" w:type="pct"/>
            <w:vMerge w:val="continue"/>
            <w:tcBorders>
              <w:top w:val="nil"/>
            </w:tcBorders>
            <w:noWrap w:val="0"/>
            <w:vAlign w:val="center"/>
          </w:tcPr>
          <w:p>
            <w:pPr>
              <w:jc w:val="center"/>
              <w:rPr>
                <w:rFonts w:ascii="Times New Roman" w:hAnsi="Times New Roman" w:cs="Times New Roman"/>
                <w:color w:val="auto"/>
                <w:sz w:val="18"/>
                <w:szCs w:val="18"/>
              </w:rPr>
            </w:pPr>
          </w:p>
        </w:tc>
      </w:tr>
    </w:tbl>
    <w:p>
      <w:pPr>
        <w:pStyle w:val="65"/>
        <w:spacing w:line="302" w:lineRule="exact"/>
        <w:ind w:left="2371"/>
        <w:jc w:val="both"/>
        <w:rPr>
          <w:rFonts w:ascii="Times New Roman" w:hAnsi="Times New Roman" w:cs="Times New Roman"/>
          <w:color w:val="auto"/>
          <w:sz w:val="21"/>
          <w:szCs w:val="21"/>
        </w:rPr>
      </w:pPr>
      <w:r>
        <w:rPr>
          <w:rFonts w:hint="default"/>
          <w:color w:val="000000" w:themeColor="text1"/>
          <w:sz w:val="21"/>
          <w:szCs w:val="21"/>
          <w:lang w:val="en-US" w:eastAsia="zh-CN"/>
          <w14:textFill>
            <w14:solidFill>
              <w14:schemeClr w14:val="tx1"/>
            </w14:solidFill>
          </w14:textFill>
        </w:rPr>
        <w:t>表</w:t>
      </w:r>
      <w:r>
        <w:rPr>
          <w:rFonts w:hint="eastAsia"/>
          <w:color w:val="000000" w:themeColor="text1"/>
          <w:sz w:val="21"/>
          <w:szCs w:val="21"/>
          <w:lang w:val="en-US" w:eastAsia="zh-CN"/>
          <w14:textFill>
            <w14:solidFill>
              <w14:schemeClr w14:val="tx1"/>
            </w14:solidFill>
          </w14:textFill>
        </w:rPr>
        <w:t>6-3</w:t>
      </w:r>
      <w:r>
        <w:rPr>
          <w:rFonts w:hint="default"/>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auto"/>
          <w:sz w:val="21"/>
          <w:szCs w:val="21"/>
        </w:rPr>
        <w:t>《餐饮业大气污染物排放标准》</w:t>
      </w:r>
    </w:p>
    <w:tbl>
      <w:tblPr>
        <w:tblStyle w:val="23"/>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0"/>
        <w:gridCol w:w="1592"/>
        <w:gridCol w:w="1435"/>
        <w:gridCol w:w="992"/>
        <w:gridCol w:w="1138"/>
        <w:gridCol w:w="30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460"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序号</w:t>
            </w:r>
          </w:p>
        </w:tc>
        <w:tc>
          <w:tcPr>
            <w:tcW w:w="881"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污染源</w:t>
            </w:r>
          </w:p>
        </w:tc>
        <w:tc>
          <w:tcPr>
            <w:tcW w:w="794"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污染物</w:t>
            </w:r>
          </w:p>
        </w:tc>
        <w:tc>
          <w:tcPr>
            <w:tcW w:w="549"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速率（kg/h）</w:t>
            </w:r>
          </w:p>
        </w:tc>
        <w:tc>
          <w:tcPr>
            <w:tcW w:w="630"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限值（mg/m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w:t>
            </w:r>
          </w:p>
        </w:tc>
        <w:tc>
          <w:tcPr>
            <w:tcW w:w="168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460"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881" w:type="pct"/>
            <w:tcBorders>
              <w:top w:val="nil"/>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食堂油烟</w:t>
            </w:r>
          </w:p>
        </w:tc>
        <w:tc>
          <w:tcPr>
            <w:tcW w:w="794" w:type="pct"/>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油烟</w:t>
            </w:r>
          </w:p>
        </w:tc>
        <w:tc>
          <w:tcPr>
            <w:tcW w:w="549" w:type="pct"/>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30"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1684" w:type="pct"/>
            <w:tcBorders>
              <w:top w:val="nil"/>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《餐饮业大气污染物排放标准》（DB50/859-2018）</w:t>
            </w:r>
          </w:p>
        </w:tc>
      </w:tr>
    </w:tbl>
    <w:p>
      <w:pPr>
        <w:pStyle w:val="3"/>
        <w:rPr>
          <w:rFonts w:ascii="Times New Roman" w:hAnsi="Times New Roman" w:eastAsia="宋体"/>
        </w:rPr>
      </w:pPr>
      <w:bookmarkStart w:id="75" w:name="_Toc29587"/>
      <w:r>
        <w:rPr>
          <w:rFonts w:hint="eastAsia" w:ascii="Times New Roman" w:hAnsi="Times New Roman" w:eastAsia="宋体"/>
          <w:lang w:val="en-US" w:eastAsia="zh-CN"/>
        </w:rPr>
        <w:t>6.2</w:t>
      </w:r>
      <w:r>
        <w:rPr>
          <w:rFonts w:hint="eastAsia" w:ascii="Times New Roman" w:hAnsi="Times New Roman" w:eastAsia="宋体"/>
        </w:rPr>
        <w:t>废水排放控制标准</w:t>
      </w:r>
      <w:bookmarkEnd w:id="75"/>
    </w:p>
    <w:p>
      <w:pPr>
        <w:pStyle w:val="80"/>
        <w:bidi w:val="0"/>
        <w:rPr>
          <w:rFonts w:hint="eastAsia"/>
          <w:lang w:val="en-US" w:eastAsia="zh-CN"/>
        </w:rPr>
      </w:pPr>
      <w:r>
        <w:rPr>
          <w:rFonts w:hint="eastAsia"/>
          <w:color w:val="000000" w:themeColor="text1"/>
          <w:highlight w:val="none"/>
          <w:lang w:val="en-US" w:eastAsia="zh-CN"/>
          <w14:textFill>
            <w14:solidFill>
              <w14:schemeClr w14:val="tx1"/>
            </w14:solidFill>
          </w14:textFill>
        </w:rPr>
        <w:t>本项目废水不外排。因此不设废水排放标准。</w:t>
      </w:r>
    </w:p>
    <w:p>
      <w:pPr>
        <w:pStyle w:val="3"/>
      </w:pPr>
      <w:bookmarkStart w:id="76" w:name="_Toc496520945"/>
      <w:bookmarkStart w:id="77" w:name="_Toc497833614"/>
      <w:bookmarkStart w:id="78" w:name="_Toc21642"/>
      <w:r>
        <w:t>6.</w:t>
      </w:r>
      <w:r>
        <w:rPr>
          <w:rFonts w:hint="eastAsia"/>
          <w:lang w:val="en-US" w:eastAsia="zh-CN"/>
        </w:rPr>
        <w:t>3</w:t>
      </w:r>
      <w:r>
        <w:t xml:space="preserve"> </w:t>
      </w:r>
      <w:bookmarkEnd w:id="76"/>
      <w:bookmarkEnd w:id="77"/>
      <w:bookmarkStart w:id="79" w:name="_Toc496520952"/>
      <w:bookmarkStart w:id="80" w:name="_Toc408406387"/>
      <w:bookmarkStart w:id="81" w:name="_Toc497833615"/>
      <w:bookmarkStart w:id="82" w:name="_Toc427855283"/>
      <w:r>
        <w:t>噪声执行标准</w:t>
      </w:r>
      <w:bookmarkEnd w:id="78"/>
      <w:bookmarkEnd w:id="79"/>
      <w:bookmarkEnd w:id="80"/>
      <w:bookmarkEnd w:id="81"/>
      <w:bookmarkEnd w:id="82"/>
    </w:p>
    <w:p>
      <w:pPr>
        <w:ind w:firstLine="480" w:firstLineChars="200"/>
      </w:pPr>
      <w:r>
        <w:t>项目厂界噪声执行《工业企业厂界环境噪声排放标准》</w:t>
      </w:r>
      <w:r>
        <w:rPr>
          <w:rFonts w:hint="eastAsia"/>
          <w:lang w:eastAsia="zh-CN"/>
        </w:rPr>
        <w:t>（</w:t>
      </w:r>
      <w:r>
        <w:t>GB12348-2008</w:t>
      </w:r>
      <w:r>
        <w:rPr>
          <w:rFonts w:hint="eastAsia"/>
          <w:lang w:eastAsia="zh-CN"/>
        </w:rPr>
        <w:t>）</w:t>
      </w:r>
      <w:r>
        <w:rPr>
          <w:rFonts w:hint="eastAsia"/>
          <w:lang w:val="en-US" w:eastAsia="zh-CN"/>
        </w:rPr>
        <w:t>2</w:t>
      </w:r>
      <w:r>
        <w:t>类标准，标准限值见表6</w:t>
      </w:r>
      <w:r>
        <w:rPr>
          <w:rFonts w:hint="eastAsia"/>
        </w:rPr>
        <w:t>-</w:t>
      </w:r>
      <w:r>
        <w:rPr>
          <w:rFonts w:hint="eastAsia"/>
          <w:lang w:val="en-US" w:eastAsia="zh-CN"/>
        </w:rPr>
        <w:t>4</w:t>
      </w:r>
      <w:r>
        <w:t>。</w:t>
      </w:r>
    </w:p>
    <w:p>
      <w:pPr>
        <w:spacing w:line="240" w:lineRule="auto"/>
        <w:jc w:val="center"/>
        <w:rPr>
          <w:b/>
          <w:bCs/>
          <w:sz w:val="21"/>
          <w:szCs w:val="21"/>
        </w:rPr>
      </w:pPr>
      <w:r>
        <w:rPr>
          <w:b/>
          <w:bCs/>
          <w:sz w:val="21"/>
          <w:szCs w:val="21"/>
        </w:rPr>
        <w:t>表6</w:t>
      </w:r>
      <w:r>
        <w:rPr>
          <w:rFonts w:hint="eastAsia"/>
          <w:b/>
          <w:bCs/>
          <w:sz w:val="21"/>
          <w:szCs w:val="21"/>
        </w:rPr>
        <w:t>-</w:t>
      </w:r>
      <w:r>
        <w:rPr>
          <w:rFonts w:hint="eastAsia"/>
          <w:b/>
          <w:bCs/>
          <w:sz w:val="21"/>
          <w:szCs w:val="21"/>
          <w:lang w:val="en-US" w:eastAsia="zh-CN"/>
        </w:rPr>
        <w:t>4</w:t>
      </w:r>
      <w:r>
        <w:rPr>
          <w:b/>
          <w:bCs/>
          <w:sz w:val="21"/>
          <w:szCs w:val="21"/>
        </w:rPr>
        <w:t xml:space="preserve">  噪声排放标准限值           单位：dB(A)</w:t>
      </w:r>
    </w:p>
    <w:tbl>
      <w:tblPr>
        <w:tblStyle w:val="23"/>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73"/>
        <w:gridCol w:w="980"/>
        <w:gridCol w:w="981"/>
        <w:gridCol w:w="62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581" w:type="pct"/>
            <w:vMerge w:val="restart"/>
            <w:vAlign w:val="center"/>
          </w:tcPr>
          <w:p>
            <w:pPr>
              <w:spacing w:line="240" w:lineRule="auto"/>
              <w:jc w:val="center"/>
              <w:rPr>
                <w:sz w:val="21"/>
                <w:szCs w:val="21"/>
              </w:rPr>
            </w:pPr>
            <w:r>
              <w:rPr>
                <w:sz w:val="21"/>
                <w:szCs w:val="21"/>
              </w:rPr>
              <w:t>项目</w:t>
            </w:r>
          </w:p>
        </w:tc>
        <w:tc>
          <w:tcPr>
            <w:tcW w:w="1061" w:type="pct"/>
            <w:gridSpan w:val="2"/>
            <w:vAlign w:val="center"/>
          </w:tcPr>
          <w:p>
            <w:pPr>
              <w:spacing w:line="240" w:lineRule="auto"/>
              <w:jc w:val="center"/>
              <w:rPr>
                <w:sz w:val="21"/>
                <w:szCs w:val="21"/>
              </w:rPr>
            </w:pPr>
            <w:r>
              <w:rPr>
                <w:sz w:val="21"/>
                <w:szCs w:val="21"/>
              </w:rPr>
              <w:t>标准限值</w:t>
            </w:r>
          </w:p>
        </w:tc>
        <w:tc>
          <w:tcPr>
            <w:tcW w:w="3356" w:type="pct"/>
            <w:vMerge w:val="restart"/>
            <w:vAlign w:val="center"/>
          </w:tcPr>
          <w:p>
            <w:pPr>
              <w:spacing w:line="240" w:lineRule="auto"/>
              <w:jc w:val="center"/>
              <w:rPr>
                <w:sz w:val="21"/>
                <w:szCs w:val="21"/>
              </w:rPr>
            </w:pPr>
            <w:r>
              <w:rPr>
                <w:sz w:val="21"/>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Merge w:val="continue"/>
            <w:vAlign w:val="center"/>
          </w:tcPr>
          <w:p>
            <w:pPr>
              <w:spacing w:line="240" w:lineRule="auto"/>
              <w:jc w:val="center"/>
              <w:rPr>
                <w:sz w:val="21"/>
                <w:szCs w:val="21"/>
              </w:rPr>
            </w:pPr>
          </w:p>
        </w:tc>
        <w:tc>
          <w:tcPr>
            <w:tcW w:w="530" w:type="pct"/>
            <w:vAlign w:val="center"/>
          </w:tcPr>
          <w:p>
            <w:pPr>
              <w:spacing w:line="240" w:lineRule="auto"/>
              <w:jc w:val="center"/>
              <w:rPr>
                <w:sz w:val="21"/>
                <w:szCs w:val="21"/>
              </w:rPr>
            </w:pPr>
            <w:r>
              <w:rPr>
                <w:sz w:val="21"/>
                <w:szCs w:val="21"/>
              </w:rPr>
              <w:t>昼间</w:t>
            </w:r>
          </w:p>
        </w:tc>
        <w:tc>
          <w:tcPr>
            <w:tcW w:w="530" w:type="pct"/>
            <w:vAlign w:val="center"/>
          </w:tcPr>
          <w:p>
            <w:pPr>
              <w:spacing w:line="240" w:lineRule="auto"/>
              <w:jc w:val="center"/>
              <w:rPr>
                <w:sz w:val="21"/>
                <w:szCs w:val="21"/>
              </w:rPr>
            </w:pPr>
            <w:r>
              <w:rPr>
                <w:sz w:val="21"/>
                <w:szCs w:val="21"/>
              </w:rPr>
              <w:t>夜间</w:t>
            </w:r>
          </w:p>
        </w:tc>
        <w:tc>
          <w:tcPr>
            <w:tcW w:w="3356" w:type="pct"/>
            <w:vMerge w:val="continue"/>
            <w:vAlign w:val="center"/>
          </w:tcPr>
          <w:p>
            <w:pPr>
              <w:spacing w:line="240" w:lineRule="auto"/>
              <w:jc w:val="center"/>
              <w:rPr>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Align w:val="center"/>
          </w:tcPr>
          <w:p>
            <w:pPr>
              <w:spacing w:line="240" w:lineRule="auto"/>
              <w:jc w:val="center"/>
              <w:rPr>
                <w:sz w:val="21"/>
                <w:szCs w:val="21"/>
              </w:rPr>
            </w:pPr>
            <w:r>
              <w:rPr>
                <w:sz w:val="21"/>
                <w:szCs w:val="21"/>
              </w:rPr>
              <w:t>厂界</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60</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50</w:t>
            </w:r>
          </w:p>
        </w:tc>
        <w:tc>
          <w:tcPr>
            <w:tcW w:w="3356" w:type="pct"/>
            <w:vAlign w:val="center"/>
          </w:tcPr>
          <w:p>
            <w:pPr>
              <w:spacing w:line="240" w:lineRule="auto"/>
              <w:jc w:val="center"/>
              <w:rPr>
                <w:sz w:val="21"/>
                <w:szCs w:val="21"/>
              </w:rPr>
            </w:pPr>
            <w:r>
              <w:rPr>
                <w:sz w:val="21"/>
                <w:szCs w:val="21"/>
              </w:rPr>
              <w:t>《工业企业厂界环境噪声排放标准》（GB12348-2008）</w:t>
            </w:r>
            <w:r>
              <w:rPr>
                <w:rFonts w:hint="eastAsia"/>
                <w:sz w:val="21"/>
                <w:szCs w:val="21"/>
                <w:lang w:val="en-US" w:eastAsia="zh-CN"/>
              </w:rPr>
              <w:t>2</w:t>
            </w:r>
            <w:r>
              <w:rPr>
                <w:sz w:val="21"/>
                <w:szCs w:val="21"/>
              </w:rPr>
              <w:t>类标准</w:t>
            </w:r>
          </w:p>
        </w:tc>
      </w:tr>
    </w:tbl>
    <w:p>
      <w:pPr>
        <w:pStyle w:val="3"/>
      </w:pPr>
      <w:bookmarkStart w:id="83" w:name="_Toc534643360"/>
      <w:bookmarkStart w:id="84" w:name="_Toc14636"/>
      <w:r>
        <w:rPr>
          <w:rFonts w:hint="eastAsia"/>
        </w:rPr>
        <w:t>6.</w:t>
      </w:r>
      <w:bookmarkEnd w:id="83"/>
      <w:r>
        <w:rPr>
          <w:rFonts w:hint="eastAsia"/>
          <w:lang w:val="en-US" w:eastAsia="zh-CN"/>
        </w:rPr>
        <w:t>4</w:t>
      </w:r>
      <w:r>
        <w:rPr>
          <w:rFonts w:hint="eastAsia"/>
        </w:rPr>
        <w:t>固体废物污染管控标准要求</w:t>
      </w:r>
      <w:bookmarkEnd w:id="84"/>
    </w:p>
    <w:p>
      <w:pPr>
        <w:ind w:firstLine="480" w:firstLineChars="200"/>
        <w:rPr>
          <w:rFonts w:hint="eastAsia"/>
          <w:lang w:val="en-US" w:eastAsia="zh-CN"/>
        </w:rPr>
      </w:pPr>
      <w:r>
        <w:rPr>
          <w:rFonts w:hint="eastAsia"/>
        </w:rPr>
        <w:t>根据环评及批复要求，</w:t>
      </w:r>
      <w:r>
        <w:rPr>
          <w:rFonts w:hint="eastAsia"/>
          <w:lang w:val="en-US" w:eastAsia="zh-CN"/>
        </w:rPr>
        <w:t>一般工业固体废物执行《一般工业固体废物贮存和填埋污染控制标准》（GB18599-2020），采用库房、包装工具（罐、桶、包装袋等）贮存一般工业固体废物过程的污染控制，其贮存过程应满足相应防渗漏、防雨淋、防扬尘等环境保护要求。危险废物暂存执行《危险废物贮存污染控制标准》（GB18597-2023）相关要求，危险废物转移执行《危险废物转移管理办法》中相关要求。</w:t>
      </w:r>
    </w:p>
    <w:p/>
    <w:p>
      <w:pPr>
        <w:pStyle w:val="12"/>
        <w:sectPr>
          <w:pgSz w:w="11905" w:h="16838"/>
          <w:pgMar w:top="1083" w:right="1440" w:bottom="1083" w:left="1440" w:header="680" w:footer="567" w:gutter="0"/>
          <w:pgBorders>
            <w:top w:val="none" w:sz="0" w:space="0"/>
            <w:left w:val="none" w:sz="0" w:space="0"/>
            <w:bottom w:val="none" w:sz="0" w:space="0"/>
            <w:right w:val="none" w:sz="0" w:space="0"/>
          </w:pgBorders>
          <w:cols w:space="0" w:num="1"/>
          <w:docGrid w:type="lines" w:linePitch="322" w:charSpace="0"/>
        </w:sectPr>
      </w:pPr>
    </w:p>
    <w:p>
      <w:pPr>
        <w:pStyle w:val="2"/>
      </w:pPr>
      <w:bookmarkStart w:id="85" w:name="_Toc497833617"/>
      <w:bookmarkStart w:id="86" w:name="_Toc13687"/>
      <w:r>
        <w:t>7 验收监测内容</w:t>
      </w:r>
      <w:bookmarkEnd w:id="85"/>
      <w:bookmarkEnd w:id="86"/>
    </w:p>
    <w:p>
      <w:pPr>
        <w:pStyle w:val="3"/>
      </w:pPr>
      <w:bookmarkStart w:id="87" w:name="_Toc21239"/>
      <w:bookmarkStart w:id="88" w:name="_Toc16467"/>
      <w:r>
        <w:rPr>
          <w:rFonts w:hint="eastAsia"/>
        </w:rPr>
        <w:t>7.1验收监测内容</w:t>
      </w:r>
      <w:bookmarkEnd w:id="87"/>
      <w:bookmarkEnd w:id="88"/>
    </w:p>
    <w:p>
      <w:pPr>
        <w:ind w:firstLine="480" w:firstLineChars="200"/>
        <w:rPr>
          <w:rFonts w:hint="eastAsia"/>
        </w:rPr>
      </w:pPr>
      <w:r>
        <w:rPr>
          <w:rFonts w:hint="eastAsia"/>
        </w:rPr>
        <w:t>根据环评、环评批复、该项目行业的特征污染物及该项目周围敏感目标的情况，确定了该项目验收监测的监测因子和频次。本次验收监测的监测点位</w:t>
      </w:r>
      <w:r>
        <w:rPr>
          <w:rFonts w:hint="eastAsia"/>
          <w:lang w:eastAsia="zh-CN"/>
        </w:rPr>
        <w:t>、</w:t>
      </w:r>
      <w:r>
        <w:rPr>
          <w:rFonts w:hint="eastAsia"/>
        </w:rPr>
        <w:t>因子及频次详见表7-1。本次验收的监测布点示意图详见图 7.1。</w:t>
      </w:r>
    </w:p>
    <w:p>
      <w:pPr>
        <w:spacing w:line="240" w:lineRule="auto"/>
        <w:jc w:val="center"/>
        <w:rPr>
          <w:b/>
          <w:bCs/>
          <w:sz w:val="21"/>
          <w:szCs w:val="21"/>
        </w:rPr>
      </w:pPr>
      <w:r>
        <w:rPr>
          <w:b/>
          <w:bCs/>
          <w:sz w:val="21"/>
          <w:szCs w:val="21"/>
        </w:rPr>
        <w:t>表7-1  监测点位、监测因子等要求一览表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89"/>
        <w:gridCol w:w="2294"/>
        <w:gridCol w:w="3202"/>
        <w:gridCol w:w="16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5"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类别</w:t>
            </w:r>
          </w:p>
        </w:tc>
        <w:tc>
          <w:tcPr>
            <w:tcW w:w="1346"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点位名称和编号</w:t>
            </w:r>
          </w:p>
        </w:tc>
        <w:tc>
          <w:tcPr>
            <w:tcW w:w="1879"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检测项目</w:t>
            </w:r>
          </w:p>
        </w:tc>
        <w:tc>
          <w:tcPr>
            <w:tcW w:w="959"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5" w:type="pct"/>
            <w:vMerge w:val="restart"/>
            <w:tcBorders>
              <w:top w:val="single" w:color="auto" w:sz="4" w:space="0"/>
            </w:tcBorders>
            <w:noWrap w:val="0"/>
            <w:vAlign w:val="center"/>
          </w:tcPr>
          <w:p>
            <w:pPr>
              <w:widowControl w:val="0"/>
              <w:spacing w:line="240" w:lineRule="auto"/>
              <w:jc w:val="center"/>
              <w:rPr>
                <w:rFonts w:hint="default" w:ascii="Times New Roman" w:hAnsi="Times New Roman" w:eastAsia="宋体"/>
                <w:color w:val="auto"/>
                <w:sz w:val="21"/>
                <w:szCs w:val="21"/>
                <w:lang w:eastAsia="zh-CN"/>
              </w:rPr>
            </w:pPr>
            <w:r>
              <w:rPr>
                <w:rFonts w:hint="eastAsia"/>
                <w:color w:val="auto"/>
                <w:sz w:val="21"/>
                <w:szCs w:val="21"/>
                <w:lang w:eastAsia="zh-CN"/>
              </w:rPr>
              <w:t>有组织废气</w:t>
            </w:r>
          </w:p>
        </w:tc>
        <w:tc>
          <w:tcPr>
            <w:tcW w:w="1346" w:type="pct"/>
            <w:noWrap w:val="0"/>
            <w:vAlign w:val="center"/>
          </w:tcPr>
          <w:p>
            <w:pPr>
              <w:pStyle w:val="92"/>
              <w:adjustRightInd w:val="0"/>
              <w:snapToGrid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cs="Times New Roman"/>
                <w:bCs w:val="0"/>
                <w:color w:val="auto"/>
                <w:sz w:val="21"/>
                <w:szCs w:val="21"/>
                <w:lang w:val="en-US" w:eastAsia="zh-CN"/>
              </w:rPr>
              <w:t>G1进口</w:t>
            </w:r>
            <w:r>
              <w:rPr>
                <w:rFonts w:hint="eastAsia" w:ascii="Times New Roman" w:hAnsi="Times New Roman" w:cs="Times New Roman"/>
                <w:bCs w:val="0"/>
                <w:color w:val="auto"/>
                <w:sz w:val="21"/>
                <w:szCs w:val="21"/>
                <w:lang w:val="en-US" w:eastAsia="zh-CN"/>
              </w:rPr>
              <w:t>、G1出口</w:t>
            </w:r>
          </w:p>
        </w:tc>
        <w:tc>
          <w:tcPr>
            <w:tcW w:w="1879" w:type="pct"/>
            <w:noWrap w:val="0"/>
            <w:vAlign w:val="center"/>
          </w:tcPr>
          <w:p>
            <w:pPr>
              <w:pStyle w:val="92"/>
              <w:adjustRightInd w:val="0"/>
              <w:snapToGrid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s="Times New Roman"/>
                <w:bCs w:val="0"/>
                <w:i w:val="0"/>
                <w:iCs w:val="0"/>
                <w:color w:val="auto"/>
                <w:kern w:val="0"/>
                <w:sz w:val="21"/>
                <w:szCs w:val="21"/>
                <w:u w:val="none"/>
                <w:lang w:val="en-US" w:eastAsia="zh-CN" w:bidi="ar"/>
              </w:rPr>
              <w:t>颗粒物、氨、二氧化硫、氮氧化物、氟化物、硫化氢</w:t>
            </w:r>
          </w:p>
        </w:tc>
        <w:tc>
          <w:tcPr>
            <w:tcW w:w="959" w:type="pct"/>
            <w:noWrap w:val="0"/>
            <w:vAlign w:val="center"/>
          </w:tcPr>
          <w:p>
            <w:pPr>
              <w:pStyle w:val="92"/>
              <w:adjustRightInd w:val="0"/>
              <w:snapToGrid w:val="0"/>
              <w:ind w:firstLine="0" w:firstLineChars="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每天采集</w:t>
            </w:r>
            <w:r>
              <w:rPr>
                <w:rFonts w:hint="eastAsia" w:ascii="Times New Roman" w:hAnsi="Times New Roman" w:cs="Times New Roman"/>
                <w:bCs w:val="0"/>
                <w:color w:val="auto"/>
                <w:sz w:val="21"/>
                <w:szCs w:val="21"/>
                <w:lang w:val="en-US" w:eastAsia="zh-CN"/>
              </w:rPr>
              <w:t>3</w:t>
            </w:r>
            <w:r>
              <w:rPr>
                <w:rFonts w:hint="default" w:ascii="Times New Roman" w:hAnsi="Times New Roman" w:cs="Times New Roman"/>
                <w:bCs w:val="0"/>
                <w:color w:val="auto"/>
                <w:sz w:val="21"/>
                <w:szCs w:val="21"/>
                <w:lang w:eastAsia="zh-CN"/>
              </w:rPr>
              <w:t>次</w:t>
            </w:r>
          </w:p>
          <w:p>
            <w:pPr>
              <w:pStyle w:val="92"/>
              <w:adjustRightInd w:val="0"/>
              <w:snapToGrid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cs="Times New Roman"/>
                <w:bCs w:val="0"/>
                <w:color w:val="auto"/>
                <w:sz w:val="21"/>
                <w:szCs w:val="21"/>
                <w:lang w:eastAsia="zh-CN"/>
              </w:rPr>
              <w:t>连续监测2天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5" w:type="pct"/>
            <w:vMerge w:val="continue"/>
            <w:noWrap w:val="0"/>
            <w:vAlign w:val="center"/>
          </w:tcPr>
          <w:p>
            <w:pPr>
              <w:widowControl w:val="0"/>
              <w:spacing w:line="240" w:lineRule="auto"/>
              <w:jc w:val="center"/>
              <w:rPr>
                <w:rFonts w:hint="default" w:ascii="Times New Roman" w:hAnsi="Times New Roman" w:eastAsia="宋体"/>
                <w:color w:val="auto"/>
                <w:sz w:val="21"/>
                <w:szCs w:val="21"/>
                <w:lang w:eastAsia="zh-CN"/>
              </w:rPr>
            </w:pPr>
          </w:p>
        </w:tc>
        <w:tc>
          <w:tcPr>
            <w:tcW w:w="1346" w:type="pct"/>
            <w:vMerge w:val="restart"/>
            <w:noWrap w:val="0"/>
            <w:vAlign w:val="center"/>
          </w:tcPr>
          <w:p>
            <w:pPr>
              <w:pStyle w:val="92"/>
              <w:adjustRightInd w:val="0"/>
              <w:snapToGrid w:val="0"/>
              <w:ind w:firstLine="0" w:firstLineChars="0"/>
              <w:rPr>
                <w:rFonts w:hint="eastAsia" w:ascii="Times New Roman" w:hAnsi="Times New Roman" w:eastAsia="宋体"/>
                <w:color w:val="auto"/>
                <w:sz w:val="21"/>
                <w:szCs w:val="21"/>
                <w:lang w:val="en-US" w:eastAsia="zh-CN"/>
              </w:rPr>
            </w:pPr>
            <w:r>
              <w:rPr>
                <w:rFonts w:hint="default" w:ascii="Times New Roman" w:hAnsi="Times New Roman" w:cs="Times New Roman"/>
                <w:bCs w:val="0"/>
                <w:color w:val="auto"/>
                <w:sz w:val="21"/>
                <w:szCs w:val="21"/>
                <w:lang w:val="en-US" w:eastAsia="zh-CN"/>
              </w:rPr>
              <w:t>G2油烟</w:t>
            </w:r>
          </w:p>
        </w:tc>
        <w:tc>
          <w:tcPr>
            <w:tcW w:w="1879" w:type="pct"/>
            <w:noWrap w:val="0"/>
            <w:vAlign w:val="center"/>
          </w:tcPr>
          <w:p>
            <w:pPr>
              <w:pStyle w:val="92"/>
              <w:adjustRightInd w:val="0"/>
              <w:snapToGrid w:val="0"/>
              <w:ind w:firstLine="0" w:firstLineChars="0"/>
              <w:jc w:val="center"/>
              <w:rPr>
                <w:rFonts w:hint="eastAsia" w:ascii="Times New Roman" w:hAnsi="Times New Roman" w:cs="Times New Roman"/>
                <w:bCs w:val="0"/>
                <w:i w:val="0"/>
                <w:iCs w:val="0"/>
                <w:color w:val="auto"/>
                <w:kern w:val="0"/>
                <w:sz w:val="21"/>
                <w:szCs w:val="21"/>
                <w:u w:val="none"/>
                <w:lang w:val="en-US" w:eastAsia="zh-CN" w:bidi="ar"/>
              </w:rPr>
            </w:pPr>
            <w:r>
              <w:rPr>
                <w:rFonts w:hint="eastAsia" w:ascii="Times New Roman" w:hAnsi="Times New Roman" w:cs="Times New Roman"/>
                <w:bCs w:val="0"/>
                <w:i w:val="0"/>
                <w:iCs w:val="0"/>
                <w:color w:val="auto"/>
                <w:kern w:val="0"/>
                <w:sz w:val="21"/>
                <w:szCs w:val="21"/>
                <w:u w:val="none"/>
                <w:lang w:val="en-US" w:eastAsia="zh-CN" w:bidi="ar"/>
              </w:rPr>
              <w:t>油烟</w:t>
            </w:r>
          </w:p>
        </w:tc>
        <w:tc>
          <w:tcPr>
            <w:tcW w:w="959" w:type="pct"/>
            <w:noWrap w:val="0"/>
            <w:vAlign w:val="center"/>
          </w:tcPr>
          <w:p>
            <w:pPr>
              <w:pStyle w:val="92"/>
              <w:adjustRightInd w:val="0"/>
              <w:snapToGrid w:val="0"/>
              <w:ind w:firstLine="0" w:firstLineChars="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每天采集</w:t>
            </w:r>
            <w:r>
              <w:rPr>
                <w:rFonts w:hint="eastAsia" w:ascii="Times New Roman" w:hAnsi="Times New Roman" w:cs="Times New Roman"/>
                <w:bCs w:val="0"/>
                <w:color w:val="auto"/>
                <w:sz w:val="21"/>
                <w:szCs w:val="21"/>
                <w:lang w:val="en-US" w:eastAsia="zh-CN"/>
              </w:rPr>
              <w:t>5</w:t>
            </w:r>
            <w:r>
              <w:rPr>
                <w:rFonts w:hint="default" w:ascii="Times New Roman" w:hAnsi="Times New Roman" w:cs="Times New Roman"/>
                <w:bCs w:val="0"/>
                <w:color w:val="auto"/>
                <w:sz w:val="21"/>
                <w:szCs w:val="21"/>
                <w:lang w:eastAsia="zh-CN"/>
              </w:rPr>
              <w:t>次</w:t>
            </w:r>
          </w:p>
          <w:p>
            <w:pPr>
              <w:pStyle w:val="92"/>
              <w:adjustRightInd w:val="0"/>
              <w:snapToGrid w:val="0"/>
              <w:ind w:firstLine="0" w:firstLineChars="0"/>
              <w:rPr>
                <w:rFonts w:hint="eastAsia"/>
                <w:color w:val="auto"/>
                <w:sz w:val="21"/>
                <w:szCs w:val="21"/>
                <w:lang w:val="en-US" w:eastAsia="zh-CN"/>
              </w:rPr>
            </w:pPr>
            <w:r>
              <w:rPr>
                <w:rFonts w:hint="default" w:ascii="Times New Roman" w:hAnsi="Times New Roman" w:cs="Times New Roman"/>
                <w:bCs w:val="0"/>
                <w:color w:val="auto"/>
                <w:sz w:val="21"/>
                <w:szCs w:val="21"/>
                <w:lang w:eastAsia="zh-CN"/>
              </w:rPr>
              <w:t>连续监测2天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5" w:type="pct"/>
            <w:vMerge w:val="continue"/>
            <w:noWrap w:val="0"/>
            <w:vAlign w:val="center"/>
          </w:tcPr>
          <w:p>
            <w:pPr>
              <w:widowControl w:val="0"/>
              <w:spacing w:line="240" w:lineRule="auto"/>
              <w:jc w:val="center"/>
              <w:rPr>
                <w:rFonts w:hint="default" w:ascii="Times New Roman" w:hAnsi="Times New Roman" w:eastAsia="宋体"/>
                <w:color w:val="auto"/>
                <w:sz w:val="21"/>
                <w:szCs w:val="21"/>
                <w:lang w:eastAsia="zh-CN"/>
              </w:rPr>
            </w:pPr>
          </w:p>
        </w:tc>
        <w:tc>
          <w:tcPr>
            <w:tcW w:w="1346" w:type="pct"/>
            <w:vMerge w:val="continue"/>
            <w:noWrap w:val="0"/>
            <w:vAlign w:val="center"/>
          </w:tcPr>
          <w:p>
            <w:pPr>
              <w:pStyle w:val="92"/>
              <w:adjustRightInd w:val="0"/>
              <w:snapToGrid w:val="0"/>
              <w:ind w:firstLine="0" w:firstLineChars="0"/>
              <w:rPr>
                <w:rFonts w:hint="eastAsia" w:ascii="Times New Roman" w:hAnsi="Times New Roman" w:eastAsia="宋体"/>
                <w:color w:val="auto"/>
                <w:sz w:val="21"/>
                <w:szCs w:val="21"/>
                <w:lang w:val="en-US" w:eastAsia="zh-CN"/>
              </w:rPr>
            </w:pPr>
          </w:p>
        </w:tc>
        <w:tc>
          <w:tcPr>
            <w:tcW w:w="1879" w:type="pct"/>
            <w:noWrap w:val="0"/>
            <w:vAlign w:val="center"/>
          </w:tcPr>
          <w:p>
            <w:pPr>
              <w:pStyle w:val="92"/>
              <w:adjustRightInd w:val="0"/>
              <w:snapToGrid w:val="0"/>
              <w:ind w:firstLine="0" w:firstLineChars="0"/>
              <w:jc w:val="center"/>
              <w:rPr>
                <w:rFonts w:hint="eastAsia" w:ascii="Times New Roman" w:hAnsi="Times New Roman" w:cs="Times New Roman"/>
                <w:bCs w:val="0"/>
                <w:i w:val="0"/>
                <w:iCs w:val="0"/>
                <w:color w:val="auto"/>
                <w:kern w:val="0"/>
                <w:sz w:val="21"/>
                <w:szCs w:val="21"/>
                <w:u w:val="none"/>
                <w:lang w:val="en-US" w:eastAsia="zh-CN" w:bidi="ar"/>
              </w:rPr>
            </w:pPr>
            <w:r>
              <w:rPr>
                <w:rFonts w:hint="eastAsia" w:ascii="Times New Roman" w:hAnsi="Times New Roman" w:cs="Times New Roman"/>
                <w:bCs w:val="0"/>
                <w:i w:val="0"/>
                <w:iCs w:val="0"/>
                <w:color w:val="auto"/>
                <w:kern w:val="0"/>
                <w:sz w:val="21"/>
                <w:szCs w:val="21"/>
                <w:u w:val="none"/>
                <w:lang w:val="en-US" w:eastAsia="zh-CN" w:bidi="ar"/>
              </w:rPr>
              <w:t>非甲烷总烃</w:t>
            </w:r>
          </w:p>
        </w:tc>
        <w:tc>
          <w:tcPr>
            <w:tcW w:w="959" w:type="pct"/>
            <w:noWrap w:val="0"/>
            <w:vAlign w:val="center"/>
          </w:tcPr>
          <w:p>
            <w:pPr>
              <w:pStyle w:val="92"/>
              <w:adjustRightInd w:val="0"/>
              <w:snapToGrid w:val="0"/>
              <w:ind w:firstLine="0" w:firstLineChars="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每天采集</w:t>
            </w:r>
            <w:r>
              <w:rPr>
                <w:rFonts w:hint="eastAsia" w:ascii="Times New Roman" w:hAnsi="Times New Roman" w:cs="Times New Roman"/>
                <w:bCs w:val="0"/>
                <w:color w:val="auto"/>
                <w:sz w:val="21"/>
                <w:szCs w:val="21"/>
                <w:lang w:val="en-US" w:eastAsia="zh-CN"/>
              </w:rPr>
              <w:t>4</w:t>
            </w:r>
            <w:r>
              <w:rPr>
                <w:rFonts w:hint="default" w:ascii="Times New Roman" w:hAnsi="Times New Roman" w:cs="Times New Roman"/>
                <w:bCs w:val="0"/>
                <w:color w:val="auto"/>
                <w:sz w:val="21"/>
                <w:szCs w:val="21"/>
                <w:lang w:eastAsia="zh-CN"/>
              </w:rPr>
              <w:t>次</w:t>
            </w:r>
          </w:p>
          <w:p>
            <w:pPr>
              <w:pStyle w:val="92"/>
              <w:adjustRightInd w:val="0"/>
              <w:snapToGrid w:val="0"/>
              <w:ind w:firstLine="0" w:firstLineChars="0"/>
              <w:rPr>
                <w:rFonts w:hint="eastAsia"/>
                <w:color w:val="auto"/>
                <w:sz w:val="21"/>
                <w:szCs w:val="21"/>
                <w:lang w:val="en-US" w:eastAsia="zh-CN"/>
              </w:rPr>
            </w:pPr>
            <w:r>
              <w:rPr>
                <w:rFonts w:hint="default" w:ascii="Times New Roman" w:hAnsi="Times New Roman" w:cs="Times New Roman"/>
                <w:bCs w:val="0"/>
                <w:color w:val="auto"/>
                <w:sz w:val="21"/>
                <w:szCs w:val="21"/>
                <w:lang w:eastAsia="zh-CN"/>
              </w:rPr>
              <w:t>连续监测2天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5" w:type="pct"/>
            <w:vMerge w:val="continue"/>
            <w:noWrap w:val="0"/>
            <w:vAlign w:val="center"/>
          </w:tcPr>
          <w:p>
            <w:pPr>
              <w:widowControl w:val="0"/>
              <w:spacing w:line="240" w:lineRule="auto"/>
              <w:jc w:val="center"/>
              <w:rPr>
                <w:rFonts w:hint="default" w:ascii="Times New Roman" w:hAnsi="Times New Roman" w:eastAsia="宋体"/>
                <w:color w:val="auto"/>
                <w:sz w:val="21"/>
                <w:szCs w:val="21"/>
                <w:lang w:eastAsia="zh-CN"/>
              </w:rPr>
            </w:pPr>
          </w:p>
        </w:tc>
        <w:tc>
          <w:tcPr>
            <w:tcW w:w="1346" w:type="pct"/>
            <w:noWrap w:val="0"/>
            <w:vAlign w:val="center"/>
          </w:tcPr>
          <w:p>
            <w:pPr>
              <w:pStyle w:val="92"/>
              <w:adjustRightInd w:val="0"/>
              <w:snapToGrid w:val="0"/>
              <w:ind w:firstLine="0" w:firstLineChars="0"/>
              <w:rPr>
                <w:rFonts w:hint="eastAsia" w:ascii="Times New Roman" w:hAnsi="Times New Roman" w:eastAsia="宋体"/>
                <w:color w:val="auto"/>
                <w:sz w:val="21"/>
                <w:szCs w:val="21"/>
                <w:lang w:val="en-US" w:eastAsia="zh-CN"/>
              </w:rPr>
            </w:pPr>
            <w:r>
              <w:rPr>
                <w:rFonts w:hint="default" w:ascii="Times New Roman" w:hAnsi="Times New Roman" w:cs="Times New Roman"/>
                <w:bCs w:val="0"/>
                <w:color w:val="auto"/>
                <w:sz w:val="21"/>
                <w:szCs w:val="21"/>
                <w:lang w:val="en-US" w:eastAsia="zh-CN"/>
              </w:rPr>
              <w:t>G3破碎</w:t>
            </w:r>
          </w:p>
        </w:tc>
        <w:tc>
          <w:tcPr>
            <w:tcW w:w="1879" w:type="pct"/>
            <w:noWrap w:val="0"/>
            <w:vAlign w:val="center"/>
          </w:tcPr>
          <w:p>
            <w:pPr>
              <w:pStyle w:val="92"/>
              <w:adjustRightInd w:val="0"/>
              <w:snapToGrid w:val="0"/>
              <w:ind w:firstLine="0" w:firstLineChars="0"/>
              <w:jc w:val="center"/>
              <w:rPr>
                <w:rFonts w:hint="eastAsia" w:ascii="Times New Roman" w:hAnsi="Times New Roman" w:cs="Times New Roman"/>
                <w:bCs w:val="0"/>
                <w:i w:val="0"/>
                <w:iCs w:val="0"/>
                <w:color w:val="auto"/>
                <w:kern w:val="0"/>
                <w:sz w:val="21"/>
                <w:szCs w:val="21"/>
                <w:u w:val="none"/>
                <w:lang w:val="en-US" w:eastAsia="zh-CN" w:bidi="ar"/>
              </w:rPr>
            </w:pPr>
            <w:r>
              <w:rPr>
                <w:rFonts w:hint="eastAsia" w:ascii="Times New Roman" w:hAnsi="Times New Roman" w:cs="Times New Roman"/>
                <w:bCs w:val="0"/>
                <w:i w:val="0"/>
                <w:iCs w:val="0"/>
                <w:color w:val="auto"/>
                <w:kern w:val="0"/>
                <w:sz w:val="21"/>
                <w:szCs w:val="21"/>
                <w:u w:val="none"/>
                <w:lang w:val="en-US" w:eastAsia="zh-CN" w:bidi="ar"/>
              </w:rPr>
              <w:t>颗粒物</w:t>
            </w:r>
          </w:p>
        </w:tc>
        <w:tc>
          <w:tcPr>
            <w:tcW w:w="959" w:type="pct"/>
            <w:noWrap w:val="0"/>
            <w:vAlign w:val="center"/>
          </w:tcPr>
          <w:p>
            <w:pPr>
              <w:pStyle w:val="92"/>
              <w:adjustRightInd w:val="0"/>
              <w:snapToGrid w:val="0"/>
              <w:ind w:firstLine="0" w:firstLineChars="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每天采集</w:t>
            </w:r>
            <w:r>
              <w:rPr>
                <w:rFonts w:hint="eastAsia" w:ascii="Times New Roman" w:hAnsi="Times New Roman" w:cs="Times New Roman"/>
                <w:bCs w:val="0"/>
                <w:color w:val="auto"/>
                <w:sz w:val="21"/>
                <w:szCs w:val="21"/>
                <w:lang w:val="en-US" w:eastAsia="zh-CN"/>
              </w:rPr>
              <w:t>3</w:t>
            </w:r>
            <w:r>
              <w:rPr>
                <w:rFonts w:hint="default" w:ascii="Times New Roman" w:hAnsi="Times New Roman" w:cs="Times New Roman"/>
                <w:bCs w:val="0"/>
                <w:color w:val="auto"/>
                <w:sz w:val="21"/>
                <w:szCs w:val="21"/>
                <w:lang w:eastAsia="zh-CN"/>
              </w:rPr>
              <w:t>次</w:t>
            </w:r>
          </w:p>
          <w:p>
            <w:pPr>
              <w:pStyle w:val="92"/>
              <w:adjustRightInd w:val="0"/>
              <w:snapToGrid w:val="0"/>
              <w:ind w:firstLine="0" w:firstLineChars="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连续监测2天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5" w:type="pct"/>
            <w:noWrap w:val="0"/>
            <w:vAlign w:val="center"/>
          </w:tcPr>
          <w:p>
            <w:pPr>
              <w:widowControl w:val="0"/>
              <w:spacing w:line="240" w:lineRule="auto"/>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无组织废气</w:t>
            </w:r>
          </w:p>
        </w:tc>
        <w:tc>
          <w:tcPr>
            <w:tcW w:w="1346"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厂界无组织（</w:t>
            </w:r>
            <w:r>
              <w:rPr>
                <w:rFonts w:hint="default" w:ascii="Times New Roman" w:hAnsi="Times New Roman" w:cs="Times New Roman"/>
                <w:bCs w:val="0"/>
                <w:color w:val="auto"/>
                <w:sz w:val="21"/>
                <w:szCs w:val="21"/>
                <w:lang w:val="en-US" w:eastAsia="zh-CN"/>
              </w:rPr>
              <w:t>G4</w:t>
            </w:r>
            <w:r>
              <w:rPr>
                <w:rFonts w:hint="eastAsia" w:ascii="Times New Roman" w:hAnsi="Times New Roman" w:eastAsia="宋体"/>
                <w:color w:val="auto"/>
                <w:sz w:val="21"/>
                <w:szCs w:val="21"/>
                <w:lang w:val="en-US" w:eastAsia="zh-CN"/>
              </w:rPr>
              <w:t>）</w:t>
            </w:r>
          </w:p>
        </w:tc>
        <w:tc>
          <w:tcPr>
            <w:tcW w:w="1879" w:type="pct"/>
            <w:noWrap w:val="0"/>
            <w:vAlign w:val="center"/>
          </w:tcPr>
          <w:p>
            <w:pPr>
              <w:widowControl w:val="0"/>
              <w:spacing w:line="240" w:lineRule="auto"/>
              <w:jc w:val="center"/>
              <w:rPr>
                <w:rFonts w:hint="default" w:ascii="Times New Roman" w:hAnsi="Times New Roman" w:eastAsia="宋体"/>
                <w:color w:val="auto"/>
                <w:sz w:val="21"/>
                <w:szCs w:val="21"/>
              </w:rPr>
            </w:pPr>
            <w:r>
              <w:rPr>
                <w:rFonts w:hint="eastAsia" w:ascii="Times New Roman" w:hAnsi="Times New Roman" w:cs="Times New Roman"/>
                <w:bCs w:val="0"/>
                <w:i w:val="0"/>
                <w:iCs w:val="0"/>
                <w:color w:val="auto"/>
                <w:kern w:val="0"/>
                <w:sz w:val="21"/>
                <w:szCs w:val="21"/>
                <w:u w:val="none"/>
                <w:lang w:val="en-US" w:eastAsia="zh-CN" w:bidi="ar"/>
              </w:rPr>
              <w:t>颗粒物</w:t>
            </w:r>
            <w:r>
              <w:rPr>
                <w:rFonts w:hint="default" w:ascii="Times New Roman" w:hAnsi="Times New Roman" w:cs="Times New Roman"/>
                <w:bCs w:val="0"/>
                <w:color w:val="auto"/>
                <w:sz w:val="21"/>
                <w:szCs w:val="21"/>
              </w:rPr>
              <w:t>、</w:t>
            </w:r>
            <w:r>
              <w:rPr>
                <w:rFonts w:hint="eastAsia" w:ascii="Times New Roman" w:hAnsi="Times New Roman" w:cs="Times New Roman"/>
                <w:bCs w:val="0"/>
                <w:color w:val="auto"/>
                <w:sz w:val="21"/>
                <w:szCs w:val="21"/>
                <w:lang w:val="en-US" w:eastAsia="zh-CN"/>
              </w:rPr>
              <w:t>氟化物</w:t>
            </w:r>
            <w:r>
              <w:rPr>
                <w:rFonts w:hint="default" w:ascii="Times New Roman" w:hAnsi="Times New Roman" w:cs="Times New Roman"/>
                <w:bCs w:val="0"/>
                <w:color w:val="auto"/>
                <w:sz w:val="21"/>
                <w:szCs w:val="21"/>
              </w:rPr>
              <w:t>、</w:t>
            </w:r>
            <w:r>
              <w:rPr>
                <w:rFonts w:hint="eastAsia" w:ascii="Times New Roman" w:hAnsi="Times New Roman" w:cs="Times New Roman"/>
                <w:bCs w:val="0"/>
                <w:color w:val="auto"/>
                <w:sz w:val="21"/>
                <w:szCs w:val="21"/>
                <w:lang w:val="en-US" w:eastAsia="zh-CN"/>
              </w:rPr>
              <w:t>氨、硫化氢、</w:t>
            </w:r>
            <w:r>
              <w:rPr>
                <w:rFonts w:hint="default" w:ascii="Times New Roman" w:hAnsi="Times New Roman" w:cs="Times New Roman"/>
                <w:bCs w:val="0"/>
                <w:color w:val="auto"/>
                <w:sz w:val="21"/>
                <w:szCs w:val="21"/>
              </w:rPr>
              <w:t>臭气</w:t>
            </w:r>
            <w:r>
              <w:rPr>
                <w:rFonts w:hint="default" w:ascii="Times New Roman" w:hAnsi="Times New Roman" w:cs="Times New Roman"/>
                <w:bCs w:val="0"/>
                <w:color w:val="auto"/>
                <w:sz w:val="21"/>
                <w:szCs w:val="21"/>
                <w:lang w:val="en-US" w:eastAsia="zh-CN"/>
              </w:rPr>
              <w:t>浓度</w:t>
            </w:r>
            <w:r>
              <w:rPr>
                <w:rFonts w:hint="eastAsia" w:ascii="Times New Roman" w:hAnsi="Times New Roman" w:cs="Times New Roman"/>
                <w:bCs w:val="0"/>
                <w:color w:val="auto"/>
                <w:sz w:val="21"/>
                <w:szCs w:val="21"/>
                <w:lang w:val="en-US" w:eastAsia="zh-CN"/>
              </w:rPr>
              <w:t>、二氧化硫</w:t>
            </w:r>
          </w:p>
        </w:tc>
        <w:tc>
          <w:tcPr>
            <w:tcW w:w="959" w:type="pct"/>
            <w:noWrap w:val="0"/>
            <w:vAlign w:val="center"/>
          </w:tcPr>
          <w:p>
            <w:pPr>
              <w:pStyle w:val="92"/>
              <w:adjustRightInd w:val="0"/>
              <w:snapToGrid w:val="0"/>
              <w:ind w:firstLine="0" w:firstLineChars="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每天采集</w:t>
            </w:r>
            <w:r>
              <w:rPr>
                <w:rFonts w:hint="eastAsia" w:ascii="Times New Roman" w:hAnsi="Times New Roman" w:cs="Times New Roman"/>
                <w:bCs w:val="0"/>
                <w:color w:val="auto"/>
                <w:sz w:val="21"/>
                <w:szCs w:val="21"/>
                <w:lang w:val="en-US" w:eastAsia="zh-CN"/>
              </w:rPr>
              <w:t>3</w:t>
            </w:r>
            <w:r>
              <w:rPr>
                <w:rFonts w:hint="default" w:ascii="Times New Roman" w:hAnsi="Times New Roman" w:cs="Times New Roman"/>
                <w:bCs w:val="0"/>
                <w:color w:val="auto"/>
                <w:sz w:val="21"/>
                <w:szCs w:val="21"/>
                <w:lang w:eastAsia="zh-CN"/>
              </w:rPr>
              <w:t>次</w:t>
            </w:r>
          </w:p>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s="Times New Roman"/>
                <w:bCs w:val="0"/>
                <w:color w:val="auto"/>
                <w:sz w:val="21"/>
                <w:szCs w:val="21"/>
                <w:lang w:eastAsia="zh-CN"/>
              </w:rPr>
              <w:t>连续监测2天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5" w:type="pct"/>
            <w:noWrap w:val="0"/>
            <w:vAlign w:val="center"/>
          </w:tcPr>
          <w:p>
            <w:pPr>
              <w:widowControl w:val="0"/>
              <w:spacing w:line="240" w:lineRule="auto"/>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val="en-US" w:eastAsia="zh-CN"/>
              </w:rPr>
              <w:t>噪声</w:t>
            </w:r>
          </w:p>
        </w:tc>
        <w:tc>
          <w:tcPr>
            <w:tcW w:w="1346" w:type="pct"/>
            <w:noWrap w:val="0"/>
            <w:vAlign w:val="center"/>
          </w:tcPr>
          <w:p>
            <w:pPr>
              <w:pStyle w:val="92"/>
              <w:keepNext w:val="0"/>
              <w:keepLines w:val="0"/>
              <w:pageBreakBefore w:val="0"/>
              <w:widowControl/>
              <w:kinsoku/>
              <w:wordWrap/>
              <w:overflowPunct/>
              <w:topLinePunct w:val="0"/>
              <w:autoSpaceDE/>
              <w:autoSpaceDN/>
              <w:bidi w:val="0"/>
              <w:adjustRightInd w:val="0"/>
              <w:snapToGrid/>
              <w:textAlignment w:val="auto"/>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N1（厂界东侧外1m）</w:t>
            </w:r>
          </w:p>
          <w:p>
            <w:pPr>
              <w:pStyle w:val="92"/>
              <w:keepNext w:val="0"/>
              <w:keepLines w:val="0"/>
              <w:pageBreakBefore w:val="0"/>
              <w:widowControl/>
              <w:kinsoku/>
              <w:wordWrap/>
              <w:overflowPunct/>
              <w:topLinePunct w:val="0"/>
              <w:autoSpaceDE/>
              <w:autoSpaceDN/>
              <w:bidi w:val="0"/>
              <w:adjustRightInd w:val="0"/>
              <w:snapToGrid/>
              <w:textAlignment w:val="auto"/>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N2（厂界南侧外1m）</w:t>
            </w:r>
          </w:p>
          <w:p>
            <w:pPr>
              <w:pStyle w:val="92"/>
              <w:keepNext w:val="0"/>
              <w:keepLines w:val="0"/>
              <w:pageBreakBefore w:val="0"/>
              <w:widowControl/>
              <w:kinsoku/>
              <w:wordWrap/>
              <w:overflowPunct/>
              <w:topLinePunct w:val="0"/>
              <w:autoSpaceDE/>
              <w:autoSpaceDN/>
              <w:bidi w:val="0"/>
              <w:adjustRightInd w:val="0"/>
              <w:snapToGrid/>
              <w:textAlignment w:val="auto"/>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N3（厂界西侧外1m）</w:t>
            </w:r>
          </w:p>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s="Times New Roman"/>
                <w:bCs w:val="0"/>
                <w:color w:val="auto"/>
                <w:sz w:val="21"/>
                <w:szCs w:val="21"/>
                <w:lang w:val="en-US" w:eastAsia="zh-CN"/>
              </w:rPr>
              <w:t>N4（厂界北侧外1m）</w:t>
            </w:r>
          </w:p>
        </w:tc>
        <w:tc>
          <w:tcPr>
            <w:tcW w:w="1879" w:type="pct"/>
            <w:noWrap w:val="0"/>
            <w:vAlign w:val="center"/>
          </w:tcPr>
          <w:p>
            <w:pPr>
              <w:widowControl w:val="0"/>
              <w:spacing w:line="240" w:lineRule="auto"/>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lang w:val="en-US" w:eastAsia="zh-CN"/>
              </w:rPr>
              <w:t>厂界噪声</w:t>
            </w:r>
          </w:p>
        </w:tc>
        <w:tc>
          <w:tcPr>
            <w:tcW w:w="959" w:type="pct"/>
            <w:noWrap w:val="0"/>
            <w:vAlign w:val="center"/>
          </w:tcPr>
          <w:p>
            <w:pPr>
              <w:pStyle w:val="92"/>
              <w:adjustRightInd w:val="0"/>
              <w:snapToGrid w:val="0"/>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val="en-US" w:eastAsia="zh-CN"/>
              </w:rPr>
              <w:t>昼夜间</w:t>
            </w:r>
            <w:r>
              <w:rPr>
                <w:rFonts w:hint="eastAsia" w:ascii="Times New Roman" w:hAnsi="Times New Roman" w:cs="Times New Roman"/>
                <w:bCs w:val="0"/>
                <w:color w:val="auto"/>
                <w:lang w:val="en-US" w:eastAsia="zh-CN"/>
              </w:rPr>
              <w:t>各</w:t>
            </w:r>
            <w:r>
              <w:rPr>
                <w:rFonts w:hint="default" w:ascii="Times New Roman" w:hAnsi="Times New Roman" w:cs="Times New Roman"/>
                <w:bCs w:val="0"/>
                <w:color w:val="auto"/>
                <w:lang w:val="en-US" w:eastAsia="zh-CN"/>
              </w:rPr>
              <w:t>1次</w:t>
            </w:r>
          </w:p>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s="Times New Roman"/>
                <w:bCs w:val="0"/>
                <w:color w:val="auto"/>
                <w:lang w:val="en-US" w:eastAsia="zh-CN"/>
              </w:rPr>
              <w:t>监测2天</w:t>
            </w:r>
          </w:p>
        </w:tc>
      </w:tr>
    </w:tbl>
    <w:p>
      <w:pPr>
        <w:pStyle w:val="30"/>
        <w:jc w:val="center"/>
        <w:rPr>
          <w:rFonts w:hint="eastAsia" w:eastAsia="宋体"/>
          <w:lang w:eastAsia="zh-CN"/>
        </w:rPr>
      </w:pPr>
    </w:p>
    <w:p>
      <w:pPr>
        <w:pStyle w:val="30"/>
        <w:spacing w:line="240" w:lineRule="auto"/>
        <w:rPr>
          <w:rFonts w:hint="eastAsia" w:eastAsia="宋体"/>
          <w:lang w:eastAsia="zh-CN"/>
        </w:rPr>
      </w:pPr>
      <w:r>
        <w:rPr>
          <w:rFonts w:hint="eastAsia" w:eastAsia="宋体"/>
          <w:lang w:eastAsia="zh-CN"/>
        </w:rPr>
        <w:drawing>
          <wp:inline distT="0" distB="0" distL="114300" distR="114300">
            <wp:extent cx="5271135" cy="6043930"/>
            <wp:effectExtent l="0" t="0" r="0" b="0"/>
            <wp:docPr id="5" name="图片 5" descr="170830970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8309700551"/>
                    <pic:cNvPicPr>
                      <a:picLocks noChangeAspect="1"/>
                    </pic:cNvPicPr>
                  </pic:nvPicPr>
                  <pic:blipFill>
                    <a:blip r:embed="rId21"/>
                    <a:srcRect b="4467"/>
                    <a:stretch>
                      <a:fillRect/>
                    </a:stretch>
                  </pic:blipFill>
                  <pic:spPr>
                    <a:xfrm>
                      <a:off x="0" y="0"/>
                      <a:ext cx="5271135" cy="6043930"/>
                    </a:xfrm>
                    <a:prstGeom prst="rect">
                      <a:avLst/>
                    </a:prstGeom>
                  </pic:spPr>
                </pic:pic>
              </a:graphicData>
            </a:graphic>
          </wp:inline>
        </w:drawing>
      </w:r>
    </w:p>
    <w:p>
      <w:pPr>
        <w:jc w:val="center"/>
        <w:rPr>
          <w:rFonts w:cs="Times New Roman"/>
          <w:b/>
          <w:bCs/>
          <w:sz w:val="21"/>
          <w:szCs w:val="21"/>
        </w:rPr>
      </w:pPr>
      <w:bookmarkStart w:id="89" w:name="_Toc497833622"/>
      <w:r>
        <w:rPr>
          <w:rFonts w:hint="eastAsia"/>
          <w:b/>
          <w:bCs/>
          <w:sz w:val="21"/>
          <w:szCs w:val="21"/>
          <w:lang w:eastAsia="zh-CN"/>
        </w:rPr>
        <w:t>图</w:t>
      </w:r>
      <w:r>
        <w:rPr>
          <w:rFonts w:hint="eastAsia"/>
          <w:b/>
          <w:bCs/>
          <w:sz w:val="21"/>
          <w:szCs w:val="21"/>
          <w:lang w:val="en-US" w:eastAsia="zh-CN"/>
        </w:rPr>
        <w:t xml:space="preserve">7.1 </w:t>
      </w:r>
      <w:r>
        <w:rPr>
          <w:rFonts w:cs="Times New Roman"/>
          <w:b/>
          <w:bCs/>
          <w:sz w:val="21"/>
          <w:szCs w:val="21"/>
        </w:rPr>
        <w:t>监测布点示意图</w:t>
      </w:r>
    </w:p>
    <w:p>
      <w:pPr>
        <w:pStyle w:val="30"/>
        <w:rPr>
          <w:rFonts w:cs="Times New Roman"/>
          <w:b/>
          <w:bCs/>
          <w:sz w:val="21"/>
          <w:szCs w:val="21"/>
        </w:rPr>
      </w:pPr>
    </w:p>
    <w:p>
      <w:pPr>
        <w:pStyle w:val="6"/>
        <w:rPr>
          <w:rFonts w:cs="Times New Roman"/>
          <w:b/>
          <w:bCs/>
          <w:sz w:val="21"/>
          <w:szCs w:val="21"/>
        </w:rPr>
      </w:pPr>
    </w:p>
    <w:p>
      <w:pPr>
        <w:rPr>
          <w:rFonts w:hint="default"/>
          <w:lang w:val="en-US" w:eastAsia="zh-CN"/>
        </w:rPr>
        <w:sectPr>
          <w:pgSz w:w="11906" w:h="16838"/>
          <w:pgMar w:top="1440" w:right="1800" w:bottom="1440" w:left="1800" w:header="1077" w:footer="992" w:gutter="0"/>
          <w:pgBorders>
            <w:top w:val="none" w:sz="0" w:space="0"/>
            <w:left w:val="none" w:sz="0" w:space="0"/>
            <w:bottom w:val="none" w:sz="0" w:space="0"/>
            <w:right w:val="none" w:sz="0" w:space="0"/>
          </w:pgBorders>
          <w:cols w:space="720" w:num="1"/>
          <w:docGrid w:type="lines" w:linePitch="312" w:charSpace="0"/>
        </w:sectPr>
      </w:pPr>
    </w:p>
    <w:p>
      <w:pPr>
        <w:pStyle w:val="2"/>
      </w:pPr>
      <w:bookmarkStart w:id="90" w:name="_Toc20610"/>
      <w:r>
        <w:t>8 质量保证及质量控制</w:t>
      </w:r>
      <w:bookmarkEnd w:id="89"/>
      <w:bookmarkEnd w:id="90"/>
    </w:p>
    <w:p>
      <w:pPr>
        <w:pStyle w:val="3"/>
      </w:pPr>
      <w:bookmarkStart w:id="91" w:name="_Toc28206"/>
      <w:bookmarkStart w:id="92" w:name="_Toc497833623"/>
      <w:bookmarkStart w:id="93" w:name="bookmark2"/>
      <w:r>
        <w:t>8.1</w:t>
      </w:r>
      <w:bookmarkEnd w:id="91"/>
      <w:bookmarkEnd w:id="92"/>
      <w:r>
        <w:rPr>
          <w:rFonts w:hint="eastAsia"/>
        </w:rPr>
        <w:t>检测分析方法及仪器设备</w:t>
      </w:r>
    </w:p>
    <w:p>
      <w:r>
        <w:t>项目</w:t>
      </w:r>
      <w:r>
        <w:rPr>
          <w:rFonts w:hint="eastAsia"/>
          <w:lang w:eastAsia="zh-CN"/>
        </w:rPr>
        <w:t>监测所使用</w:t>
      </w:r>
      <w:r>
        <w:rPr>
          <w:rFonts w:hint="eastAsia"/>
          <w:lang w:val="en-US" w:eastAsia="zh-CN"/>
        </w:rPr>
        <w:t>检测分析方法及仪器设备</w:t>
      </w:r>
      <w:r>
        <w:t>详见表8.</w:t>
      </w:r>
      <w:r>
        <w:rPr>
          <w:rFonts w:hint="eastAsia"/>
          <w:lang w:val="en-US" w:eastAsia="zh-CN"/>
        </w:rPr>
        <w:t>1</w:t>
      </w:r>
      <w:r>
        <w:t>。</w:t>
      </w:r>
    </w:p>
    <w:p>
      <w:pPr>
        <w:spacing w:line="360" w:lineRule="auto"/>
        <w:jc w:val="center"/>
        <w:rPr>
          <w:b/>
          <w:bCs/>
          <w:sz w:val="21"/>
          <w:szCs w:val="21"/>
        </w:rPr>
      </w:pPr>
      <w:r>
        <w:rPr>
          <w:b/>
          <w:bCs/>
          <w:sz w:val="21"/>
          <w:szCs w:val="21"/>
        </w:rPr>
        <w:t xml:space="preserve">表8-1  </w:t>
      </w:r>
      <w:r>
        <w:rPr>
          <w:rFonts w:hint="eastAsia"/>
          <w:b/>
          <w:bCs/>
          <w:sz w:val="21"/>
          <w:szCs w:val="21"/>
          <w:lang w:val="en-US" w:eastAsia="zh-CN"/>
        </w:rPr>
        <w:t>检测分析方法及仪器设备一览表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130"/>
        <w:gridCol w:w="2403"/>
        <w:gridCol w:w="290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类别</w:t>
            </w:r>
          </w:p>
        </w:tc>
        <w:tc>
          <w:tcPr>
            <w:tcW w:w="663" w:type="pct"/>
            <w:noWrap w:val="0"/>
            <w:vAlign w:val="center"/>
          </w:tcPr>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
                <w:bCs w:val="0"/>
                <w:color w:val="auto"/>
                <w:sz w:val="21"/>
                <w:szCs w:val="21"/>
              </w:rPr>
              <w:t>监测项目</w:t>
            </w:r>
          </w:p>
        </w:tc>
        <w:tc>
          <w:tcPr>
            <w:tcW w:w="1410" w:type="pct"/>
            <w:noWrap w:val="0"/>
            <w:vAlign w:val="center"/>
          </w:tcPr>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
                <w:bCs w:val="0"/>
                <w:color w:val="auto"/>
                <w:sz w:val="21"/>
                <w:szCs w:val="21"/>
              </w:rPr>
              <w:t>监测方法及依据</w:t>
            </w:r>
          </w:p>
        </w:tc>
        <w:tc>
          <w:tcPr>
            <w:tcW w:w="1707" w:type="pct"/>
            <w:noWrap w:val="0"/>
            <w:vAlign w:val="center"/>
          </w:tcPr>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
                <w:bCs w:val="0"/>
                <w:color w:val="auto"/>
                <w:sz w:val="21"/>
                <w:szCs w:val="21"/>
                <w:lang w:eastAsia="zh-CN"/>
              </w:rPr>
              <w:t>使用仪器名称、型号及编号</w:t>
            </w:r>
          </w:p>
        </w:tc>
        <w:tc>
          <w:tcPr>
            <w:tcW w:w="747" w:type="pct"/>
            <w:noWrap w:val="0"/>
            <w:vAlign w:val="center"/>
          </w:tcPr>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
                <w:bCs w:val="0"/>
                <w:color w:val="auto"/>
                <w:sz w:val="21"/>
                <w:szCs w:val="21"/>
                <w:lang w:val="en-US" w:eastAsia="zh-CN"/>
              </w:rPr>
              <w:t>检出限/最低检测浓度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eastAsia"/>
                <w:sz w:val="21"/>
                <w:szCs w:val="21"/>
                <w:lang w:val="en-US" w:eastAsia="zh-CN"/>
              </w:rPr>
              <w:t>无组织废气</w:t>
            </w:r>
          </w:p>
        </w:tc>
        <w:tc>
          <w:tcPr>
            <w:tcW w:w="663" w:type="pct"/>
            <w:noWrap w:val="0"/>
            <w:vAlign w:val="center"/>
          </w:tcPr>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Cs w:val="0"/>
                <w:color w:val="auto"/>
                <w:lang w:eastAsia="zh-CN"/>
              </w:rPr>
              <w:t>颗粒物</w:t>
            </w:r>
          </w:p>
        </w:tc>
        <w:tc>
          <w:tcPr>
            <w:tcW w:w="1410" w:type="pct"/>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sz w:val="21"/>
                <w:szCs w:val="21"/>
                <w:lang w:val="en-US" w:eastAsia="zh-CN"/>
              </w:rPr>
            </w:pPr>
            <w:r>
              <w:rPr>
                <w:rFonts w:hint="default" w:ascii="Times New Roman" w:hAnsi="Times New Roman" w:cs="Times New Roman"/>
                <w:bCs w:val="0"/>
                <w:color w:val="auto"/>
                <w:sz w:val="21"/>
                <w:szCs w:val="21"/>
              </w:rPr>
              <w:t xml:space="preserve">环境空气 总悬浮颗粒物的测定 重量法 </w:t>
            </w:r>
            <w:r>
              <w:rPr>
                <w:rFonts w:hint="eastAsia" w:cs="Times New Roman"/>
                <w:bCs w:val="0"/>
                <w:color w:val="auto"/>
                <w:sz w:val="21"/>
                <w:szCs w:val="21"/>
                <w:lang w:val="en-US" w:eastAsia="zh-CN"/>
              </w:rPr>
              <w:t>HJ 1263-2022</w:t>
            </w:r>
          </w:p>
        </w:tc>
        <w:tc>
          <w:tcPr>
            <w:tcW w:w="1707" w:type="pct"/>
            <w:noWrap w:val="0"/>
            <w:vAlign w:val="center"/>
          </w:tcPr>
          <w:p>
            <w:pPr>
              <w:pStyle w:val="92"/>
              <w:adjustRightInd w:val="0"/>
              <w:snapToGrid w:val="0"/>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eastAsia="zh-CN"/>
              </w:rPr>
              <w:t>高负压智能综合采样器 ADS-2062G 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default" w:ascii="Times New Roman" w:hAnsi="Times New Roman" w:cs="Times New Roman"/>
                <w:bCs w:val="0"/>
                <w:color w:val="auto"/>
                <w:lang w:val="en-US" w:eastAsia="zh-CN"/>
              </w:rPr>
              <w:t>60</w:t>
            </w:r>
            <w:r>
              <w:rPr>
                <w:rFonts w:hint="eastAsia" w:ascii="Times New Roman" w:hAnsi="Times New Roman" w:cs="Times New Roman"/>
                <w:bCs w:val="0"/>
                <w:color w:val="auto"/>
                <w:lang w:val="en-US" w:eastAsia="zh-CN"/>
              </w:rPr>
              <w:t>、</w:t>
            </w:r>
            <w:r>
              <w:rPr>
                <w:rFonts w:hint="default" w:ascii="Times New Roman" w:hAnsi="Times New Roman" w:cs="Times New Roman"/>
                <w:bCs w:val="0"/>
                <w:color w:val="auto"/>
                <w:lang w:eastAsia="zh-CN"/>
              </w:rPr>
              <w:t>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eastAsia" w:ascii="Times New Roman" w:hAnsi="Times New Roman" w:cs="Times New Roman"/>
                <w:bCs w:val="0"/>
                <w:color w:val="auto"/>
                <w:lang w:val="en-US" w:eastAsia="zh-CN"/>
              </w:rPr>
              <w:t>85</w:t>
            </w:r>
          </w:p>
          <w:p>
            <w:pPr>
              <w:pStyle w:val="92"/>
              <w:adjustRightInd w:val="0"/>
              <w:snapToGrid w:val="0"/>
              <w:rPr>
                <w:rFonts w:hint="eastAsia" w:ascii="Times New Roman" w:hAnsi="Times New Roman" w:eastAsia="宋体" w:cs="Times New Roman"/>
                <w:bCs w:val="0"/>
                <w:color w:val="auto"/>
                <w:lang w:eastAsia="zh-CN"/>
              </w:rPr>
            </w:pPr>
            <w:r>
              <w:rPr>
                <w:rFonts w:hint="default" w:ascii="Times New Roman" w:hAnsi="Times New Roman" w:cs="Times New Roman"/>
                <w:bCs w:val="0"/>
                <w:color w:val="auto"/>
              </w:rPr>
              <w:t>十万分之一天平</w:t>
            </w:r>
            <w:r>
              <w:rPr>
                <w:rFonts w:hint="default" w:ascii="Times New Roman" w:hAnsi="Times New Roman" w:cs="Times New Roman"/>
                <w:bCs w:val="0"/>
                <w:color w:val="auto"/>
                <w:lang w:eastAsia="zh-CN"/>
              </w:rPr>
              <w:t xml:space="preserve"> </w:t>
            </w:r>
            <w:r>
              <w:rPr>
                <w:rFonts w:hint="default" w:ascii="Times New Roman" w:hAnsi="Times New Roman" w:cs="Times New Roman"/>
                <w:bCs w:val="0"/>
                <w:color w:val="auto"/>
              </w:rPr>
              <w:t>XPR205DU</w:t>
            </w:r>
            <w:r>
              <w:rPr>
                <w:rFonts w:hint="default" w:ascii="Times New Roman" w:hAnsi="Times New Roman" w:cs="Times New Roman"/>
                <w:bCs w:val="0"/>
                <w:color w:val="auto"/>
                <w:lang w:eastAsia="zh-CN"/>
              </w:rPr>
              <w:t xml:space="preserve"> WTI</w:t>
            </w:r>
            <w:r>
              <w:rPr>
                <w:rFonts w:hint="default" w:ascii="Times New Roman" w:hAnsi="Times New Roman" w:cs="Times New Roman"/>
                <w:bCs w:val="0"/>
                <w:color w:val="auto"/>
              </w:rPr>
              <w:t>/EA-06</w:t>
            </w:r>
            <w:r>
              <w:rPr>
                <w:rFonts w:hint="eastAsia" w:ascii="Times New Roman" w:hAnsi="Times New Roman" w:cs="Times New Roman"/>
                <w:bCs w:val="0"/>
                <w:color w:val="auto"/>
                <w:lang w:val="en-US" w:eastAsia="zh-CN"/>
              </w:rPr>
              <w:t>7</w:t>
            </w:r>
          </w:p>
          <w:p>
            <w:pPr>
              <w:pStyle w:val="92"/>
              <w:adjustRightInd w:val="0"/>
              <w:snapToGrid w:val="0"/>
              <w:rPr>
                <w:rFonts w:hint="default" w:ascii="Times New Roman" w:hAnsi="Times New Roman" w:cs="Times New Roman"/>
                <w:bCs w:val="0"/>
                <w:color w:val="auto"/>
                <w:lang w:eastAsia="zh-CN"/>
              </w:rPr>
            </w:pPr>
            <w:r>
              <w:rPr>
                <w:rFonts w:hint="default" w:ascii="Times New Roman" w:hAnsi="Times New Roman" w:cs="Times New Roman"/>
                <w:bCs w:val="0"/>
                <w:color w:val="auto"/>
                <w:lang w:eastAsia="zh-CN"/>
              </w:rPr>
              <w:t>恒温恒湿称重系统 HJ-260L</w:t>
            </w:r>
          </w:p>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Cs w:val="0"/>
                <w:color w:val="auto"/>
                <w:lang w:eastAsia="zh-CN"/>
              </w:rPr>
              <w:t>WTI</w:t>
            </w:r>
            <w:r>
              <w:rPr>
                <w:rFonts w:hint="default" w:ascii="Times New Roman" w:hAnsi="Times New Roman" w:cs="Times New Roman"/>
                <w:bCs w:val="0"/>
                <w:color w:val="auto"/>
              </w:rPr>
              <w:t>/EA-</w:t>
            </w:r>
            <w:r>
              <w:rPr>
                <w:rFonts w:hint="default" w:ascii="Times New Roman" w:hAnsi="Times New Roman" w:cs="Times New Roman"/>
                <w:bCs w:val="0"/>
                <w:color w:val="auto"/>
                <w:lang w:eastAsia="zh-CN"/>
              </w:rPr>
              <w:t>178</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Cs/>
                <w:i w:val="0"/>
                <w:iCs w:val="0"/>
                <w:color w:val="auto"/>
                <w:kern w:val="0"/>
                <w:sz w:val="22"/>
                <w:szCs w:val="22"/>
                <w:u w:val="none"/>
                <w:lang w:val="en-US" w:eastAsia="zh-CN" w:bidi="ar"/>
              </w:rPr>
              <w:t>0.17</w:t>
            </w:r>
            <w:r>
              <w:rPr>
                <w:rFonts w:hint="eastAsia" w:ascii="Times New Roman" w:hAnsi="Times New Roman" w:cs="Times New Roman"/>
                <w:bCs/>
                <w:i w:val="0"/>
                <w:iCs w:val="0"/>
                <w:color w:val="auto"/>
                <w:kern w:val="0"/>
                <w:sz w:val="22"/>
                <w:szCs w:val="22"/>
                <w:u w:val="none"/>
                <w:lang w:val="en-US" w:eastAsia="zh-CN" w:bidi="ar"/>
              </w:rPr>
              <w:t xml:space="preserve"> </w:t>
            </w:r>
            <w:r>
              <w:rPr>
                <w:rFonts w:hint="default" w:ascii="Times New Roman" w:hAnsi="Times New Roman" w:cs="Times New Roman"/>
                <w:bCs w:val="0"/>
                <w:color w:val="auto"/>
                <w:lang w:val="en-US" w:eastAsia="zh-CN"/>
              </w:rPr>
              <w:t>mg/m</w:t>
            </w:r>
            <w:r>
              <w:rPr>
                <w:rFonts w:hint="default" w:ascii="Times New Roman" w:hAnsi="Times New Roman" w:cs="Times New Roman"/>
                <w:bCs w:val="0"/>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eastAsia" w:ascii="Times New Roman" w:hAnsi="Times New Roman" w:cs="Times New Roman"/>
                <w:bCs w:val="0"/>
                <w:sz w:val="21"/>
                <w:szCs w:val="21"/>
                <w:lang w:val="en-US" w:eastAsia="zh-CN"/>
              </w:rPr>
              <w:t>氟化物</w:t>
            </w:r>
          </w:p>
        </w:tc>
        <w:tc>
          <w:tcPr>
            <w:tcW w:w="1410" w:type="pct"/>
            <w:noWrap w:val="0"/>
            <w:vAlign w:val="center"/>
          </w:tcPr>
          <w:p>
            <w:pPr>
              <w:pStyle w:val="2"/>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环境空气 氟化物的测定滤膜采样/氟离子选择电极法</w:t>
            </w:r>
          </w:p>
          <w:p>
            <w:pPr>
              <w:pStyle w:val="2"/>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eastAsia="宋体" w:cs="Times New Roman"/>
                <w:b w:val="0"/>
                <w:bCs w:val="0"/>
                <w:kern w:val="0"/>
                <w:sz w:val="21"/>
                <w:szCs w:val="21"/>
                <w:lang w:val="en-US" w:eastAsia="zh-CN" w:bidi="ar-SA"/>
              </w:rPr>
              <w:t xml:space="preserve"> HJ 955-2018</w:t>
            </w:r>
          </w:p>
        </w:tc>
        <w:tc>
          <w:tcPr>
            <w:tcW w:w="1707" w:type="pct"/>
            <w:noWrap w:val="0"/>
            <w:vAlign w:val="center"/>
          </w:tcPr>
          <w:p>
            <w:pPr>
              <w:pStyle w:val="92"/>
              <w:adjustRightInd w:val="0"/>
              <w:snapToGrid w:val="0"/>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eastAsia="zh-CN"/>
              </w:rPr>
              <w:t>高负压智能综合采样器 ADS-2062G 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default" w:ascii="Times New Roman" w:hAnsi="Times New Roman" w:cs="Times New Roman"/>
                <w:bCs w:val="0"/>
                <w:color w:val="auto"/>
                <w:lang w:val="en-US" w:eastAsia="zh-CN"/>
              </w:rPr>
              <w:t>60</w:t>
            </w:r>
            <w:r>
              <w:rPr>
                <w:rFonts w:hint="eastAsia" w:ascii="Times New Roman" w:hAnsi="Times New Roman" w:cs="Times New Roman"/>
                <w:bCs w:val="0"/>
                <w:color w:val="auto"/>
                <w:lang w:val="en-US" w:eastAsia="zh-CN"/>
              </w:rPr>
              <w:t>、</w:t>
            </w:r>
            <w:r>
              <w:rPr>
                <w:rFonts w:hint="default" w:ascii="Times New Roman" w:hAnsi="Times New Roman" w:cs="Times New Roman"/>
                <w:bCs w:val="0"/>
                <w:color w:val="auto"/>
                <w:lang w:eastAsia="zh-CN"/>
              </w:rPr>
              <w:t>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eastAsia" w:ascii="Times New Roman" w:hAnsi="Times New Roman" w:cs="Times New Roman"/>
                <w:bCs w:val="0"/>
                <w:color w:val="auto"/>
                <w:lang w:val="en-US" w:eastAsia="zh-CN"/>
              </w:rPr>
              <w:t>85</w:t>
            </w:r>
          </w:p>
          <w:p>
            <w:pPr>
              <w:pStyle w:val="92"/>
              <w:adjustRightInd w:val="0"/>
              <w:snapToGrid w:val="0"/>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val="en-US" w:eastAsia="zh-CN"/>
              </w:rPr>
              <w:t>多参数测试仪 S220-F</w:t>
            </w:r>
          </w:p>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Cs w:val="0"/>
                <w:color w:val="auto"/>
                <w:lang w:val="en-US" w:eastAsia="zh-CN"/>
              </w:rPr>
              <w:t>WTI/EA-020</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0.5μg/m</w:t>
            </w:r>
            <w:r>
              <w:rPr>
                <w:rFonts w:hint="default" w:ascii="Times New Roman" w:hAnsi="Times New Roman" w:eastAsia="宋体" w:cs="Times New Roman"/>
                <w:b w:val="0"/>
                <w:bCs w:val="0"/>
                <w:color w:val="auto"/>
                <w:kern w:val="0"/>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氨</w:t>
            </w:r>
          </w:p>
        </w:tc>
        <w:tc>
          <w:tcPr>
            <w:tcW w:w="1410" w:type="pct"/>
            <w:noWrap w:val="0"/>
            <w:vAlign w:val="center"/>
          </w:tcPr>
          <w:p>
            <w:pPr>
              <w:pStyle w:val="2"/>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cs="Times New Roman"/>
                <w:b w:val="0"/>
                <w:bCs w:val="0"/>
                <w:color w:val="auto"/>
                <w:sz w:val="21"/>
                <w:szCs w:val="21"/>
                <w:lang w:val="en-US" w:eastAsia="zh-CN"/>
              </w:rPr>
              <w:t>环境空气和废气 氨的测定 纳氏试剂分光光度法 HJ 533-2009</w:t>
            </w:r>
          </w:p>
        </w:tc>
        <w:tc>
          <w:tcPr>
            <w:tcW w:w="1707" w:type="pct"/>
            <w:noWrap w:val="0"/>
            <w:vAlign w:val="center"/>
          </w:tcPr>
          <w:p>
            <w:pPr>
              <w:pStyle w:val="92"/>
              <w:adjustRightInd w:val="0"/>
              <w:snapToGrid w:val="0"/>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eastAsia="zh-CN"/>
              </w:rPr>
              <w:t>高负压智能综合采样器 ADS-2062G 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default" w:ascii="Times New Roman" w:hAnsi="Times New Roman" w:cs="Times New Roman"/>
                <w:bCs w:val="0"/>
                <w:color w:val="auto"/>
                <w:lang w:val="en-US" w:eastAsia="zh-CN"/>
              </w:rPr>
              <w:t>60</w:t>
            </w:r>
            <w:r>
              <w:rPr>
                <w:rFonts w:hint="eastAsia" w:ascii="Times New Roman" w:hAnsi="Times New Roman" w:cs="Times New Roman"/>
                <w:bCs w:val="0"/>
                <w:color w:val="auto"/>
                <w:lang w:val="en-US" w:eastAsia="zh-CN"/>
              </w:rPr>
              <w:t>、</w:t>
            </w:r>
            <w:r>
              <w:rPr>
                <w:rFonts w:hint="default" w:ascii="Times New Roman" w:hAnsi="Times New Roman" w:cs="Times New Roman"/>
                <w:bCs w:val="0"/>
                <w:color w:val="auto"/>
                <w:lang w:eastAsia="zh-CN"/>
              </w:rPr>
              <w:t>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eastAsia" w:ascii="Times New Roman" w:hAnsi="Times New Roman" w:cs="Times New Roman"/>
                <w:bCs w:val="0"/>
                <w:color w:val="auto"/>
                <w:lang w:val="en-US" w:eastAsia="zh-CN"/>
              </w:rPr>
              <w:t>85</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 xml:space="preserve">可见分光光度计 T6 </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lang w:val="en-US" w:eastAsia="zh-CN"/>
              </w:rPr>
              <w:t xml:space="preserve"> </w:t>
            </w:r>
            <w:r>
              <w:rPr>
                <w:rFonts w:hint="default" w:ascii="Times New Roman" w:hAnsi="Times New Roman" w:cs="Times New Roman"/>
                <w:bCs w:val="0"/>
                <w:color w:val="auto"/>
                <w:sz w:val="21"/>
                <w:szCs w:val="21"/>
                <w:lang w:eastAsia="zh-CN"/>
              </w:rPr>
              <w:t>WTI</w:t>
            </w:r>
            <w:r>
              <w:rPr>
                <w:rFonts w:hint="default" w:ascii="Times New Roman" w:hAnsi="Times New Roman" w:cs="Times New Roman"/>
                <w:bCs w:val="0"/>
                <w:color w:val="auto"/>
                <w:sz w:val="21"/>
                <w:szCs w:val="21"/>
              </w:rPr>
              <w:t>/E</w:t>
            </w:r>
            <w:r>
              <w:rPr>
                <w:rFonts w:hint="eastAsia" w:ascii="Times New Roman" w:hAnsi="Times New Roman" w:cs="Times New Roman"/>
                <w:bCs w:val="0"/>
                <w:color w:val="auto"/>
                <w:sz w:val="21"/>
                <w:szCs w:val="21"/>
                <w:lang w:val="en-US" w:eastAsia="zh-CN"/>
              </w:rPr>
              <w:t>A</w:t>
            </w:r>
            <w:r>
              <w:rPr>
                <w:rFonts w:hint="default" w:ascii="Times New Roman" w:hAnsi="Times New Roman" w:cs="Times New Roman"/>
                <w:bCs w:val="0"/>
                <w:color w:val="auto"/>
                <w:sz w:val="21"/>
                <w:szCs w:val="21"/>
              </w:rPr>
              <w:t>-</w:t>
            </w:r>
            <w:r>
              <w:rPr>
                <w:rFonts w:hint="default" w:ascii="Times New Roman" w:hAnsi="Times New Roman" w:cs="Times New Roman"/>
                <w:bCs w:val="0"/>
                <w:color w:val="auto"/>
                <w:sz w:val="21"/>
                <w:szCs w:val="21"/>
                <w:lang w:val="en-US" w:eastAsia="zh-CN"/>
              </w:rPr>
              <w:t>288</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i w:val="0"/>
                <w:iCs w:val="0"/>
                <w:color w:val="auto"/>
                <w:kern w:val="0"/>
                <w:sz w:val="21"/>
                <w:szCs w:val="21"/>
                <w:u w:val="none"/>
                <w:lang w:val="en-US" w:eastAsia="zh-CN" w:bidi="ar"/>
              </w:rPr>
              <w:t xml:space="preserve">0.01 </w:t>
            </w:r>
            <w:r>
              <w:rPr>
                <w:rFonts w:hint="default" w:ascii="Times New Roman" w:hAnsi="Times New Roman" w:cs="Times New Roman"/>
                <w:bCs w:val="0"/>
                <w:color w:val="auto"/>
                <w:sz w:val="21"/>
                <w:szCs w:val="21"/>
                <w:lang w:val="en-US" w:eastAsia="zh-CN"/>
              </w:rPr>
              <w:t>mg/m</w:t>
            </w:r>
            <w:r>
              <w:rPr>
                <w:rFonts w:hint="default" w:ascii="Times New Roman" w:hAnsi="Times New Roman" w:cs="Times New Roman"/>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Cs w:val="0"/>
                <w:i w:val="0"/>
                <w:iCs w:val="0"/>
                <w:color w:val="000000"/>
                <w:kern w:val="0"/>
                <w:sz w:val="21"/>
                <w:szCs w:val="21"/>
                <w:u w:val="none"/>
                <w:lang w:val="en-US" w:eastAsia="zh-CN" w:bidi="ar"/>
              </w:rPr>
              <w:t>硫化氢</w:t>
            </w:r>
          </w:p>
        </w:tc>
        <w:tc>
          <w:tcPr>
            <w:tcW w:w="1410" w:type="pct"/>
            <w:noWrap w:val="0"/>
            <w:vAlign w:val="center"/>
          </w:tcPr>
          <w:p>
            <w:pPr>
              <w:pStyle w:val="2"/>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cs="Times New Roman"/>
                <w:b w:val="0"/>
                <w:bCs w:val="0"/>
                <w:color w:val="auto"/>
                <w:sz w:val="21"/>
                <w:szCs w:val="21"/>
                <w:lang w:val="en-US" w:eastAsia="zh-CN"/>
              </w:rPr>
              <w:t>空气和废气监测分析方法 （第四版增补版）国家环境保护总局（2003年）(3.1.11.2 亚甲基蓝分光光度法）</w:t>
            </w:r>
          </w:p>
        </w:tc>
        <w:tc>
          <w:tcPr>
            <w:tcW w:w="1707" w:type="pct"/>
            <w:noWrap w:val="0"/>
            <w:vAlign w:val="center"/>
          </w:tcPr>
          <w:p>
            <w:pPr>
              <w:pStyle w:val="92"/>
              <w:adjustRightInd w:val="0"/>
              <w:snapToGrid w:val="0"/>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eastAsia="zh-CN"/>
              </w:rPr>
              <w:t>高负压智能综合采样器 ADS-2062G 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default" w:ascii="Times New Roman" w:hAnsi="Times New Roman" w:cs="Times New Roman"/>
                <w:bCs w:val="0"/>
                <w:color w:val="auto"/>
                <w:lang w:val="en-US" w:eastAsia="zh-CN"/>
              </w:rPr>
              <w:t>60</w:t>
            </w:r>
            <w:r>
              <w:rPr>
                <w:rFonts w:hint="eastAsia" w:ascii="Times New Roman" w:hAnsi="Times New Roman" w:cs="Times New Roman"/>
                <w:bCs w:val="0"/>
                <w:color w:val="auto"/>
                <w:lang w:val="en-US" w:eastAsia="zh-CN"/>
              </w:rPr>
              <w:t>、</w:t>
            </w:r>
            <w:r>
              <w:rPr>
                <w:rFonts w:hint="default" w:ascii="Times New Roman" w:hAnsi="Times New Roman" w:cs="Times New Roman"/>
                <w:bCs w:val="0"/>
                <w:color w:val="auto"/>
                <w:lang w:eastAsia="zh-CN"/>
              </w:rPr>
              <w:t>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eastAsia" w:ascii="Times New Roman" w:hAnsi="Times New Roman" w:cs="Times New Roman"/>
                <w:bCs w:val="0"/>
                <w:color w:val="auto"/>
                <w:lang w:val="en-US" w:eastAsia="zh-CN"/>
              </w:rPr>
              <w:t>85</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 xml:space="preserve">可见分光光度计 T6 </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lang w:val="en-US" w:eastAsia="zh-CN"/>
              </w:rPr>
              <w:t xml:space="preserve"> </w:t>
            </w:r>
            <w:r>
              <w:rPr>
                <w:rFonts w:hint="default" w:ascii="Times New Roman" w:hAnsi="Times New Roman" w:cs="Times New Roman"/>
                <w:bCs w:val="0"/>
                <w:color w:val="auto"/>
                <w:sz w:val="21"/>
                <w:szCs w:val="21"/>
                <w:lang w:eastAsia="zh-CN"/>
              </w:rPr>
              <w:t>WTI</w:t>
            </w:r>
            <w:r>
              <w:rPr>
                <w:rFonts w:hint="default" w:ascii="Times New Roman" w:hAnsi="Times New Roman" w:cs="Times New Roman"/>
                <w:bCs w:val="0"/>
                <w:color w:val="auto"/>
                <w:sz w:val="21"/>
                <w:szCs w:val="21"/>
              </w:rPr>
              <w:t>/E</w:t>
            </w:r>
            <w:r>
              <w:rPr>
                <w:rFonts w:hint="eastAsia" w:ascii="Times New Roman" w:hAnsi="Times New Roman" w:cs="Times New Roman"/>
                <w:bCs w:val="0"/>
                <w:color w:val="auto"/>
                <w:sz w:val="21"/>
                <w:szCs w:val="21"/>
                <w:lang w:val="en-US" w:eastAsia="zh-CN"/>
              </w:rPr>
              <w:t>A</w:t>
            </w:r>
            <w:r>
              <w:rPr>
                <w:rFonts w:hint="default" w:ascii="Times New Roman" w:hAnsi="Times New Roman" w:cs="Times New Roman"/>
                <w:bCs w:val="0"/>
                <w:color w:val="auto"/>
                <w:sz w:val="21"/>
                <w:szCs w:val="21"/>
              </w:rPr>
              <w:t>-</w:t>
            </w:r>
            <w:r>
              <w:rPr>
                <w:rFonts w:hint="default" w:ascii="Times New Roman" w:hAnsi="Times New Roman" w:cs="Times New Roman"/>
                <w:bCs w:val="0"/>
                <w:color w:val="auto"/>
                <w:sz w:val="21"/>
                <w:szCs w:val="21"/>
                <w:lang w:val="en-US" w:eastAsia="zh-CN"/>
              </w:rPr>
              <w:t>288</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0.</w:t>
            </w:r>
            <w:r>
              <w:rPr>
                <w:rFonts w:hint="default" w:ascii="Times New Roman" w:hAnsi="Times New Roman" w:cs="Times New Roman"/>
                <w:bCs/>
                <w:i w:val="0"/>
                <w:iCs w:val="0"/>
                <w:color w:val="auto"/>
                <w:kern w:val="0"/>
                <w:sz w:val="21"/>
                <w:szCs w:val="21"/>
                <w:u w:val="none"/>
                <w:lang w:val="en-US" w:eastAsia="zh-CN" w:bidi="ar"/>
              </w:rPr>
              <w:t xml:space="preserve">001 </w:t>
            </w:r>
            <w:r>
              <w:rPr>
                <w:rFonts w:hint="default" w:ascii="Times New Roman" w:hAnsi="Times New Roman" w:cs="Times New Roman"/>
                <w:bCs w:val="0"/>
                <w:color w:val="auto"/>
                <w:sz w:val="21"/>
                <w:szCs w:val="21"/>
                <w:lang w:val="en-US" w:eastAsia="zh-CN"/>
              </w:rPr>
              <w:t>mg/m</w:t>
            </w:r>
            <w:r>
              <w:rPr>
                <w:rFonts w:hint="default" w:ascii="Times New Roman" w:hAnsi="Times New Roman" w:cs="Times New Roman"/>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sz w:val="21"/>
                <w:szCs w:val="21"/>
              </w:rPr>
              <w:t>臭气</w:t>
            </w:r>
            <w:r>
              <w:rPr>
                <w:rFonts w:hint="default" w:ascii="Times New Roman" w:hAnsi="Times New Roman" w:cs="Times New Roman"/>
                <w:bCs w:val="0"/>
                <w:sz w:val="21"/>
                <w:szCs w:val="21"/>
                <w:lang w:val="en-US" w:eastAsia="zh-CN"/>
              </w:rPr>
              <w:t>浓度</w:t>
            </w:r>
          </w:p>
        </w:tc>
        <w:tc>
          <w:tcPr>
            <w:tcW w:w="141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rPr>
              <w:t>环境空气和废气 臭气的测定三点比较式臭袋法 HJ 1262-202</w:t>
            </w:r>
            <w:r>
              <w:rPr>
                <w:rFonts w:hint="default" w:ascii="Times New Roman" w:hAnsi="Times New Roman" w:cs="Times New Roman"/>
                <w:bCs w:val="0"/>
                <w:color w:val="auto"/>
                <w:sz w:val="21"/>
                <w:szCs w:val="21"/>
                <w:lang w:val="en-US" w:eastAsia="zh-CN"/>
              </w:rPr>
              <w:t>2</w:t>
            </w:r>
          </w:p>
        </w:tc>
        <w:tc>
          <w:tcPr>
            <w:tcW w:w="1707" w:type="pct"/>
            <w:noWrap w:val="0"/>
            <w:vAlign w:val="center"/>
          </w:tcPr>
          <w:p>
            <w:pPr>
              <w:pStyle w:val="92"/>
              <w:adjustRightInd w:val="0"/>
              <w:snapToGrid w:val="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真空箱气袋采样器 TC-6D</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101</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eastAsia" w:ascii="Times New Roman" w:hAnsi="Times New Roman" w:cs="Times New Roman"/>
                <w:bCs w:val="0"/>
                <w:sz w:val="21"/>
                <w:szCs w:val="21"/>
                <w:lang w:val="en-US" w:eastAsia="zh-CN"/>
              </w:rPr>
              <w:t>二氧化硫</w:t>
            </w:r>
          </w:p>
        </w:tc>
        <w:tc>
          <w:tcPr>
            <w:tcW w:w="1410" w:type="pct"/>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 xml:space="preserve">环境空气 二氧化硫的测定 甲醛吸收-副玫瑰苯胺分光光度法 </w:t>
            </w:r>
          </w:p>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rPr>
              <w:t>HJ 482-2009/XG-2018</w:t>
            </w:r>
          </w:p>
        </w:tc>
        <w:tc>
          <w:tcPr>
            <w:tcW w:w="1707" w:type="pct"/>
            <w:noWrap w:val="0"/>
            <w:vAlign w:val="center"/>
          </w:tcPr>
          <w:p>
            <w:pPr>
              <w:pStyle w:val="92"/>
              <w:adjustRightInd w:val="0"/>
              <w:snapToGrid w:val="0"/>
              <w:ind w:firstLine="0" w:firstLineChars="0"/>
              <w:rPr>
                <w:rFonts w:hint="eastAsia" w:ascii="Times New Roman" w:hAnsi="Times New Roman" w:cs="Times New Roman"/>
                <w:bCs w:val="0"/>
                <w:color w:val="auto"/>
                <w:lang w:val="en-US" w:eastAsia="zh-CN"/>
              </w:rPr>
            </w:pPr>
            <w:r>
              <w:rPr>
                <w:rFonts w:hint="default" w:ascii="Times New Roman" w:hAnsi="Times New Roman" w:cs="Times New Roman"/>
                <w:bCs w:val="0"/>
                <w:color w:val="auto"/>
                <w:lang w:eastAsia="zh-CN"/>
              </w:rPr>
              <w:t>高负压智能综合采样器 ADS-2062G 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default" w:ascii="Times New Roman" w:hAnsi="Times New Roman" w:cs="Times New Roman"/>
                <w:bCs w:val="0"/>
                <w:color w:val="auto"/>
                <w:lang w:val="en-US" w:eastAsia="zh-CN"/>
              </w:rPr>
              <w:t>60</w:t>
            </w:r>
            <w:r>
              <w:rPr>
                <w:rFonts w:hint="eastAsia" w:ascii="Times New Roman" w:hAnsi="Times New Roman" w:cs="Times New Roman"/>
                <w:bCs w:val="0"/>
                <w:color w:val="auto"/>
                <w:lang w:val="en-US" w:eastAsia="zh-CN"/>
              </w:rPr>
              <w:t>、</w:t>
            </w:r>
            <w:r>
              <w:rPr>
                <w:rFonts w:hint="default" w:ascii="Times New Roman" w:hAnsi="Times New Roman" w:cs="Times New Roman"/>
                <w:bCs w:val="0"/>
                <w:color w:val="auto"/>
                <w:lang w:eastAsia="zh-CN"/>
              </w:rPr>
              <w:t>WTI</w:t>
            </w:r>
            <w:r>
              <w:rPr>
                <w:rFonts w:hint="default" w:ascii="Times New Roman" w:hAnsi="Times New Roman" w:cs="Times New Roman"/>
                <w:bCs w:val="0"/>
                <w:color w:val="auto"/>
              </w:rPr>
              <w:t>/E</w:t>
            </w:r>
            <w:r>
              <w:rPr>
                <w:rFonts w:hint="default" w:ascii="Times New Roman" w:hAnsi="Times New Roman" w:cs="Times New Roman"/>
                <w:bCs w:val="0"/>
                <w:color w:val="auto"/>
                <w:lang w:eastAsia="zh-CN"/>
              </w:rPr>
              <w:t>S</w:t>
            </w:r>
            <w:r>
              <w:rPr>
                <w:rFonts w:hint="default" w:ascii="Times New Roman" w:hAnsi="Times New Roman" w:cs="Times New Roman"/>
                <w:bCs w:val="0"/>
                <w:color w:val="auto"/>
              </w:rPr>
              <w:t>-</w:t>
            </w:r>
            <w:r>
              <w:rPr>
                <w:rFonts w:hint="default" w:ascii="Times New Roman" w:hAnsi="Times New Roman" w:cs="Times New Roman"/>
                <w:bCs w:val="0"/>
                <w:color w:val="auto"/>
                <w:lang w:eastAsia="zh-CN"/>
              </w:rPr>
              <w:t>0</w:t>
            </w:r>
            <w:r>
              <w:rPr>
                <w:rFonts w:hint="eastAsia" w:ascii="Times New Roman" w:hAnsi="Times New Roman" w:cs="Times New Roman"/>
                <w:bCs w:val="0"/>
                <w:color w:val="auto"/>
                <w:lang w:val="en-US" w:eastAsia="zh-CN"/>
              </w:rPr>
              <w:t>85</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 xml:space="preserve">可见分光光度计 T6 </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lang w:val="en-US" w:eastAsia="zh-CN"/>
              </w:rPr>
              <w:t xml:space="preserve"> </w:t>
            </w:r>
            <w:r>
              <w:rPr>
                <w:rFonts w:hint="default" w:ascii="Times New Roman" w:hAnsi="Times New Roman" w:cs="Times New Roman"/>
                <w:bCs w:val="0"/>
                <w:color w:val="auto"/>
                <w:sz w:val="21"/>
                <w:szCs w:val="21"/>
                <w:lang w:eastAsia="zh-CN"/>
              </w:rPr>
              <w:t>WTI</w:t>
            </w:r>
            <w:r>
              <w:rPr>
                <w:rFonts w:hint="default" w:ascii="Times New Roman" w:hAnsi="Times New Roman" w:cs="Times New Roman"/>
                <w:bCs w:val="0"/>
                <w:color w:val="auto"/>
                <w:sz w:val="21"/>
                <w:szCs w:val="21"/>
              </w:rPr>
              <w:t>/E</w:t>
            </w:r>
            <w:r>
              <w:rPr>
                <w:rFonts w:hint="eastAsia" w:ascii="Times New Roman" w:hAnsi="Times New Roman" w:cs="Times New Roman"/>
                <w:bCs w:val="0"/>
                <w:color w:val="auto"/>
                <w:sz w:val="21"/>
                <w:szCs w:val="21"/>
                <w:lang w:val="en-US" w:eastAsia="zh-CN"/>
              </w:rPr>
              <w:t>A</w:t>
            </w:r>
            <w:r>
              <w:rPr>
                <w:rFonts w:hint="default" w:ascii="Times New Roman" w:hAnsi="Times New Roman" w:cs="Times New Roman"/>
                <w:bCs w:val="0"/>
                <w:color w:val="auto"/>
                <w:sz w:val="21"/>
                <w:szCs w:val="21"/>
              </w:rPr>
              <w:t>-</w:t>
            </w:r>
            <w:r>
              <w:rPr>
                <w:rFonts w:hint="default" w:ascii="Times New Roman" w:hAnsi="Times New Roman" w:cs="Times New Roman"/>
                <w:bCs w:val="0"/>
                <w:color w:val="auto"/>
                <w:sz w:val="21"/>
                <w:szCs w:val="21"/>
                <w:lang w:val="en-US" w:eastAsia="zh-CN"/>
              </w:rPr>
              <w:t>288</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eastAsia" w:ascii="Times New Roman" w:hAnsi="Times New Roman" w:cs="Times New Roman"/>
                <w:bCs w:val="0"/>
                <w:color w:val="auto"/>
                <w:sz w:val="21"/>
                <w:szCs w:val="21"/>
                <w:lang w:val="en-US" w:eastAsia="zh-CN"/>
              </w:rPr>
              <w:t xml:space="preserve">0.007 </w:t>
            </w:r>
            <w:r>
              <w:rPr>
                <w:rFonts w:hint="default" w:ascii="Times New Roman" w:hAnsi="Times New Roman" w:cs="Times New Roman"/>
                <w:bCs w:val="0"/>
                <w:color w:val="auto"/>
                <w:sz w:val="21"/>
                <w:szCs w:val="21"/>
                <w:lang w:val="en-US" w:eastAsia="zh-CN"/>
              </w:rPr>
              <w:t>mg/m</w:t>
            </w:r>
            <w:r>
              <w:rPr>
                <w:rFonts w:hint="default" w:ascii="Times New Roman" w:hAnsi="Times New Roman" w:cs="Times New Roman"/>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spacing w:line="240" w:lineRule="auto"/>
              <w:jc w:val="center"/>
              <w:rPr>
                <w:rFonts w:hint="default" w:ascii="Times New Roman" w:hAnsi="Times New Roman" w:eastAsia="宋体"/>
                <w:sz w:val="21"/>
                <w:szCs w:val="21"/>
                <w:lang w:val="en-US" w:eastAsia="zh-CN"/>
              </w:rPr>
            </w:pPr>
            <w:bookmarkStart w:id="94" w:name="_Toc18674"/>
            <w:r>
              <w:rPr>
                <w:rFonts w:hint="eastAsia"/>
                <w:sz w:val="21"/>
                <w:szCs w:val="21"/>
                <w:lang w:val="en-US" w:eastAsia="zh-CN"/>
              </w:rPr>
              <w:t>有组织废气</w:t>
            </w:r>
          </w:p>
        </w:tc>
        <w:tc>
          <w:tcPr>
            <w:tcW w:w="663" w:type="pct"/>
            <w:noWrap w:val="0"/>
            <w:vAlign w:val="center"/>
          </w:tcPr>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eastAsia="宋体" w:cs="Times New Roman"/>
                <w:bCs w:val="0"/>
                <w:color w:val="auto"/>
                <w:kern w:val="0"/>
                <w:sz w:val="21"/>
                <w:szCs w:val="21"/>
                <w:lang w:val="en-US" w:eastAsia="zh-CN" w:bidi="ar"/>
              </w:rPr>
              <w:t>颗粒物</w:t>
            </w:r>
          </w:p>
        </w:tc>
        <w:tc>
          <w:tcPr>
            <w:tcW w:w="141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sz w:val="21"/>
                <w:szCs w:val="21"/>
                <w:lang w:val="en-US" w:eastAsia="zh-CN"/>
              </w:rPr>
            </w:pPr>
            <w:r>
              <w:rPr>
                <w:rFonts w:hint="default" w:ascii="Times New Roman" w:hAnsi="Times New Roman" w:cs="Times New Roman"/>
                <w:bCs w:val="0"/>
                <w:color w:val="auto"/>
                <w:sz w:val="21"/>
                <w:szCs w:val="21"/>
              </w:rPr>
              <w:t>固定污染源废气 低浓度颗粒物的测定 重量法 HJ 836-2017</w:t>
            </w:r>
          </w:p>
        </w:tc>
        <w:tc>
          <w:tcPr>
            <w:tcW w:w="1707" w:type="pct"/>
            <w:noWrap w:val="0"/>
            <w:vAlign w:val="center"/>
          </w:tcPr>
          <w:p>
            <w:pPr>
              <w:pStyle w:val="92"/>
              <w:adjustRightInd w:val="0"/>
              <w:snapToGrid w:val="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自动烟尘（气）测试仪 3012H</w:t>
            </w:r>
          </w:p>
          <w:p>
            <w:pPr>
              <w:pStyle w:val="92"/>
              <w:adjustRightInd w:val="0"/>
              <w:snapToGrid w:val="0"/>
              <w:ind w:firstLine="0" w:firstLineChars="0"/>
              <w:rPr>
                <w:rFonts w:hint="eastAsia"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004</w:t>
            </w:r>
          </w:p>
          <w:p>
            <w:pPr>
              <w:pStyle w:val="92"/>
              <w:adjustRightInd w:val="0"/>
              <w:snapToGrid w:val="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eastAsia="zh-CN"/>
              </w:rPr>
              <w:t>自动烟尘（气）测试仪 3012H</w:t>
            </w:r>
            <w:r>
              <w:rPr>
                <w:rFonts w:hint="eastAsia" w:ascii="Times New Roman" w:hAnsi="Times New Roman" w:cs="Times New Roman"/>
                <w:bCs w:val="0"/>
                <w:color w:val="auto"/>
                <w:sz w:val="21"/>
                <w:szCs w:val="21"/>
                <w:lang w:val="en-US" w:eastAsia="zh-CN"/>
              </w:rPr>
              <w:t xml:space="preserve">-D   </w:t>
            </w: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052</w:t>
            </w:r>
          </w:p>
          <w:p>
            <w:pPr>
              <w:pStyle w:val="92"/>
              <w:adjustRightInd w:val="0"/>
              <w:snapToGrid w:val="0"/>
              <w:rPr>
                <w:rFonts w:hint="eastAsia" w:ascii="Times New Roman" w:hAnsi="Times New Roman" w:eastAsia="宋体" w:cs="Times New Roman"/>
                <w:bCs w:val="0"/>
                <w:color w:val="auto"/>
                <w:lang w:eastAsia="zh-CN"/>
              </w:rPr>
            </w:pPr>
            <w:r>
              <w:rPr>
                <w:rFonts w:hint="default" w:ascii="Times New Roman" w:hAnsi="Times New Roman" w:cs="Times New Roman"/>
                <w:bCs w:val="0"/>
                <w:color w:val="auto"/>
              </w:rPr>
              <w:t>十万分之一天平</w:t>
            </w:r>
            <w:r>
              <w:rPr>
                <w:rFonts w:hint="default" w:ascii="Times New Roman" w:hAnsi="Times New Roman" w:cs="Times New Roman"/>
                <w:bCs w:val="0"/>
                <w:color w:val="auto"/>
                <w:lang w:eastAsia="zh-CN"/>
              </w:rPr>
              <w:t xml:space="preserve"> </w:t>
            </w:r>
            <w:r>
              <w:rPr>
                <w:rFonts w:hint="default" w:ascii="Times New Roman" w:hAnsi="Times New Roman" w:cs="Times New Roman"/>
                <w:bCs w:val="0"/>
                <w:color w:val="auto"/>
              </w:rPr>
              <w:t>XPR205DU</w:t>
            </w:r>
            <w:r>
              <w:rPr>
                <w:rFonts w:hint="default" w:ascii="Times New Roman" w:hAnsi="Times New Roman" w:cs="Times New Roman"/>
                <w:bCs w:val="0"/>
                <w:color w:val="auto"/>
                <w:lang w:eastAsia="zh-CN"/>
              </w:rPr>
              <w:t xml:space="preserve"> WTI</w:t>
            </w:r>
            <w:r>
              <w:rPr>
                <w:rFonts w:hint="default" w:ascii="Times New Roman" w:hAnsi="Times New Roman" w:cs="Times New Roman"/>
                <w:bCs w:val="0"/>
                <w:color w:val="auto"/>
              </w:rPr>
              <w:t>/EA-06</w:t>
            </w:r>
            <w:r>
              <w:rPr>
                <w:rFonts w:hint="eastAsia" w:ascii="Times New Roman" w:hAnsi="Times New Roman" w:cs="Times New Roman"/>
                <w:bCs w:val="0"/>
                <w:color w:val="auto"/>
                <w:lang w:val="en-US" w:eastAsia="zh-CN"/>
              </w:rPr>
              <w:t>7</w:t>
            </w:r>
          </w:p>
          <w:p>
            <w:pPr>
              <w:pStyle w:val="92"/>
              <w:adjustRightInd w:val="0"/>
              <w:snapToGrid w:val="0"/>
              <w:rPr>
                <w:rFonts w:hint="default" w:ascii="Times New Roman" w:hAnsi="Times New Roman" w:cs="Times New Roman"/>
                <w:bCs w:val="0"/>
                <w:color w:val="auto"/>
                <w:lang w:eastAsia="zh-CN"/>
              </w:rPr>
            </w:pPr>
            <w:r>
              <w:rPr>
                <w:rFonts w:hint="default" w:ascii="Times New Roman" w:hAnsi="Times New Roman" w:cs="Times New Roman"/>
                <w:bCs w:val="0"/>
                <w:color w:val="auto"/>
                <w:lang w:eastAsia="zh-CN"/>
              </w:rPr>
              <w:t>恒温恒湿称重系统 HJ-260L</w:t>
            </w:r>
          </w:p>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Cs w:val="0"/>
                <w:color w:val="auto"/>
                <w:lang w:eastAsia="zh-CN"/>
              </w:rPr>
              <w:t>WTI</w:t>
            </w:r>
            <w:r>
              <w:rPr>
                <w:rFonts w:hint="default" w:ascii="Times New Roman" w:hAnsi="Times New Roman" w:cs="Times New Roman"/>
                <w:bCs w:val="0"/>
                <w:color w:val="auto"/>
              </w:rPr>
              <w:t>/EA-</w:t>
            </w:r>
            <w:r>
              <w:rPr>
                <w:rFonts w:hint="default" w:ascii="Times New Roman" w:hAnsi="Times New Roman" w:cs="Times New Roman"/>
                <w:bCs w:val="0"/>
                <w:color w:val="auto"/>
                <w:lang w:eastAsia="zh-CN"/>
              </w:rPr>
              <w:t>178</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eastAsia" w:ascii="Times New Roman" w:hAnsi="Times New Roman" w:cs="Times New Roman"/>
                <w:bCs w:val="0"/>
                <w:color w:val="auto"/>
                <w:sz w:val="21"/>
                <w:szCs w:val="21"/>
                <w:lang w:val="en-US" w:eastAsia="zh-CN"/>
              </w:rPr>
              <w:t>1.0mg/m</w:t>
            </w:r>
            <w:r>
              <w:rPr>
                <w:rFonts w:hint="eastAsia" w:ascii="Times New Roman" w:hAnsi="Times New Roman" w:cs="Times New Roman"/>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氨</w:t>
            </w:r>
          </w:p>
        </w:tc>
        <w:tc>
          <w:tcPr>
            <w:tcW w:w="1410" w:type="pct"/>
            <w:noWrap w:val="0"/>
            <w:vAlign w:val="center"/>
          </w:tcPr>
          <w:p>
            <w:pPr>
              <w:pStyle w:val="2"/>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cs="Times New Roman"/>
                <w:b w:val="0"/>
                <w:bCs w:val="0"/>
                <w:color w:val="auto"/>
                <w:sz w:val="21"/>
                <w:szCs w:val="21"/>
                <w:lang w:val="en-US" w:eastAsia="zh-CN"/>
              </w:rPr>
              <w:t>环境空气和废气 氨的测定 纳氏试剂分光光度法 HJ 533-2009</w:t>
            </w:r>
          </w:p>
        </w:tc>
        <w:tc>
          <w:tcPr>
            <w:tcW w:w="1707" w:type="pct"/>
            <w:noWrap w:val="0"/>
            <w:vAlign w:val="center"/>
          </w:tcPr>
          <w:p>
            <w:pPr>
              <w:pStyle w:val="92"/>
              <w:adjustRightInd w:val="0"/>
              <w:snapToGrid w:val="0"/>
              <w:rPr>
                <w:rFonts w:hint="default" w:ascii="Times New Roman" w:hAnsi="Times New Roman" w:cs="Times New Roman"/>
                <w:bCs w:val="0"/>
                <w:color w:val="0000FF"/>
                <w:sz w:val="21"/>
                <w:szCs w:val="21"/>
                <w:lang w:val="en-US" w:eastAsia="zh-CN"/>
              </w:rPr>
            </w:pPr>
            <w:r>
              <w:rPr>
                <w:rFonts w:hint="default" w:ascii="Times New Roman" w:hAnsi="Times New Roman" w:cs="Times New Roman"/>
                <w:bCs w:val="0"/>
                <w:color w:val="auto"/>
                <w:sz w:val="21"/>
                <w:szCs w:val="21"/>
                <w:lang w:eastAsia="zh-CN"/>
              </w:rPr>
              <w:t>自动烟尘（气）测试仪 3012H</w:t>
            </w:r>
            <w:r>
              <w:rPr>
                <w:rFonts w:hint="eastAsia" w:ascii="Times New Roman" w:hAnsi="Times New Roman" w:cs="Times New Roman"/>
                <w:bCs w:val="0"/>
                <w:color w:val="auto"/>
                <w:sz w:val="21"/>
                <w:szCs w:val="21"/>
                <w:lang w:val="en-US" w:eastAsia="zh-CN"/>
              </w:rPr>
              <w:t xml:space="preserve">-D   </w:t>
            </w: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052</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自动烟尘（气）测试仪 3012H</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WTI/ES-004</w:t>
            </w:r>
          </w:p>
          <w:p>
            <w:pPr>
              <w:pStyle w:val="92"/>
              <w:adjustRightInd w:val="0"/>
              <w:snapToGrid w:val="0"/>
              <w:ind w:firstLine="0" w:firstLineChars="0"/>
              <w:rPr>
                <w:rFonts w:hint="eastAsia"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双路烟气采样器3072</w:t>
            </w:r>
            <w:r>
              <w:rPr>
                <w:rFonts w:hint="eastAsia" w:ascii="Times New Roman" w:hAnsi="Times New Roman" w:cs="Times New Roman"/>
                <w:bCs w:val="0"/>
                <w:color w:val="auto"/>
                <w:sz w:val="21"/>
                <w:szCs w:val="21"/>
                <w:lang w:val="en-US" w:eastAsia="zh-CN"/>
              </w:rPr>
              <w:t xml:space="preserve"> </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WTI/ES-00</w:t>
            </w:r>
            <w:r>
              <w:rPr>
                <w:rFonts w:hint="eastAsia" w:ascii="Times New Roman" w:hAnsi="Times New Roman" w:cs="Times New Roman"/>
                <w:bCs w:val="0"/>
                <w:color w:val="auto"/>
                <w:sz w:val="21"/>
                <w:szCs w:val="21"/>
                <w:lang w:val="en-US" w:eastAsia="zh-CN"/>
              </w:rPr>
              <w:t>5/</w:t>
            </w:r>
            <w:r>
              <w:rPr>
                <w:rFonts w:hint="default" w:ascii="Times New Roman" w:hAnsi="Times New Roman" w:cs="Times New Roman"/>
                <w:bCs w:val="0"/>
                <w:color w:val="auto"/>
                <w:sz w:val="21"/>
                <w:szCs w:val="21"/>
                <w:lang w:val="en-US" w:eastAsia="zh-CN"/>
              </w:rPr>
              <w:t>WTI/ES-006</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可见分光光度计 T6</w:t>
            </w:r>
          </w:p>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Cs w:val="0"/>
                <w:color w:val="auto"/>
                <w:sz w:val="21"/>
                <w:szCs w:val="21"/>
                <w:lang w:val="en-US" w:eastAsia="zh-CN"/>
              </w:rPr>
              <w:t xml:space="preserve">  </w:t>
            </w:r>
            <w:r>
              <w:rPr>
                <w:rFonts w:hint="default" w:ascii="Times New Roman" w:hAnsi="Times New Roman" w:cs="Times New Roman"/>
                <w:bCs w:val="0"/>
                <w:color w:val="auto"/>
                <w:sz w:val="21"/>
                <w:szCs w:val="21"/>
                <w:lang w:eastAsia="zh-CN"/>
              </w:rPr>
              <w:t>WTI</w:t>
            </w:r>
            <w:r>
              <w:rPr>
                <w:rFonts w:hint="default" w:ascii="Times New Roman" w:hAnsi="Times New Roman" w:cs="Times New Roman"/>
                <w:bCs w:val="0"/>
                <w:color w:val="auto"/>
                <w:sz w:val="21"/>
                <w:szCs w:val="21"/>
              </w:rPr>
              <w:t>/E</w:t>
            </w:r>
            <w:r>
              <w:rPr>
                <w:rFonts w:hint="eastAsia" w:ascii="Times New Roman" w:hAnsi="Times New Roman" w:cs="Times New Roman"/>
                <w:bCs w:val="0"/>
                <w:color w:val="auto"/>
                <w:sz w:val="21"/>
                <w:szCs w:val="21"/>
                <w:lang w:val="en-US" w:eastAsia="zh-CN"/>
              </w:rPr>
              <w:t>A</w:t>
            </w:r>
            <w:r>
              <w:rPr>
                <w:rFonts w:hint="default" w:ascii="Times New Roman" w:hAnsi="Times New Roman" w:cs="Times New Roman"/>
                <w:bCs w:val="0"/>
                <w:color w:val="auto"/>
                <w:sz w:val="21"/>
                <w:szCs w:val="21"/>
              </w:rPr>
              <w:t>-</w:t>
            </w:r>
            <w:r>
              <w:rPr>
                <w:rFonts w:hint="default" w:ascii="Times New Roman" w:hAnsi="Times New Roman" w:cs="Times New Roman"/>
                <w:bCs w:val="0"/>
                <w:color w:val="auto"/>
                <w:sz w:val="21"/>
                <w:szCs w:val="21"/>
                <w:lang w:val="en-US" w:eastAsia="zh-CN"/>
              </w:rPr>
              <w:t>288</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i w:val="0"/>
                <w:iCs w:val="0"/>
                <w:color w:val="auto"/>
                <w:kern w:val="0"/>
                <w:sz w:val="21"/>
                <w:szCs w:val="21"/>
                <w:u w:val="none"/>
                <w:lang w:val="en-US" w:eastAsia="zh-CN" w:bidi="ar"/>
              </w:rPr>
              <w:t>0.25</w:t>
            </w:r>
            <w:r>
              <w:rPr>
                <w:rFonts w:hint="default" w:ascii="Times New Roman" w:hAnsi="Times New Roman" w:cs="Times New Roman"/>
                <w:bCs w:val="0"/>
                <w:color w:val="auto"/>
                <w:sz w:val="21"/>
                <w:szCs w:val="21"/>
                <w:lang w:val="en-US" w:eastAsia="zh-CN"/>
              </w:rPr>
              <w:t>mg/m</w:t>
            </w:r>
            <w:r>
              <w:rPr>
                <w:rFonts w:hint="default" w:ascii="Times New Roman" w:hAnsi="Times New Roman" w:cs="Times New Roman"/>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noWrap w:val="0"/>
            <w:vAlign w:val="center"/>
          </w:tcPr>
          <w:p>
            <w:pPr>
              <w:spacing w:line="240" w:lineRule="auto"/>
              <w:jc w:val="center"/>
              <w:rPr>
                <w:rFonts w:hint="default"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Cs w:val="0"/>
                <w:color w:val="auto"/>
                <w:kern w:val="0"/>
                <w:sz w:val="21"/>
                <w:szCs w:val="21"/>
                <w:lang w:val="en-US" w:eastAsia="zh-CN" w:bidi="ar"/>
              </w:rPr>
              <w:t>二氧化硫</w:t>
            </w:r>
          </w:p>
        </w:tc>
        <w:tc>
          <w:tcPr>
            <w:tcW w:w="141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rPr>
              <w:t>固定污染源废气 二氧化硫的测定 定电位电解法 HJ 57-2017</w:t>
            </w:r>
          </w:p>
        </w:tc>
        <w:tc>
          <w:tcPr>
            <w:tcW w:w="1707" w:type="pct"/>
            <w:noWrap w:val="0"/>
            <w:vAlign w:val="center"/>
          </w:tcPr>
          <w:p>
            <w:pPr>
              <w:pStyle w:val="92"/>
              <w:adjustRightInd w:val="0"/>
              <w:snapToGrid w:val="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自动烟尘（气）测试仪 3012H</w:t>
            </w:r>
          </w:p>
          <w:p>
            <w:pPr>
              <w:pStyle w:val="92"/>
              <w:adjustRightInd w:val="0"/>
              <w:snapToGrid w:val="0"/>
              <w:ind w:firstLine="0" w:firstLineChars="0"/>
              <w:rPr>
                <w:rFonts w:hint="eastAsia"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004</w:t>
            </w:r>
          </w:p>
          <w:p>
            <w:pPr>
              <w:pStyle w:val="92"/>
              <w:adjustRightInd w:val="0"/>
              <w:snapToGrid w:val="0"/>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lang w:eastAsia="zh-CN"/>
              </w:rPr>
              <w:t>自动烟尘（气）测试仪 3012H</w:t>
            </w:r>
            <w:r>
              <w:rPr>
                <w:rFonts w:hint="eastAsia" w:ascii="Times New Roman" w:hAnsi="Times New Roman" w:cs="Times New Roman"/>
                <w:bCs w:val="0"/>
                <w:color w:val="auto"/>
                <w:sz w:val="21"/>
                <w:szCs w:val="21"/>
                <w:lang w:val="en-US" w:eastAsia="zh-CN"/>
              </w:rPr>
              <w:t xml:space="preserve">-D   </w:t>
            </w: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052</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eastAsia" w:ascii="Times New Roman" w:hAnsi="Times New Roman" w:cs="Times New Roman"/>
                <w:bCs w:val="0"/>
                <w:color w:val="auto"/>
                <w:sz w:val="21"/>
                <w:szCs w:val="21"/>
                <w:lang w:val="en-US" w:eastAsia="zh-CN"/>
              </w:rPr>
              <w:t>3mg/m</w:t>
            </w:r>
            <w:r>
              <w:rPr>
                <w:rFonts w:hint="eastAsia" w:ascii="Times New Roman" w:hAnsi="Times New Roman" w:cs="Times New Roman"/>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noWrap w:val="0"/>
            <w:vAlign w:val="center"/>
          </w:tcPr>
          <w:p>
            <w:pPr>
              <w:spacing w:line="240" w:lineRule="auto"/>
              <w:jc w:val="center"/>
              <w:rPr>
                <w:rFonts w:hint="default"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rPr>
              <w:t>氮氧化物</w:t>
            </w:r>
          </w:p>
        </w:tc>
        <w:tc>
          <w:tcPr>
            <w:tcW w:w="141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rPr>
              <w:t>固定污染源废气 氮氧化物的测定 定电位电解法 HJ 693-2014</w:t>
            </w:r>
          </w:p>
        </w:tc>
        <w:tc>
          <w:tcPr>
            <w:tcW w:w="1707" w:type="pct"/>
            <w:noWrap w:val="0"/>
            <w:vAlign w:val="center"/>
          </w:tcPr>
          <w:p>
            <w:pPr>
              <w:pStyle w:val="92"/>
              <w:adjustRightInd w:val="0"/>
              <w:snapToGrid w:val="0"/>
              <w:rPr>
                <w:rFonts w:hint="default" w:ascii="Times New Roman" w:hAnsi="Times New Roman" w:cs="Times New Roman"/>
                <w:bCs w:val="0"/>
                <w:color w:val="auto"/>
                <w:sz w:val="21"/>
                <w:szCs w:val="21"/>
                <w:lang w:eastAsia="zh-CN"/>
              </w:rPr>
            </w:pPr>
            <w:r>
              <w:rPr>
                <w:rFonts w:hint="default" w:ascii="Times New Roman" w:hAnsi="Times New Roman" w:cs="Times New Roman"/>
                <w:bCs w:val="0"/>
                <w:color w:val="auto"/>
                <w:sz w:val="21"/>
                <w:szCs w:val="21"/>
                <w:lang w:eastAsia="zh-CN"/>
              </w:rPr>
              <w:t>自动烟尘（气）测试仪 3012H</w:t>
            </w:r>
          </w:p>
          <w:p>
            <w:pPr>
              <w:pStyle w:val="92"/>
              <w:adjustRightInd w:val="0"/>
              <w:snapToGrid w:val="0"/>
              <w:ind w:firstLine="0" w:firstLineChars="0"/>
              <w:rPr>
                <w:rFonts w:hint="eastAsia"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004</w:t>
            </w:r>
          </w:p>
          <w:p>
            <w:pPr>
              <w:pStyle w:val="92"/>
              <w:adjustRightInd w:val="0"/>
              <w:snapToGrid w:val="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eastAsia="zh-CN"/>
              </w:rPr>
              <w:t>自动烟尘（气）测试仪 3012H</w:t>
            </w:r>
            <w:r>
              <w:rPr>
                <w:rFonts w:hint="eastAsia" w:ascii="Times New Roman" w:hAnsi="Times New Roman" w:cs="Times New Roman"/>
                <w:bCs w:val="0"/>
                <w:color w:val="auto"/>
                <w:sz w:val="21"/>
                <w:szCs w:val="21"/>
                <w:lang w:val="en-US" w:eastAsia="zh-CN"/>
              </w:rPr>
              <w:t>-D</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052</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eastAsia" w:ascii="Times New Roman" w:hAnsi="Times New Roman" w:cs="Times New Roman"/>
                <w:bCs w:val="0"/>
                <w:color w:val="auto"/>
                <w:sz w:val="21"/>
                <w:szCs w:val="21"/>
                <w:lang w:val="en-US" w:eastAsia="zh-CN"/>
              </w:rPr>
              <w:t>3mg/m</w:t>
            </w:r>
            <w:r>
              <w:rPr>
                <w:rFonts w:hint="eastAsia" w:ascii="Times New Roman" w:hAnsi="Times New Roman" w:cs="Times New Roman"/>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noWrap w:val="0"/>
            <w:vAlign w:val="center"/>
          </w:tcPr>
          <w:p>
            <w:pPr>
              <w:spacing w:line="240" w:lineRule="auto"/>
              <w:jc w:val="center"/>
              <w:rPr>
                <w:rFonts w:hint="default"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eastAsia" w:ascii="Times New Roman" w:hAnsi="Times New Roman" w:cs="Times New Roman"/>
                <w:bCs w:val="0"/>
                <w:sz w:val="21"/>
                <w:szCs w:val="21"/>
                <w:lang w:val="en-US" w:eastAsia="zh-CN"/>
              </w:rPr>
              <w:t>氟化物</w:t>
            </w:r>
          </w:p>
        </w:tc>
        <w:tc>
          <w:tcPr>
            <w:tcW w:w="1410" w:type="pct"/>
            <w:noWrap w:val="0"/>
            <w:vAlign w:val="center"/>
          </w:tcPr>
          <w:p>
            <w:pPr>
              <w:spacing w:line="240" w:lineRule="auto"/>
              <w:ind w:firstLine="0" w:firstLineChars="0"/>
              <w:jc w:val="center"/>
              <w:rPr>
                <w:rFonts w:hint="eastAsia" w:ascii="Times New Roman" w:hAnsi="Times New Roman" w:eastAsia="宋体"/>
                <w:sz w:val="21"/>
                <w:szCs w:val="21"/>
                <w:lang w:val="en-US" w:eastAsia="zh-CN"/>
              </w:rPr>
            </w:pPr>
            <w:r>
              <w:rPr>
                <w:rFonts w:hint="default"/>
                <w:bCs w:val="0"/>
                <w:sz w:val="21"/>
                <w:szCs w:val="21"/>
              </w:rPr>
              <w:t>大气固定污染源 氟化物的测定 离子选择性电极法 HJ/T 67-2001</w:t>
            </w:r>
          </w:p>
        </w:tc>
        <w:tc>
          <w:tcPr>
            <w:tcW w:w="1707" w:type="pct"/>
            <w:noWrap w:val="0"/>
            <w:vAlign w:val="center"/>
          </w:tcPr>
          <w:p>
            <w:pPr>
              <w:pStyle w:val="92"/>
              <w:adjustRightInd w:val="0"/>
              <w:snapToGrid w:val="0"/>
              <w:rPr>
                <w:rFonts w:hint="eastAsia"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eastAsia="zh-CN"/>
              </w:rPr>
              <w:t>自动烟尘（气）测试仪 3012H</w:t>
            </w:r>
            <w:r>
              <w:rPr>
                <w:rFonts w:hint="eastAsia" w:ascii="Times New Roman" w:hAnsi="Times New Roman" w:cs="Times New Roman"/>
                <w:bCs w:val="0"/>
                <w:color w:val="auto"/>
                <w:sz w:val="21"/>
                <w:szCs w:val="21"/>
                <w:lang w:val="en-US" w:eastAsia="zh-CN"/>
              </w:rPr>
              <w:t xml:space="preserve">-D   </w:t>
            </w: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052</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自动烟尘（气）测试仪 3012H</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WTI/ES-004</w:t>
            </w:r>
          </w:p>
          <w:p>
            <w:pPr>
              <w:pStyle w:val="92"/>
              <w:adjustRightInd w:val="0"/>
              <w:snapToGrid w:val="0"/>
              <w:ind w:firstLine="0" w:firstLineChars="0"/>
              <w:rPr>
                <w:rFonts w:hint="eastAsia"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双路烟气采样器3072</w:t>
            </w:r>
            <w:r>
              <w:rPr>
                <w:rFonts w:hint="eastAsia" w:ascii="Times New Roman" w:hAnsi="Times New Roman" w:cs="Times New Roman"/>
                <w:bCs w:val="0"/>
                <w:color w:val="auto"/>
                <w:sz w:val="21"/>
                <w:szCs w:val="21"/>
                <w:lang w:val="en-US" w:eastAsia="zh-CN"/>
              </w:rPr>
              <w:t xml:space="preserve"> </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WTI/ES-00</w:t>
            </w:r>
            <w:r>
              <w:rPr>
                <w:rFonts w:hint="eastAsia" w:ascii="Times New Roman" w:hAnsi="Times New Roman" w:cs="Times New Roman"/>
                <w:bCs w:val="0"/>
                <w:color w:val="auto"/>
                <w:sz w:val="21"/>
                <w:szCs w:val="21"/>
                <w:lang w:val="en-US" w:eastAsia="zh-CN"/>
              </w:rPr>
              <w:t>5/</w:t>
            </w:r>
            <w:r>
              <w:rPr>
                <w:rFonts w:hint="default" w:ascii="Times New Roman" w:hAnsi="Times New Roman" w:cs="Times New Roman"/>
                <w:bCs w:val="0"/>
                <w:color w:val="auto"/>
                <w:sz w:val="21"/>
                <w:szCs w:val="21"/>
                <w:lang w:val="en-US" w:eastAsia="zh-CN"/>
              </w:rPr>
              <w:t>WTI/ES-006</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 xml:space="preserve">多参数测试仪S220-F  </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lang w:eastAsia="zh-CN"/>
              </w:rPr>
              <w:t>WTI/EA-020</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eastAsia" w:ascii="Times New Roman" w:hAnsi="Times New Roman" w:eastAsia="宋体" w:cs="Times New Roman"/>
                <w:b w:val="0"/>
                <w:bCs w:val="0"/>
                <w:kern w:val="0"/>
                <w:sz w:val="21"/>
                <w:szCs w:val="21"/>
                <w:lang w:val="en-US" w:eastAsia="zh-CN" w:bidi="ar-SA"/>
              </w:rPr>
              <w:t>0</w:t>
            </w:r>
            <w:r>
              <w:rPr>
                <w:rFonts w:hint="default" w:ascii="Times New Roman" w:hAnsi="Times New Roman" w:eastAsia="宋体" w:cs="Times New Roman"/>
                <w:b w:val="0"/>
                <w:bCs w:val="0"/>
                <w:kern w:val="0"/>
                <w:sz w:val="21"/>
                <w:szCs w:val="21"/>
                <w:lang w:val="en-US" w:eastAsia="zh-CN" w:bidi="ar-SA"/>
              </w:rPr>
              <w:t>.5μg/m</w:t>
            </w:r>
            <w:r>
              <w:rPr>
                <w:rFonts w:hint="eastAsia" w:ascii="Times New Roman" w:hAnsi="Times New Roman" w:eastAsia="宋体" w:cs="Times New Roman"/>
                <w:b w:val="0"/>
                <w:bCs w:val="0"/>
                <w:kern w:val="0"/>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noWrap w:val="0"/>
            <w:vAlign w:val="center"/>
          </w:tcPr>
          <w:p>
            <w:pPr>
              <w:spacing w:line="240" w:lineRule="auto"/>
              <w:jc w:val="center"/>
              <w:rPr>
                <w:rFonts w:hint="default"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Cs w:val="0"/>
                <w:i w:val="0"/>
                <w:iCs w:val="0"/>
                <w:color w:val="000000"/>
                <w:kern w:val="0"/>
                <w:sz w:val="21"/>
                <w:szCs w:val="21"/>
                <w:u w:val="none"/>
                <w:lang w:val="en-US" w:eastAsia="zh-CN" w:bidi="ar"/>
              </w:rPr>
              <w:t>硫化氢</w:t>
            </w:r>
          </w:p>
        </w:tc>
        <w:tc>
          <w:tcPr>
            <w:tcW w:w="1410" w:type="pct"/>
            <w:noWrap w:val="0"/>
            <w:vAlign w:val="center"/>
          </w:tcPr>
          <w:p>
            <w:pPr>
              <w:pStyle w:val="2"/>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cs="Times New Roman"/>
                <w:b w:val="0"/>
                <w:bCs w:val="0"/>
                <w:color w:val="auto"/>
                <w:sz w:val="21"/>
                <w:szCs w:val="21"/>
                <w:lang w:val="en-US" w:eastAsia="zh-CN"/>
              </w:rPr>
              <w:t>空气和废气监测分析方法 （第四版增补版）国家环境保护总局（2003年）（5.4.10.3亚甲基蓝分光光度法）</w:t>
            </w:r>
          </w:p>
        </w:tc>
        <w:tc>
          <w:tcPr>
            <w:tcW w:w="1707" w:type="pct"/>
            <w:noWrap w:val="0"/>
            <w:vAlign w:val="center"/>
          </w:tcPr>
          <w:p>
            <w:pPr>
              <w:pStyle w:val="92"/>
              <w:adjustRightInd w:val="0"/>
              <w:snapToGrid w:val="0"/>
              <w:rPr>
                <w:rFonts w:hint="eastAsia"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eastAsia="zh-CN"/>
              </w:rPr>
              <w:t>自动烟尘（气）测试仪 3012H</w:t>
            </w:r>
            <w:r>
              <w:rPr>
                <w:rFonts w:hint="eastAsia" w:ascii="Times New Roman" w:hAnsi="Times New Roman" w:cs="Times New Roman"/>
                <w:bCs w:val="0"/>
                <w:color w:val="auto"/>
                <w:sz w:val="21"/>
                <w:szCs w:val="21"/>
                <w:lang w:val="en-US" w:eastAsia="zh-CN"/>
              </w:rPr>
              <w:t xml:space="preserve">-D  </w:t>
            </w:r>
            <w:r>
              <w:rPr>
                <w:rFonts w:hint="default" w:ascii="Times New Roman" w:hAnsi="Times New Roman" w:cs="Times New Roman"/>
                <w:bCs w:val="0"/>
                <w:color w:val="auto"/>
                <w:sz w:val="21"/>
                <w:szCs w:val="21"/>
                <w:lang w:eastAsia="zh-CN"/>
              </w:rPr>
              <w:t>WTI/ES-</w:t>
            </w:r>
            <w:r>
              <w:rPr>
                <w:rFonts w:hint="eastAsia" w:ascii="Times New Roman" w:hAnsi="Times New Roman" w:cs="Times New Roman"/>
                <w:bCs w:val="0"/>
                <w:color w:val="auto"/>
                <w:sz w:val="21"/>
                <w:szCs w:val="21"/>
                <w:lang w:val="en-US" w:eastAsia="zh-CN"/>
              </w:rPr>
              <w:t>052</w:t>
            </w:r>
          </w:p>
          <w:p>
            <w:pPr>
              <w:pStyle w:val="92"/>
              <w:adjustRightInd w:val="0"/>
              <w:snapToGrid w:val="0"/>
              <w:ind w:firstLine="0" w:firstLineChars="0"/>
              <w:jc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自动烟尘（气）测试仪 3012H</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WTI/ES-004</w:t>
            </w:r>
          </w:p>
          <w:p>
            <w:pPr>
              <w:pStyle w:val="92"/>
              <w:adjustRightInd w:val="0"/>
              <w:snapToGrid w:val="0"/>
              <w:ind w:firstLine="0" w:firstLineChars="0"/>
              <w:rPr>
                <w:rFonts w:hint="eastAsia"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双路烟气采样器3072</w:t>
            </w:r>
            <w:r>
              <w:rPr>
                <w:rFonts w:hint="eastAsia" w:ascii="Times New Roman" w:hAnsi="Times New Roman" w:cs="Times New Roman"/>
                <w:bCs w:val="0"/>
                <w:color w:val="auto"/>
                <w:sz w:val="21"/>
                <w:szCs w:val="21"/>
                <w:lang w:val="en-US" w:eastAsia="zh-CN"/>
              </w:rPr>
              <w:t xml:space="preserve"> </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WTI/ES-00</w:t>
            </w:r>
            <w:r>
              <w:rPr>
                <w:rFonts w:hint="eastAsia" w:ascii="Times New Roman" w:hAnsi="Times New Roman" w:cs="Times New Roman"/>
                <w:bCs w:val="0"/>
                <w:color w:val="auto"/>
                <w:sz w:val="21"/>
                <w:szCs w:val="21"/>
                <w:lang w:val="en-US" w:eastAsia="zh-CN"/>
              </w:rPr>
              <w:t>5/</w:t>
            </w:r>
            <w:r>
              <w:rPr>
                <w:rFonts w:hint="default" w:ascii="Times New Roman" w:hAnsi="Times New Roman" w:cs="Times New Roman"/>
                <w:bCs w:val="0"/>
                <w:color w:val="auto"/>
                <w:sz w:val="21"/>
                <w:szCs w:val="21"/>
                <w:lang w:val="en-US" w:eastAsia="zh-CN"/>
              </w:rPr>
              <w:t>WTI/ES-006</w:t>
            </w:r>
          </w:p>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可见分光光度计 T6</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lang w:val="en-US" w:eastAsia="zh-CN"/>
              </w:rPr>
              <w:t xml:space="preserve"> </w:t>
            </w:r>
            <w:r>
              <w:rPr>
                <w:rFonts w:hint="default" w:ascii="Times New Roman" w:hAnsi="Times New Roman" w:cs="Times New Roman"/>
                <w:bCs w:val="0"/>
                <w:color w:val="auto"/>
                <w:sz w:val="21"/>
                <w:szCs w:val="21"/>
                <w:lang w:eastAsia="zh-CN"/>
              </w:rPr>
              <w:t>WTI</w:t>
            </w:r>
            <w:r>
              <w:rPr>
                <w:rFonts w:hint="default" w:ascii="Times New Roman" w:hAnsi="Times New Roman" w:cs="Times New Roman"/>
                <w:bCs w:val="0"/>
                <w:color w:val="auto"/>
                <w:sz w:val="21"/>
                <w:szCs w:val="21"/>
              </w:rPr>
              <w:t>/E</w:t>
            </w:r>
            <w:r>
              <w:rPr>
                <w:rFonts w:hint="eastAsia" w:ascii="Times New Roman" w:hAnsi="Times New Roman" w:cs="Times New Roman"/>
                <w:bCs w:val="0"/>
                <w:color w:val="auto"/>
                <w:sz w:val="21"/>
                <w:szCs w:val="21"/>
                <w:lang w:val="en-US" w:eastAsia="zh-CN"/>
              </w:rPr>
              <w:t>A</w:t>
            </w:r>
            <w:r>
              <w:rPr>
                <w:rFonts w:hint="default" w:ascii="Times New Roman" w:hAnsi="Times New Roman" w:cs="Times New Roman"/>
                <w:bCs w:val="0"/>
                <w:color w:val="auto"/>
                <w:sz w:val="21"/>
                <w:szCs w:val="21"/>
              </w:rPr>
              <w:t>-</w:t>
            </w:r>
            <w:r>
              <w:rPr>
                <w:rFonts w:hint="default" w:ascii="Times New Roman" w:hAnsi="Times New Roman" w:cs="Times New Roman"/>
                <w:bCs w:val="0"/>
                <w:color w:val="auto"/>
                <w:sz w:val="21"/>
                <w:szCs w:val="21"/>
                <w:lang w:val="en-US" w:eastAsia="zh-CN"/>
              </w:rPr>
              <w:t>288</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0.</w:t>
            </w:r>
            <w:r>
              <w:rPr>
                <w:rFonts w:hint="default" w:ascii="Times New Roman" w:hAnsi="Times New Roman" w:cs="Times New Roman"/>
                <w:bCs/>
                <w:i w:val="0"/>
                <w:iCs w:val="0"/>
                <w:color w:val="auto"/>
                <w:kern w:val="0"/>
                <w:sz w:val="21"/>
                <w:szCs w:val="21"/>
                <w:u w:val="none"/>
                <w:lang w:val="en-US" w:eastAsia="zh-CN" w:bidi="ar"/>
              </w:rPr>
              <w:t>001</w:t>
            </w:r>
            <w:r>
              <w:rPr>
                <w:rFonts w:hint="default" w:ascii="Times New Roman" w:hAnsi="Times New Roman" w:cs="Times New Roman"/>
                <w:bCs w:val="0"/>
                <w:color w:val="auto"/>
                <w:sz w:val="21"/>
                <w:szCs w:val="21"/>
                <w:lang w:val="en-US" w:eastAsia="zh-CN"/>
              </w:rPr>
              <w:t>mg/m</w:t>
            </w:r>
            <w:r>
              <w:rPr>
                <w:rFonts w:hint="default" w:ascii="Times New Roman" w:hAnsi="Times New Roman" w:cs="Times New Roman"/>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noWrap w:val="0"/>
            <w:vAlign w:val="center"/>
          </w:tcPr>
          <w:p>
            <w:pPr>
              <w:spacing w:line="240" w:lineRule="auto"/>
              <w:jc w:val="center"/>
              <w:rPr>
                <w:rFonts w:hint="default"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eastAsia" w:ascii="Times New Roman" w:hAnsi="Times New Roman" w:cs="Times New Roman"/>
                <w:bCs w:val="0"/>
                <w:i w:val="0"/>
                <w:iCs w:val="0"/>
                <w:color w:val="000000"/>
                <w:kern w:val="0"/>
                <w:sz w:val="21"/>
                <w:szCs w:val="21"/>
                <w:u w:val="none"/>
                <w:lang w:val="en-US" w:eastAsia="zh-CN" w:bidi="ar"/>
              </w:rPr>
              <w:t>油烟</w:t>
            </w:r>
          </w:p>
        </w:tc>
        <w:tc>
          <w:tcPr>
            <w:tcW w:w="1410" w:type="pct"/>
            <w:noWrap w:val="0"/>
            <w:vAlign w:val="center"/>
          </w:tcPr>
          <w:p>
            <w:pPr>
              <w:pStyle w:val="2"/>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sz w:val="21"/>
                <w:szCs w:val="21"/>
                <w:lang w:val="en-US" w:eastAsia="zh-CN"/>
              </w:rPr>
            </w:pPr>
            <w:r>
              <w:rPr>
                <w:rFonts w:hint="default" w:ascii="Times New Roman" w:hAnsi="Times New Roman" w:cs="Times New Roman"/>
                <w:b w:val="0"/>
                <w:bCs w:val="0"/>
                <w:color w:val="auto"/>
                <w:sz w:val="21"/>
                <w:szCs w:val="21"/>
                <w:lang w:val="en-US" w:eastAsia="zh-CN"/>
              </w:rPr>
              <w:t>固定污染源废气 油烟和油雾的测定 红外分光光度法 HJ 1077-2019</w:t>
            </w:r>
          </w:p>
        </w:tc>
        <w:tc>
          <w:tcPr>
            <w:tcW w:w="1707" w:type="pct"/>
            <w:noWrap w:val="0"/>
            <w:vAlign w:val="center"/>
          </w:tcPr>
          <w:p>
            <w:pPr>
              <w:pStyle w:val="92"/>
              <w:adjustRightInd w:val="0"/>
              <w:snapToGrid w:val="0"/>
              <w:ind w:firstLine="0" w:firstLineChars="0"/>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自动烟尘（气）测试仪3012H-D</w:t>
            </w:r>
            <w:r>
              <w:rPr>
                <w:rFonts w:hint="eastAsia" w:ascii="Times New Roman" w:hAnsi="Times New Roman" w:cs="Times New Roman"/>
                <w:bCs w:val="0"/>
                <w:color w:val="auto"/>
                <w:sz w:val="21"/>
                <w:szCs w:val="21"/>
                <w:lang w:val="en-US" w:eastAsia="zh-CN"/>
              </w:rPr>
              <w:t xml:space="preserve">  </w:t>
            </w:r>
            <w:r>
              <w:rPr>
                <w:rFonts w:hint="default" w:ascii="Times New Roman" w:hAnsi="Times New Roman" w:cs="Times New Roman"/>
                <w:bCs w:val="0"/>
                <w:color w:val="auto"/>
                <w:sz w:val="21"/>
                <w:szCs w:val="21"/>
                <w:lang w:val="en-US" w:eastAsia="zh-CN"/>
              </w:rPr>
              <w:t>WTI/ES-0</w:t>
            </w:r>
            <w:r>
              <w:rPr>
                <w:rFonts w:hint="eastAsia" w:ascii="Times New Roman" w:hAnsi="Times New Roman" w:cs="Times New Roman"/>
                <w:bCs w:val="0"/>
                <w:color w:val="auto"/>
                <w:sz w:val="21"/>
                <w:szCs w:val="21"/>
                <w:lang w:val="en-US" w:eastAsia="zh-CN"/>
              </w:rPr>
              <w:t>52</w:t>
            </w:r>
          </w:p>
          <w:p>
            <w:pPr>
              <w:pStyle w:val="92"/>
              <w:adjustRightInd w:val="0"/>
              <w:snapToGrid w:val="0"/>
              <w:rPr>
                <w:rFonts w:hint="default" w:ascii="Times New Roman" w:hAnsi="Times New Roman" w:cs="Times New Roman"/>
                <w:bCs/>
                <w:i w:val="0"/>
                <w:iCs w:val="0"/>
                <w:color w:val="auto"/>
                <w:kern w:val="0"/>
                <w:sz w:val="21"/>
                <w:szCs w:val="21"/>
                <w:u w:val="none"/>
                <w:lang w:val="en-US" w:eastAsia="zh-CN" w:bidi="ar"/>
              </w:rPr>
            </w:pPr>
            <w:r>
              <w:rPr>
                <w:rFonts w:hint="default" w:ascii="Times New Roman" w:hAnsi="Times New Roman" w:cs="Times New Roman"/>
                <w:bCs/>
                <w:i w:val="0"/>
                <w:iCs w:val="0"/>
                <w:color w:val="auto"/>
                <w:kern w:val="0"/>
                <w:sz w:val="21"/>
                <w:szCs w:val="21"/>
                <w:u w:val="none"/>
                <w:lang w:val="en-US" w:eastAsia="zh-CN" w:bidi="ar"/>
              </w:rPr>
              <w:t>红外测油仪 JKY-3A</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i w:val="0"/>
                <w:iCs w:val="0"/>
                <w:color w:val="auto"/>
                <w:kern w:val="0"/>
                <w:sz w:val="21"/>
                <w:szCs w:val="21"/>
                <w:u w:val="none"/>
                <w:lang w:val="en-US" w:eastAsia="zh-CN" w:bidi="ar"/>
              </w:rPr>
              <w:t>WTI/EA-302（Z）</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0.</w:t>
            </w:r>
            <w:r>
              <w:rPr>
                <w:rFonts w:hint="default" w:ascii="Times New Roman" w:hAnsi="Times New Roman" w:cs="Times New Roman"/>
                <w:bCs/>
                <w:i w:val="0"/>
                <w:iCs w:val="0"/>
                <w:color w:val="auto"/>
                <w:kern w:val="0"/>
                <w:sz w:val="21"/>
                <w:szCs w:val="21"/>
                <w:u w:val="none"/>
                <w:lang w:val="en-US" w:eastAsia="zh-CN" w:bidi="ar"/>
              </w:rPr>
              <w:t>1</w:t>
            </w:r>
            <w:r>
              <w:rPr>
                <w:rFonts w:hint="default" w:ascii="Times New Roman" w:hAnsi="Times New Roman" w:cs="Times New Roman"/>
                <w:bCs w:val="0"/>
                <w:color w:val="auto"/>
                <w:sz w:val="21"/>
                <w:szCs w:val="21"/>
                <w:lang w:val="en-US" w:eastAsia="zh-CN"/>
              </w:rPr>
              <w:t>mg/m</w:t>
            </w:r>
            <w:r>
              <w:rPr>
                <w:rFonts w:hint="default" w:ascii="Times New Roman" w:hAnsi="Times New Roman" w:cs="Times New Roman"/>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noWrap w:val="0"/>
            <w:vAlign w:val="center"/>
          </w:tcPr>
          <w:p>
            <w:pPr>
              <w:spacing w:line="240" w:lineRule="auto"/>
              <w:jc w:val="center"/>
              <w:rPr>
                <w:rFonts w:hint="default" w:ascii="Times New Roman" w:hAnsi="Times New Roman" w:eastAsia="宋体"/>
                <w:sz w:val="21"/>
                <w:szCs w:val="21"/>
                <w:lang w:val="en-US" w:eastAsia="zh-CN"/>
              </w:rPr>
            </w:pPr>
          </w:p>
        </w:tc>
        <w:tc>
          <w:tcPr>
            <w:tcW w:w="663"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lang w:val="en-US" w:eastAsia="zh-CN"/>
              </w:rPr>
              <w:t>非甲烷总烃</w:t>
            </w:r>
          </w:p>
        </w:tc>
        <w:tc>
          <w:tcPr>
            <w:tcW w:w="1410"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 xml:space="preserve">固定污染源废气 总烃、甲烷和非甲烷总烃的测定 气相色谱法 </w:t>
            </w:r>
          </w:p>
          <w:p>
            <w:pPr>
              <w:widowControl/>
              <w:adjustRightInd w:val="0"/>
              <w:snapToGrid w:val="0"/>
              <w:spacing w:line="240" w:lineRule="auto"/>
              <w:ind w:firstLine="0" w:firstLineChars="0"/>
              <w:jc w:val="center"/>
              <w:rPr>
                <w:rFonts w:hint="eastAsia" w:ascii="Times New Roman" w:hAnsi="Times New Roman" w:eastAsia="宋体"/>
                <w:sz w:val="21"/>
                <w:szCs w:val="21"/>
                <w:lang w:val="en-US" w:eastAsia="zh-CN"/>
              </w:rPr>
            </w:pPr>
            <w:r>
              <w:rPr>
                <w:rFonts w:hint="default" w:ascii="Times New Roman" w:hAnsi="Times New Roman" w:cs="Times New Roman"/>
                <w:bCs w:val="0"/>
                <w:color w:val="auto"/>
                <w:sz w:val="21"/>
                <w:szCs w:val="21"/>
              </w:rPr>
              <w:t>HJ 38-2017</w:t>
            </w:r>
          </w:p>
        </w:tc>
        <w:tc>
          <w:tcPr>
            <w:tcW w:w="1707" w:type="pct"/>
            <w:noWrap w:val="0"/>
            <w:vAlign w:val="center"/>
          </w:tcPr>
          <w:p>
            <w:pPr>
              <w:pStyle w:val="92"/>
              <w:adjustRightInd w:val="0"/>
              <w:snapToGrid w:val="0"/>
              <w:rPr>
                <w:rFonts w:hint="default" w:ascii="Times New Roman" w:hAnsi="Times New Roman" w:cs="Times New Roman"/>
                <w:bCs w:val="0"/>
                <w:color w:val="auto"/>
                <w:lang w:eastAsia="zh-CN"/>
              </w:rPr>
            </w:pPr>
            <w:r>
              <w:rPr>
                <w:rFonts w:hint="default" w:ascii="Times New Roman" w:hAnsi="Times New Roman" w:cs="Times New Roman"/>
                <w:bCs w:val="0"/>
                <w:color w:val="auto"/>
                <w:lang w:eastAsia="zh-CN"/>
              </w:rPr>
              <w:t>真空箱气袋采样器 TC-6D</w:t>
            </w:r>
          </w:p>
          <w:p>
            <w:pPr>
              <w:pStyle w:val="92"/>
              <w:adjustRightInd w:val="0"/>
              <w:snapToGrid w:val="0"/>
              <w:rPr>
                <w:rFonts w:hint="default" w:ascii="Times New Roman" w:hAnsi="Times New Roman" w:cs="Times New Roman"/>
                <w:bCs w:val="0"/>
                <w:color w:val="auto"/>
                <w:lang w:eastAsia="zh-CN"/>
              </w:rPr>
            </w:pPr>
            <w:r>
              <w:rPr>
                <w:rFonts w:hint="default" w:ascii="Times New Roman" w:hAnsi="Times New Roman" w:cs="Times New Roman"/>
                <w:bCs w:val="0"/>
                <w:color w:val="auto"/>
                <w:lang w:eastAsia="zh-CN"/>
              </w:rPr>
              <w:t>WTI/ES-100</w:t>
            </w:r>
          </w:p>
          <w:p>
            <w:pPr>
              <w:pStyle w:val="92"/>
              <w:adjustRightInd w:val="0"/>
              <w:snapToGrid w:val="0"/>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val="en-US" w:eastAsia="zh-CN"/>
              </w:rPr>
              <w:t>气相色谱仪 福立9790Ⅱ</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lang w:val="en-US" w:eastAsia="zh-CN"/>
              </w:rPr>
              <w:t>WTI/EA-241</w:t>
            </w:r>
          </w:p>
        </w:tc>
        <w:tc>
          <w:tcPr>
            <w:tcW w:w="747" w:type="pct"/>
            <w:noWrap w:val="0"/>
            <w:vAlign w:val="center"/>
          </w:tcPr>
          <w:p>
            <w:pPr>
              <w:pStyle w:val="92"/>
              <w:adjustRightInd w:val="0"/>
              <w:snapToGrid w:val="0"/>
              <w:rPr>
                <w:rFonts w:hint="default" w:ascii="Times New Roman" w:hAnsi="Times New Roman" w:cs="Times New Roman"/>
                <w:bCs w:val="0"/>
                <w:color w:val="auto"/>
                <w:vertAlign w:val="superscript"/>
                <w:lang w:val="en-US" w:eastAsia="zh-CN"/>
              </w:rPr>
            </w:pPr>
            <w:r>
              <w:rPr>
                <w:rFonts w:hint="default" w:ascii="Times New Roman" w:hAnsi="Times New Roman" w:cs="Times New Roman"/>
                <w:bCs w:val="0"/>
                <w:color w:val="auto"/>
                <w:lang w:val="en-US" w:eastAsia="zh-CN"/>
              </w:rPr>
              <w:t>0.07 mg/m</w:t>
            </w:r>
            <w:r>
              <w:rPr>
                <w:rFonts w:hint="default" w:ascii="Times New Roman" w:hAnsi="Times New Roman" w:cs="Times New Roman"/>
                <w:bCs w:val="0"/>
                <w:color w:val="auto"/>
                <w:vertAlign w:val="superscript"/>
                <w:lang w:val="en-US" w:eastAsia="zh-CN"/>
              </w:rPr>
              <w:t>3</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vertAlign w:val="baseline"/>
                <w:lang w:val="en-US" w:eastAsia="zh-CN"/>
              </w:rPr>
              <w:t>（以碳计）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噪声</w:t>
            </w:r>
          </w:p>
        </w:tc>
        <w:tc>
          <w:tcPr>
            <w:tcW w:w="663" w:type="pct"/>
            <w:noWrap w:val="0"/>
            <w:vAlign w:val="center"/>
          </w:tcPr>
          <w:p>
            <w:pPr>
              <w:pStyle w:val="92"/>
              <w:adjustRightInd w:val="0"/>
              <w:snapToGrid w:val="0"/>
              <w:ind w:firstLine="0" w:firstLineChars="0"/>
              <w:rPr>
                <w:rFonts w:hint="default" w:ascii="Times New Roman" w:hAnsi="Times New Roman" w:eastAsia="宋体"/>
                <w:sz w:val="21"/>
                <w:szCs w:val="21"/>
                <w:lang w:val="en-US" w:eastAsia="zh-CN"/>
              </w:rPr>
            </w:pPr>
            <w:r>
              <w:rPr>
                <w:rFonts w:hint="default" w:ascii="Times New Roman" w:hAnsi="Times New Roman" w:cs="Times New Roman"/>
                <w:bCs w:val="0"/>
                <w:color w:val="auto"/>
                <w:lang w:val="en-US" w:eastAsia="zh-CN"/>
              </w:rPr>
              <w:t>厂界噪声</w:t>
            </w:r>
          </w:p>
        </w:tc>
        <w:tc>
          <w:tcPr>
            <w:tcW w:w="1410"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工业企业厂界环境噪声排放标准  GB 12348-2008</w:t>
            </w:r>
          </w:p>
          <w:p>
            <w:pPr>
              <w:widowControl/>
              <w:adjustRightInd w:val="0"/>
              <w:snapToGrid w:val="0"/>
              <w:spacing w:line="240" w:lineRule="auto"/>
              <w:ind w:firstLine="0" w:firstLineChars="0"/>
              <w:jc w:val="center"/>
              <w:rPr>
                <w:rFonts w:hint="default" w:ascii="Times New Roman" w:hAnsi="Times New Roman" w:eastAsia="宋体"/>
                <w:sz w:val="21"/>
                <w:szCs w:val="21"/>
                <w:lang w:val="en-US" w:eastAsia="zh-CN"/>
              </w:rPr>
            </w:pPr>
            <w:r>
              <w:rPr>
                <w:rFonts w:hint="default" w:ascii="Times New Roman" w:hAnsi="Times New Roman" w:cs="Times New Roman"/>
                <w:bCs w:val="0"/>
                <w:color w:val="auto"/>
                <w:sz w:val="21"/>
                <w:szCs w:val="21"/>
                <w:lang w:val="en-US" w:eastAsia="zh-CN"/>
              </w:rPr>
              <w:t>环境噪声监测技术规范</w:t>
            </w:r>
            <w:r>
              <w:rPr>
                <w:rFonts w:hint="eastAsia" w:cs="Times New Roman"/>
                <w:bCs w:val="0"/>
                <w:color w:val="auto"/>
                <w:sz w:val="21"/>
                <w:szCs w:val="21"/>
                <w:lang w:val="en-US" w:eastAsia="zh-CN"/>
              </w:rPr>
              <w:t xml:space="preserve"> </w:t>
            </w:r>
            <w:r>
              <w:rPr>
                <w:rFonts w:hint="default" w:ascii="Times New Roman" w:hAnsi="Times New Roman" w:cs="Times New Roman"/>
                <w:bCs w:val="0"/>
                <w:color w:val="auto"/>
                <w:sz w:val="21"/>
                <w:szCs w:val="21"/>
                <w:lang w:val="en-US" w:eastAsia="zh-CN"/>
              </w:rPr>
              <w:t>噪声测量值修正 HJ 706-2014</w:t>
            </w:r>
          </w:p>
        </w:tc>
        <w:tc>
          <w:tcPr>
            <w:tcW w:w="1707" w:type="pct"/>
            <w:noWrap w:val="0"/>
            <w:vAlign w:val="center"/>
          </w:tcPr>
          <w:p>
            <w:pPr>
              <w:pStyle w:val="92"/>
              <w:adjustRightInd w:val="0"/>
              <w:snapToGrid w:val="0"/>
              <w:rPr>
                <w:rFonts w:hint="default" w:ascii="Times New Roman" w:hAnsi="Times New Roman" w:cs="Times New Roman"/>
                <w:bCs w:val="0"/>
                <w:color w:val="auto"/>
                <w:lang w:eastAsia="zh-CN"/>
              </w:rPr>
            </w:pPr>
            <w:r>
              <w:rPr>
                <w:rFonts w:hint="default" w:ascii="Times New Roman" w:hAnsi="Times New Roman" w:cs="Times New Roman"/>
                <w:bCs w:val="0"/>
                <w:color w:val="auto"/>
                <w:lang w:eastAsia="zh-CN"/>
              </w:rPr>
              <w:t>多功能声级计AWA5688</w:t>
            </w:r>
          </w:p>
          <w:p>
            <w:pPr>
              <w:pStyle w:val="92"/>
              <w:adjustRightInd w:val="0"/>
              <w:snapToGrid w:val="0"/>
              <w:rPr>
                <w:rFonts w:hint="default" w:ascii="Times New Roman" w:hAnsi="Times New Roman" w:cs="Times New Roman"/>
                <w:bCs w:val="0"/>
                <w:color w:val="auto"/>
                <w:kern w:val="2"/>
                <w:lang w:val="en-US" w:eastAsia="zh-CN"/>
              </w:rPr>
            </w:pPr>
            <w:r>
              <w:rPr>
                <w:rFonts w:hint="default" w:ascii="Times New Roman" w:hAnsi="Times New Roman" w:cs="Times New Roman"/>
                <w:bCs w:val="0"/>
                <w:color w:val="auto"/>
                <w:lang w:eastAsia="zh-CN"/>
              </w:rPr>
              <w:t xml:space="preserve"> </w:t>
            </w:r>
            <w:r>
              <w:rPr>
                <w:rFonts w:hint="default" w:ascii="Times New Roman" w:hAnsi="Times New Roman" w:cs="Times New Roman"/>
                <w:bCs w:val="0"/>
                <w:color w:val="auto"/>
                <w:kern w:val="2"/>
                <w:lang w:eastAsia="zh-CN"/>
              </w:rPr>
              <w:t>WTI/ES-01</w:t>
            </w:r>
            <w:r>
              <w:rPr>
                <w:rFonts w:hint="eastAsia" w:ascii="Times New Roman" w:hAnsi="Times New Roman" w:cs="Times New Roman"/>
                <w:bCs w:val="0"/>
                <w:color w:val="auto"/>
                <w:kern w:val="2"/>
                <w:lang w:val="en-US" w:eastAsia="zh-CN"/>
              </w:rPr>
              <w:t>7/</w:t>
            </w:r>
            <w:r>
              <w:rPr>
                <w:rFonts w:hint="default" w:ascii="Times New Roman" w:hAnsi="Times New Roman" w:cs="Times New Roman"/>
                <w:bCs w:val="0"/>
                <w:color w:val="auto"/>
                <w:kern w:val="2"/>
                <w:lang w:eastAsia="zh-CN"/>
              </w:rPr>
              <w:t>WTI/ES-01</w:t>
            </w:r>
            <w:r>
              <w:rPr>
                <w:rFonts w:hint="eastAsia" w:ascii="Times New Roman" w:hAnsi="Times New Roman" w:cs="Times New Roman"/>
                <w:bCs w:val="0"/>
                <w:color w:val="auto"/>
                <w:kern w:val="2"/>
                <w:lang w:val="en-US" w:eastAsia="zh-CN"/>
              </w:rPr>
              <w:t>4</w:t>
            </w:r>
          </w:p>
          <w:p>
            <w:pPr>
              <w:pStyle w:val="92"/>
              <w:adjustRightInd w:val="0"/>
              <w:snapToGrid w:val="0"/>
              <w:rPr>
                <w:rFonts w:hint="default" w:ascii="Times New Roman" w:hAnsi="Times New Roman" w:cs="Times New Roman"/>
                <w:bCs w:val="0"/>
                <w:color w:val="auto"/>
                <w:lang w:eastAsia="zh-CN"/>
              </w:rPr>
            </w:pPr>
            <w:r>
              <w:rPr>
                <w:rFonts w:hint="default" w:ascii="Times New Roman" w:hAnsi="Times New Roman" w:cs="Times New Roman"/>
                <w:bCs w:val="0"/>
                <w:color w:val="auto"/>
                <w:lang w:eastAsia="zh-CN"/>
              </w:rPr>
              <w:t>声校准器AWA6021A</w:t>
            </w:r>
          </w:p>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lang w:eastAsia="zh-CN"/>
              </w:rPr>
              <w:t xml:space="preserve"> </w:t>
            </w:r>
            <w:r>
              <w:rPr>
                <w:rFonts w:hint="default" w:ascii="Times New Roman" w:hAnsi="Times New Roman" w:cs="Times New Roman"/>
                <w:bCs w:val="0"/>
                <w:color w:val="auto"/>
                <w:kern w:val="2"/>
                <w:lang w:eastAsia="zh-CN"/>
              </w:rPr>
              <w:t>WTI/ES-</w:t>
            </w:r>
            <w:r>
              <w:rPr>
                <w:rFonts w:hint="eastAsia" w:ascii="Times New Roman" w:hAnsi="Times New Roman" w:cs="Times New Roman"/>
                <w:bCs w:val="0"/>
                <w:color w:val="auto"/>
                <w:kern w:val="2"/>
                <w:lang w:val="en-US" w:eastAsia="zh-CN"/>
              </w:rPr>
              <w:t>112(Z)</w:t>
            </w:r>
          </w:p>
        </w:tc>
        <w:tc>
          <w:tcPr>
            <w:tcW w:w="747" w:type="pct"/>
            <w:noWrap w:val="0"/>
            <w:vAlign w:val="center"/>
          </w:tcPr>
          <w:p>
            <w:pPr>
              <w:pStyle w:val="92"/>
              <w:adjustRightInd w:val="0"/>
              <w:snapToGrid w:val="0"/>
              <w:ind w:firstLine="0" w:firstLineChars="0"/>
              <w:rPr>
                <w:rFonts w:hint="eastAsia" w:ascii="Times New Roman" w:hAnsi="Times New Roman" w:eastAsia="宋体"/>
                <w:sz w:val="21"/>
                <w:szCs w:val="21"/>
                <w:lang w:val="en-US" w:eastAsia="zh-CN"/>
              </w:rPr>
            </w:pPr>
            <w:r>
              <w:rPr>
                <w:rFonts w:hint="default" w:ascii="Times New Roman" w:hAnsi="Times New Roman" w:cs="Times New Roman"/>
                <w:bC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备注</w:t>
            </w:r>
          </w:p>
        </w:tc>
        <w:tc>
          <w:tcPr>
            <w:tcW w:w="3780" w:type="pct"/>
            <w:gridSpan w:val="3"/>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仪器/设备均在计量检定/校准有效期内使用</w:t>
            </w:r>
          </w:p>
        </w:tc>
        <w:tc>
          <w:tcPr>
            <w:tcW w:w="747" w:type="pct"/>
            <w:noWrap w:val="0"/>
            <w:vAlign w:val="center"/>
          </w:tcPr>
          <w:p>
            <w:pPr>
              <w:spacing w:line="240" w:lineRule="auto"/>
              <w:jc w:val="center"/>
              <w:rPr>
                <w:rFonts w:hint="default" w:ascii="Times New Roman" w:hAnsi="Times New Roman" w:eastAsia="宋体"/>
                <w:sz w:val="21"/>
                <w:szCs w:val="21"/>
                <w:lang w:val="en-US" w:eastAsia="zh-CN"/>
              </w:rPr>
            </w:pPr>
          </w:p>
        </w:tc>
      </w:tr>
      <w:bookmarkEnd w:id="93"/>
      <w:bookmarkEnd w:id="94"/>
    </w:tbl>
    <w:p>
      <w:pPr>
        <w:pStyle w:val="3"/>
      </w:pPr>
      <w:bookmarkStart w:id="95" w:name="_Toc25563"/>
      <w:bookmarkStart w:id="96" w:name="_Toc31043"/>
      <w:r>
        <w:rPr>
          <w:rFonts w:hint="eastAsia"/>
        </w:rPr>
        <w:t>8.</w:t>
      </w:r>
      <w:r>
        <w:rPr>
          <w:rFonts w:hint="eastAsia"/>
          <w:lang w:val="en-US" w:eastAsia="zh-CN"/>
        </w:rPr>
        <w:t>2</w:t>
      </w:r>
      <w:r>
        <w:rPr>
          <w:rFonts w:hint="eastAsia"/>
        </w:rPr>
        <w:t xml:space="preserve"> 质量保证</w:t>
      </w:r>
      <w:bookmarkEnd w:id="95"/>
      <w:bookmarkEnd w:id="96"/>
    </w:p>
    <w:p>
      <w:pPr>
        <w:ind w:firstLine="480" w:firstLineChars="200"/>
        <w:rPr>
          <w:rFonts w:hint="eastAsia" w:eastAsia="宋体"/>
          <w:lang w:eastAsia="zh-CN"/>
        </w:rPr>
      </w:pPr>
      <w:r>
        <w:rPr>
          <w:rFonts w:hint="eastAsia"/>
        </w:rPr>
        <w:t>监测过程中的质量保证措施按国家环境保护总局颁发的《环境监测质量保证管理规定》（暂行）要求进行，实施全过程质量保证。保证了监测过程中生产工况负荷满足验收监测技术规范要求和各监测点位布置的科学性和可比性；监测人员经过考核并持有合格证书；监测数据实行了三级审核制度，经过校对、校核，最后由技术负责人审定。验收监测期间，</w:t>
      </w:r>
      <w:r>
        <w:rPr>
          <w:rFonts w:hint="eastAsia"/>
          <w:lang w:val="zh-CN"/>
        </w:rPr>
        <w:t>巫溪县华安墙材有限公司</w:t>
      </w:r>
      <w:r>
        <w:rPr>
          <w:rFonts w:hint="eastAsia"/>
        </w:rPr>
        <w:t>正常生产。</w:t>
      </w:r>
      <w:r>
        <w:rPr>
          <w:rFonts w:hint="eastAsia"/>
          <w:lang w:eastAsia="zh-CN"/>
        </w:rPr>
        <w:t>巫溪县华安墙材有限公司</w:t>
      </w:r>
      <w:r>
        <w:rPr>
          <w:rFonts w:hint="eastAsia"/>
        </w:rPr>
        <w:t>主要进行废矿物油收集存储</w:t>
      </w:r>
      <w:r>
        <w:rPr>
          <w:rFonts w:hint="eastAsia"/>
          <w:lang w:eastAsia="zh-CN"/>
        </w:rPr>
        <w:t>。</w:t>
      </w:r>
    </w:p>
    <w:p>
      <w:pPr>
        <w:pStyle w:val="3"/>
      </w:pPr>
      <w:bookmarkStart w:id="97" w:name="_Toc7147"/>
      <w:bookmarkStart w:id="98" w:name="_Toc21160"/>
      <w:bookmarkStart w:id="99" w:name="_Toc1318"/>
      <w:r>
        <w:rPr>
          <w:rFonts w:hint="eastAsia"/>
        </w:rPr>
        <w:t>8.</w:t>
      </w:r>
      <w:r>
        <w:rPr>
          <w:rFonts w:hint="eastAsia"/>
          <w:lang w:val="en-US" w:eastAsia="zh-CN"/>
        </w:rPr>
        <w:t>2</w:t>
      </w:r>
      <w:r>
        <w:rPr>
          <w:rFonts w:hint="eastAsia"/>
        </w:rPr>
        <w:t>.1</w:t>
      </w:r>
      <w:bookmarkStart w:id="100" w:name="_Toc524414941"/>
      <w:bookmarkStart w:id="101" w:name="_Toc524412961"/>
      <w:r>
        <w:rPr>
          <w:rFonts w:hint="eastAsia"/>
          <w:lang w:val="en-US" w:eastAsia="zh-CN"/>
        </w:rPr>
        <w:t>废</w:t>
      </w:r>
      <w:r>
        <w:rPr>
          <w:rFonts w:hint="eastAsia"/>
        </w:rPr>
        <w:t>水</w:t>
      </w:r>
      <w:bookmarkEnd w:id="97"/>
      <w:bookmarkEnd w:id="98"/>
      <w:bookmarkEnd w:id="99"/>
      <w:bookmarkEnd w:id="100"/>
      <w:bookmarkEnd w:id="101"/>
    </w:p>
    <w:p>
      <w:pPr>
        <w:ind w:firstLine="480" w:firstLineChars="200"/>
      </w:pPr>
      <w:r>
        <w:rPr>
          <w:rFonts w:hint="eastAsia"/>
        </w:rPr>
        <w:t>为保证监测数据准确、可靠，在水样的采集、保存、实验室分析和数据计算的全过程按照《环境水质监测质量保证手册（第二版）》的要求进行。按照三个10％的要求，采集10％的平行样，实验室分析过程中做10％的分析平行样。</w:t>
      </w:r>
    </w:p>
    <w:p>
      <w:pPr>
        <w:pStyle w:val="3"/>
      </w:pPr>
      <w:bookmarkStart w:id="102" w:name="_Toc10362"/>
      <w:bookmarkStart w:id="103" w:name="_Toc20436"/>
      <w:bookmarkStart w:id="104" w:name="_Toc17121"/>
      <w:bookmarkStart w:id="105" w:name="_Toc524414942"/>
      <w:bookmarkStart w:id="106" w:name="_Toc524412962"/>
      <w:r>
        <w:rPr>
          <w:rFonts w:hint="eastAsia"/>
        </w:rPr>
        <w:t>8.</w:t>
      </w:r>
      <w:r>
        <w:rPr>
          <w:rFonts w:hint="eastAsia"/>
          <w:lang w:val="en-US" w:eastAsia="zh-CN"/>
        </w:rPr>
        <w:t>2</w:t>
      </w:r>
      <w:r>
        <w:rPr>
          <w:rFonts w:hint="eastAsia"/>
        </w:rPr>
        <w:t>.2废气</w:t>
      </w:r>
      <w:bookmarkEnd w:id="102"/>
      <w:bookmarkEnd w:id="103"/>
      <w:bookmarkEnd w:id="104"/>
      <w:bookmarkEnd w:id="105"/>
      <w:bookmarkEnd w:id="106"/>
    </w:p>
    <w:p>
      <w:pPr>
        <w:ind w:firstLine="480" w:firstLineChars="200"/>
      </w:pPr>
      <w:r>
        <w:t>技术要求按照《固定源废气监测技术规范HJ/T 397-2007》执行、布点与采样按《空气和废气监测分析方法》</w:t>
      </w:r>
      <w:r>
        <w:rPr>
          <w:rFonts w:hint="eastAsia"/>
          <w:lang w:eastAsia="zh-CN"/>
        </w:rPr>
        <w:t>（</w:t>
      </w:r>
      <w:r>
        <w:t>第四版</w:t>
      </w:r>
      <w:r>
        <w:rPr>
          <w:rFonts w:hint="eastAsia"/>
          <w:lang w:eastAsia="zh-CN"/>
        </w:rPr>
        <w:t>）</w:t>
      </w:r>
      <w:r>
        <w:t>、固定污染源排气中颗粒物测定与气态污染物采样方法 GB/T 16157-1996执行。废气采样器在进入现场前对采样器流量计、流速计等进行校核。室内计量器具在检定有效期内。被测排放物的浓度在仪器测试量程的有效范围即仪器量程的30％～70％之间；避免被测排放物中共存污染物因子对仪器分析的交叉干扰，监测结果可靠。</w:t>
      </w:r>
    </w:p>
    <w:p>
      <w:pPr>
        <w:pStyle w:val="3"/>
      </w:pPr>
      <w:bookmarkStart w:id="107" w:name="_Toc524412963"/>
      <w:bookmarkStart w:id="108" w:name="_Toc2268"/>
      <w:bookmarkStart w:id="109" w:name="_Toc2734"/>
      <w:bookmarkStart w:id="110" w:name="_Toc1226"/>
      <w:bookmarkStart w:id="111" w:name="_Toc524414943"/>
      <w:r>
        <w:rPr>
          <w:rFonts w:hint="eastAsia"/>
        </w:rPr>
        <w:t>8.</w:t>
      </w:r>
      <w:r>
        <w:rPr>
          <w:rFonts w:hint="eastAsia"/>
          <w:lang w:val="en-US" w:eastAsia="zh-CN"/>
        </w:rPr>
        <w:t>2</w:t>
      </w:r>
      <w:r>
        <w:rPr>
          <w:rFonts w:hint="eastAsia"/>
        </w:rPr>
        <w:t>.3噪声</w:t>
      </w:r>
      <w:bookmarkEnd w:id="107"/>
      <w:bookmarkEnd w:id="108"/>
      <w:bookmarkEnd w:id="109"/>
      <w:bookmarkEnd w:id="110"/>
      <w:bookmarkEnd w:id="111"/>
    </w:p>
    <w:p>
      <w:pPr>
        <w:ind w:firstLine="480" w:firstLineChars="200"/>
        <w:sectPr>
          <w:pgSz w:w="11906" w:h="16838"/>
          <w:pgMar w:top="1440" w:right="1800" w:bottom="1440" w:left="1800" w:header="1020" w:footer="992" w:gutter="0"/>
          <w:pgBorders>
            <w:top w:val="none" w:sz="0" w:space="0"/>
            <w:left w:val="none" w:sz="0" w:space="0"/>
            <w:bottom w:val="none" w:sz="0" w:space="0"/>
            <w:right w:val="none" w:sz="0" w:space="0"/>
          </w:pgBorders>
          <w:cols w:space="720" w:num="1"/>
          <w:docGrid w:type="lines" w:linePitch="312" w:charSpace="0"/>
        </w:sectPr>
      </w:pPr>
      <w:r>
        <w:rPr>
          <w:rFonts w:hint="eastAsia"/>
        </w:rPr>
        <w:t>噪声监测时严格按照国家标准方法的有关规定进行监测。工况正常，天气符合测量要求。测试前后对声级计进行校准，</w:t>
      </w:r>
      <w:r>
        <w:t>测量前后灵敏度相差均</w:t>
      </w:r>
      <w:r>
        <w:rPr>
          <w:rFonts w:hint="eastAsia"/>
        </w:rPr>
        <w:t>在0.5</w:t>
      </w:r>
      <w:r>
        <w:t>dB</w:t>
      </w:r>
      <w:r>
        <w:rPr>
          <w:rFonts w:hint="eastAsia"/>
        </w:rPr>
        <w:t>范围。</w:t>
      </w:r>
    </w:p>
    <w:p>
      <w:pPr>
        <w:pStyle w:val="2"/>
      </w:pPr>
      <w:bookmarkStart w:id="112" w:name="_Toc205"/>
      <w:r>
        <w:t>9 验收监测结果</w:t>
      </w:r>
      <w:bookmarkEnd w:id="112"/>
    </w:p>
    <w:p>
      <w:pPr>
        <w:ind w:firstLine="480" w:firstLineChars="200"/>
      </w:pPr>
      <w:r>
        <w:t>本次验收我公司委托</w:t>
      </w:r>
      <w:r>
        <w:rPr>
          <w:rFonts w:hint="eastAsia"/>
          <w:lang w:eastAsia="zh-CN"/>
        </w:rPr>
        <w:t>重庆渝法检测技术服务有限公司</w:t>
      </w:r>
      <w:r>
        <w:t>对本项目</w:t>
      </w:r>
      <w:r>
        <w:rPr>
          <w:rFonts w:hint="default"/>
        </w:rPr>
        <w:t>无组织废气、</w:t>
      </w:r>
      <w:r>
        <w:rPr>
          <w:rFonts w:hint="eastAsia"/>
          <w:lang w:eastAsia="zh-CN"/>
        </w:rPr>
        <w:t>废水、</w:t>
      </w:r>
      <w:r>
        <w:rPr>
          <w:rFonts w:hint="default"/>
        </w:rPr>
        <w:t>噪声</w:t>
      </w:r>
      <w:r>
        <w:rPr>
          <w:rFonts w:hint="eastAsia"/>
        </w:rPr>
        <w:t>进行了监测</w:t>
      </w:r>
      <w:r>
        <w:t>。监测报告见附件。具体监测和分析结果如下：</w:t>
      </w:r>
    </w:p>
    <w:p>
      <w:pPr>
        <w:pStyle w:val="3"/>
      </w:pPr>
      <w:bookmarkStart w:id="113" w:name="_Toc12560"/>
      <w:bookmarkStart w:id="114" w:name="_Toc497833630"/>
      <w:r>
        <w:t>9.1生产工况</w:t>
      </w:r>
      <w:bookmarkEnd w:id="113"/>
      <w:bookmarkEnd w:id="114"/>
    </w:p>
    <w:p>
      <w:pPr>
        <w:ind w:firstLine="480" w:firstLineChars="200"/>
        <w:rPr>
          <w:rFonts w:hint="eastAsia"/>
          <w:lang w:val="en-US" w:eastAsia="zh-CN"/>
        </w:rPr>
      </w:pPr>
      <w:r>
        <w:rPr>
          <w:rFonts w:hint="eastAsia"/>
          <w:lang w:val="en-US" w:eastAsia="zh-CN"/>
        </w:rPr>
        <w:t>巫溪县华安墙材有限公司主要生产页岩砖，验收监测期间，巫溪县华安墙材有限公司处理工况和环保设施运行正常。</w:t>
      </w:r>
    </w:p>
    <w:p>
      <w:pPr>
        <w:pStyle w:val="3"/>
      </w:pPr>
      <w:bookmarkStart w:id="115" w:name="_Toc14035"/>
      <w:bookmarkStart w:id="116" w:name="_Toc497833631"/>
      <w:r>
        <w:t>9.2 环境保护设施调试效果</w:t>
      </w:r>
      <w:bookmarkEnd w:id="115"/>
      <w:bookmarkEnd w:id="116"/>
    </w:p>
    <w:p>
      <w:pPr>
        <w:pStyle w:val="4"/>
      </w:pPr>
      <w:bookmarkStart w:id="117" w:name="_Toc497833632"/>
      <w:r>
        <w:t xml:space="preserve">9.2.1 </w:t>
      </w:r>
      <w:bookmarkEnd w:id="117"/>
      <w:r>
        <w:rPr>
          <w:rFonts w:hint="eastAsia"/>
          <w:lang w:val="en-US" w:eastAsia="zh-CN"/>
        </w:rPr>
        <w:t>无组织废气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厂区无组织</w:t>
      </w:r>
      <w:r>
        <w:t>监测结果详见表9</w:t>
      </w:r>
      <w:r>
        <w:rPr>
          <w:rFonts w:hint="eastAsia"/>
        </w:rPr>
        <w:t>-</w:t>
      </w:r>
      <w:r>
        <w:rPr>
          <w:rFonts w:hint="eastAsia"/>
          <w:lang w:val="en-US" w:eastAsia="zh-CN"/>
        </w:rPr>
        <w:t>1</w:t>
      </w:r>
      <w:r>
        <w:t>。</w:t>
      </w:r>
    </w:p>
    <w:p>
      <w:pPr>
        <w:spacing w:line="360" w:lineRule="auto"/>
        <w:jc w:val="center"/>
        <w:rPr>
          <w:rFonts w:hint="eastAsia"/>
          <w:b/>
          <w:bCs/>
          <w:sz w:val="21"/>
          <w:szCs w:val="21"/>
          <w:lang w:val="en-US" w:eastAsia="zh-CN"/>
        </w:rPr>
      </w:pPr>
      <w:r>
        <w:rPr>
          <w:b/>
          <w:bCs/>
          <w:sz w:val="21"/>
          <w:szCs w:val="21"/>
        </w:rPr>
        <w:t>表9</w:t>
      </w:r>
      <w:r>
        <w:rPr>
          <w:rFonts w:hint="eastAsia"/>
          <w:b/>
          <w:bCs/>
          <w:sz w:val="21"/>
          <w:szCs w:val="21"/>
        </w:rPr>
        <w:t>-</w:t>
      </w:r>
      <w:r>
        <w:rPr>
          <w:rFonts w:hint="eastAsia"/>
          <w:b/>
          <w:bCs/>
          <w:sz w:val="21"/>
          <w:szCs w:val="21"/>
          <w:lang w:val="en-US" w:eastAsia="zh-CN"/>
        </w:rPr>
        <w:t>1  无组织废气检测结果一览表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014"/>
        <w:gridCol w:w="955"/>
        <w:gridCol w:w="955"/>
        <w:gridCol w:w="955"/>
        <w:gridCol w:w="955"/>
        <w:gridCol w:w="955"/>
        <w:gridCol w:w="966"/>
        <w:gridCol w:w="636"/>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blHeader/>
          <w:jc w:val="center"/>
        </w:trPr>
        <w:tc>
          <w:tcPr>
            <w:tcW w:w="655" w:type="pct"/>
            <w:vMerge w:val="restart"/>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kern w:val="0"/>
                <w:sz w:val="21"/>
                <w:szCs w:val="21"/>
                <w:lang w:eastAsia="en-US"/>
              </w:rPr>
            </w:pPr>
            <w:r>
              <w:rPr>
                <w:rFonts w:hint="default" w:ascii="Times New Roman" w:hAnsi="Times New Roman" w:cs="Times New Roman"/>
                <w:b/>
                <w:bCs w:val="0"/>
                <w:color w:val="auto"/>
                <w:kern w:val="0"/>
                <w:sz w:val="21"/>
                <w:szCs w:val="21"/>
                <w:lang w:eastAsia="en-US"/>
              </w:rPr>
              <w:t>采样</w:t>
            </w:r>
            <w:r>
              <w:rPr>
                <w:rFonts w:hint="default" w:ascii="Times New Roman" w:hAnsi="Times New Roman" w:cs="Times New Roman"/>
                <w:b/>
                <w:bCs w:val="0"/>
                <w:color w:val="auto"/>
                <w:kern w:val="0"/>
                <w:sz w:val="21"/>
                <w:szCs w:val="21"/>
              </w:rPr>
              <w:t>日期</w:t>
            </w:r>
          </w:p>
        </w:tc>
        <w:tc>
          <w:tcPr>
            <w:tcW w:w="549" w:type="pct"/>
            <w:vMerge w:val="restart"/>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kern w:val="0"/>
                <w:sz w:val="21"/>
                <w:szCs w:val="21"/>
                <w:lang w:eastAsia="en-US"/>
              </w:rPr>
            </w:pPr>
            <w:r>
              <w:rPr>
                <w:rFonts w:hint="default" w:ascii="Times New Roman" w:hAnsi="Times New Roman" w:cs="Times New Roman"/>
                <w:b/>
                <w:bCs w:val="0"/>
                <w:color w:val="auto"/>
                <w:kern w:val="0"/>
                <w:sz w:val="21"/>
                <w:szCs w:val="21"/>
                <w:lang w:eastAsia="en-US"/>
              </w:rPr>
              <w:t>监测点位</w:t>
            </w:r>
          </w:p>
        </w:tc>
        <w:tc>
          <w:tcPr>
            <w:tcW w:w="3108" w:type="pct"/>
            <w:gridSpan w:val="6"/>
            <w:vAlign w:val="center"/>
          </w:tcPr>
          <w:p>
            <w:pPr>
              <w:pStyle w:val="2"/>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val="0"/>
                <w:color w:val="auto"/>
                <w:kern w:val="0"/>
                <w:sz w:val="21"/>
                <w:szCs w:val="21"/>
                <w:lang w:val="en-US" w:eastAsia="zh-CN"/>
              </w:rPr>
            </w:pPr>
            <w:r>
              <w:rPr>
                <w:rFonts w:hint="eastAsia" w:cs="Times New Roman"/>
                <w:b/>
                <w:bCs w:val="0"/>
                <w:color w:val="auto"/>
                <w:kern w:val="0"/>
                <w:sz w:val="21"/>
                <w:szCs w:val="21"/>
                <w:lang w:val="en-US" w:eastAsia="zh-CN"/>
              </w:rPr>
              <w:t>监测</w:t>
            </w:r>
            <w:r>
              <w:rPr>
                <w:rFonts w:hint="default" w:ascii="Times New Roman" w:hAnsi="Times New Roman" w:cs="Times New Roman"/>
                <w:b/>
                <w:bCs w:val="0"/>
                <w:color w:val="auto"/>
                <w:kern w:val="0"/>
                <w:sz w:val="21"/>
                <w:szCs w:val="21"/>
                <w:lang w:val="en-US" w:eastAsia="zh-CN"/>
              </w:rPr>
              <w:t>结果</w:t>
            </w:r>
          </w:p>
        </w:tc>
        <w:tc>
          <w:tcPr>
            <w:tcW w:w="343" w:type="pct"/>
            <w:vMerge w:val="restart"/>
            <w:vAlign w:val="center"/>
          </w:tcPr>
          <w:p>
            <w:pPr>
              <w:pStyle w:val="2"/>
              <w:keepNext/>
              <w:keepLines/>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风向</w:t>
            </w:r>
          </w:p>
        </w:tc>
        <w:tc>
          <w:tcPr>
            <w:tcW w:w="343" w:type="pct"/>
            <w:vMerge w:val="restart"/>
            <w:vAlign w:val="center"/>
          </w:tcPr>
          <w:p>
            <w:pPr>
              <w:keepNext/>
              <w:keepLines/>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outlineLvl w:val="9"/>
              <w:rPr>
                <w:rFonts w:hint="default" w:ascii="Times New Roman" w:hAnsi="Times New Roman"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blHeader/>
          <w:jc w:val="center"/>
        </w:trPr>
        <w:tc>
          <w:tcPr>
            <w:tcW w:w="655" w:type="pct"/>
            <w:vMerge w:val="continue"/>
            <w:vAlign w:val="center"/>
          </w:tcPr>
          <w:p>
            <w:pPr>
              <w:pStyle w:val="2"/>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Cs/>
                <w:color w:val="auto"/>
                <w:sz w:val="21"/>
                <w:szCs w:val="21"/>
              </w:rPr>
            </w:pPr>
          </w:p>
        </w:tc>
        <w:tc>
          <w:tcPr>
            <w:tcW w:w="549" w:type="pct"/>
            <w:vMerge w:val="continue"/>
            <w:vAlign w:val="center"/>
          </w:tcPr>
          <w:p>
            <w:pPr>
              <w:pStyle w:val="2"/>
              <w:keepNext/>
              <w:keepLines/>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bCs w:val="0"/>
                <w:color w:val="auto"/>
                <w:kern w:val="0"/>
                <w:sz w:val="21"/>
                <w:szCs w:val="21"/>
                <w:lang w:val="en-US" w:eastAsia="zh-CN"/>
              </w:rPr>
            </w:pPr>
          </w:p>
        </w:tc>
        <w:tc>
          <w:tcPr>
            <w:tcW w:w="51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kern w:val="0"/>
                <w:sz w:val="21"/>
                <w:szCs w:val="21"/>
                <w:lang w:val="en-US" w:eastAsia="zh-CN"/>
              </w:rPr>
            </w:pPr>
            <w:r>
              <w:rPr>
                <w:rFonts w:hint="eastAsia" w:cs="Times New Roman"/>
                <w:bCs w:val="0"/>
                <w:color w:val="auto"/>
                <w:kern w:val="0"/>
                <w:sz w:val="21"/>
                <w:szCs w:val="21"/>
                <w:lang w:val="en-US" w:eastAsia="zh-CN"/>
              </w:rPr>
              <w:t>颗粒物</w:t>
            </w: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c>
          <w:tcPr>
            <w:tcW w:w="51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sz w:val="21"/>
                <w:szCs w:val="21"/>
                <w:lang w:val="en-US" w:eastAsia="zh-CN"/>
              </w:rPr>
            </w:pPr>
            <w:r>
              <w:rPr>
                <w:rFonts w:hint="eastAsia" w:cs="Times New Roman"/>
                <w:bCs w:val="0"/>
                <w:color w:val="auto"/>
                <w:sz w:val="21"/>
                <w:szCs w:val="21"/>
                <w:lang w:val="en-US" w:eastAsia="zh-CN"/>
              </w:rPr>
              <w:t>氟化物</w:t>
            </w:r>
            <w:r>
              <w:rPr>
                <w:rFonts w:hint="default" w:ascii="Times New Roman" w:hAnsi="Times New Roman" w:cs="Times New Roman"/>
                <w:bCs w:val="0"/>
                <w:color w:val="auto"/>
                <w:kern w:val="0"/>
                <w:sz w:val="21"/>
                <w:szCs w:val="21"/>
                <w:lang w:val="en-US" w:eastAsia="zh-CN"/>
              </w:rPr>
              <w:t>ug</w:t>
            </w:r>
            <w:r>
              <w:rPr>
                <w:rFonts w:hint="default" w:ascii="Times New Roman" w:hAnsi="Times New Roman" w:cs="Times New Roman"/>
                <w:b w:val="0"/>
                <w:bCs w:val="0"/>
                <w:color w:val="auto"/>
                <w:sz w:val="21"/>
                <w:szCs w:val="21"/>
                <w:lang w:val="en-US" w:eastAsia="zh-CN"/>
              </w:rPr>
              <w:t>/m</w:t>
            </w:r>
            <w:r>
              <w:rPr>
                <w:rFonts w:hint="default" w:ascii="Times New Roman" w:hAnsi="Times New Roman" w:cs="Times New Roman"/>
                <w:b w:val="0"/>
                <w:bCs w:val="0"/>
                <w:color w:val="auto"/>
                <w:sz w:val="21"/>
                <w:szCs w:val="21"/>
                <w:vertAlign w:val="superscript"/>
                <w:lang w:val="en-US" w:eastAsia="zh-CN"/>
              </w:rPr>
              <w:t>3</w:t>
            </w:r>
          </w:p>
        </w:tc>
        <w:tc>
          <w:tcPr>
            <w:tcW w:w="51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sz w:val="21"/>
                <w:szCs w:val="21"/>
                <w:lang w:eastAsia="zh-CN"/>
              </w:rPr>
            </w:pPr>
            <w:r>
              <w:rPr>
                <w:rFonts w:hint="eastAsia" w:cs="Times New Roman"/>
                <w:bCs w:val="0"/>
                <w:color w:val="auto"/>
                <w:sz w:val="21"/>
                <w:szCs w:val="21"/>
                <w:lang w:val="en-US" w:eastAsia="zh-CN"/>
              </w:rPr>
              <w:t>氨</w:t>
            </w: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 w:val="0"/>
                <w:bCs w:val="0"/>
                <w:color w:val="auto"/>
                <w:sz w:val="21"/>
                <w:szCs w:val="21"/>
                <w:lang w:val="en-US" w:eastAsia="zh-CN"/>
              </w:rPr>
              <w:t>g/m</w:t>
            </w:r>
            <w:r>
              <w:rPr>
                <w:rFonts w:hint="default" w:ascii="Times New Roman" w:hAnsi="Times New Roman" w:cs="Times New Roman"/>
                <w:b w:val="0"/>
                <w:bCs w:val="0"/>
                <w:color w:val="auto"/>
                <w:sz w:val="21"/>
                <w:szCs w:val="21"/>
                <w:vertAlign w:val="superscript"/>
                <w:lang w:val="en-US" w:eastAsia="zh-CN"/>
              </w:rPr>
              <w:t>3</w:t>
            </w:r>
          </w:p>
        </w:tc>
        <w:tc>
          <w:tcPr>
            <w:tcW w:w="51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sz w:val="21"/>
                <w:szCs w:val="21"/>
                <w:lang w:eastAsia="zh-CN"/>
              </w:rPr>
            </w:pPr>
            <w:r>
              <w:rPr>
                <w:rFonts w:hint="eastAsia" w:cs="Times New Roman"/>
                <w:bCs w:val="0"/>
                <w:color w:val="auto"/>
                <w:sz w:val="21"/>
                <w:szCs w:val="21"/>
                <w:lang w:val="en-US" w:eastAsia="zh-CN"/>
              </w:rPr>
              <w:t>硫化氢</w:t>
            </w: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 w:val="0"/>
                <w:bCs w:val="0"/>
                <w:color w:val="auto"/>
                <w:sz w:val="21"/>
                <w:szCs w:val="21"/>
                <w:lang w:val="en-US" w:eastAsia="zh-CN"/>
              </w:rPr>
              <w:t>g/m</w:t>
            </w:r>
            <w:r>
              <w:rPr>
                <w:rFonts w:hint="default" w:ascii="Times New Roman" w:hAnsi="Times New Roman" w:cs="Times New Roman"/>
                <w:b w:val="0"/>
                <w:bCs w:val="0"/>
                <w:color w:val="auto"/>
                <w:sz w:val="21"/>
                <w:szCs w:val="21"/>
                <w:vertAlign w:val="superscript"/>
                <w:lang w:val="en-US" w:eastAsia="zh-CN"/>
              </w:rPr>
              <w:t>3</w:t>
            </w:r>
          </w:p>
        </w:tc>
        <w:tc>
          <w:tcPr>
            <w:tcW w:w="51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val="0"/>
                <w:color w:val="auto"/>
                <w:sz w:val="21"/>
                <w:szCs w:val="21"/>
                <w:lang w:val="en-US" w:eastAsia="zh-CN"/>
              </w:rPr>
            </w:pPr>
            <w:r>
              <w:rPr>
                <w:rFonts w:hint="eastAsia" w:cs="Times New Roman"/>
                <w:bCs w:val="0"/>
                <w:color w:val="auto"/>
                <w:sz w:val="21"/>
                <w:szCs w:val="21"/>
                <w:lang w:val="en-US" w:eastAsia="zh-CN"/>
              </w:rPr>
              <w:t>臭气</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sz w:val="21"/>
                <w:szCs w:val="21"/>
                <w:lang w:eastAsia="zh-CN"/>
              </w:rPr>
            </w:pPr>
            <w:r>
              <w:rPr>
                <w:rFonts w:hint="eastAsia" w:cs="Times New Roman"/>
                <w:bCs w:val="0"/>
                <w:color w:val="auto"/>
                <w:sz w:val="21"/>
                <w:szCs w:val="21"/>
                <w:lang w:val="en-US" w:eastAsia="zh-CN"/>
              </w:rPr>
              <w:t>浓度</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sz w:val="21"/>
                <w:szCs w:val="21"/>
                <w:lang w:eastAsia="zh-CN"/>
              </w:rPr>
            </w:pPr>
            <w:r>
              <w:rPr>
                <w:rFonts w:hint="eastAsia" w:cs="Times New Roman"/>
                <w:bCs w:val="0"/>
                <w:color w:val="auto"/>
                <w:sz w:val="21"/>
                <w:szCs w:val="21"/>
                <w:lang w:val="en-US" w:eastAsia="zh-CN"/>
              </w:rPr>
              <w:t>二氧化硫</w:t>
            </w: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 w:val="0"/>
                <w:bCs w:val="0"/>
                <w:color w:val="auto"/>
                <w:sz w:val="21"/>
                <w:szCs w:val="21"/>
                <w:lang w:val="en-US" w:eastAsia="zh-CN"/>
              </w:rPr>
              <w:t>g/m</w:t>
            </w:r>
            <w:r>
              <w:rPr>
                <w:rFonts w:hint="default" w:ascii="Times New Roman" w:hAnsi="Times New Roman" w:cs="Times New Roman"/>
                <w:b w:val="0"/>
                <w:bCs w:val="0"/>
                <w:color w:val="auto"/>
                <w:sz w:val="21"/>
                <w:szCs w:val="21"/>
                <w:vertAlign w:val="superscript"/>
                <w:lang w:val="en-US" w:eastAsia="zh-CN"/>
              </w:rPr>
              <w:t>3</w:t>
            </w:r>
          </w:p>
        </w:tc>
        <w:tc>
          <w:tcPr>
            <w:tcW w:w="343" w:type="pct"/>
            <w:vMerge w:val="continue"/>
            <w:vAlign w:val="center"/>
          </w:tcPr>
          <w:p>
            <w:pPr>
              <w:pStyle w:val="2"/>
              <w:keepNext/>
              <w:keepLines/>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bCs w:val="0"/>
                <w:color w:val="auto"/>
                <w:kern w:val="0"/>
                <w:sz w:val="21"/>
                <w:szCs w:val="21"/>
                <w:lang w:val="en-US" w:eastAsia="zh-CN"/>
              </w:rPr>
            </w:pPr>
          </w:p>
        </w:tc>
        <w:tc>
          <w:tcPr>
            <w:tcW w:w="343" w:type="pct"/>
            <w:vMerge w:val="continue"/>
            <w:vAlign w:val="center"/>
          </w:tcPr>
          <w:p>
            <w:pPr>
              <w:keepNext/>
              <w:keepLines/>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outlineLvl w:val="9"/>
              <w:rPr>
                <w:rFonts w:hint="default" w:ascii="Times New Roman" w:hAnsi="Times New Roman" w:cs="Times New Roman"/>
                <w:b/>
                <w:bCs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55" w:type="pct"/>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202</w:t>
            </w:r>
            <w:r>
              <w:rPr>
                <w:rFonts w:hint="eastAsia" w:cs="Times New Roman"/>
                <w:bCs/>
                <w:i w:val="0"/>
                <w:iCs w:val="0"/>
                <w:color w:val="auto"/>
                <w:kern w:val="0"/>
                <w:sz w:val="21"/>
                <w:szCs w:val="21"/>
                <w:u w:val="none"/>
                <w:lang w:val="en-US" w:eastAsia="zh-CN" w:bidi="ar"/>
              </w:rPr>
              <w:t>4.01.22</w:t>
            </w:r>
          </w:p>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ajorEastAsia"/>
                <w:b/>
                <w:bCs w:val="0"/>
                <w:color w:val="auto"/>
                <w:kern w:val="0"/>
                <w:sz w:val="21"/>
                <w:szCs w:val="21"/>
                <w:shd w:val="clear" w:color="auto" w:fill="auto"/>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第一次</w:t>
            </w:r>
          </w:p>
        </w:tc>
        <w:tc>
          <w:tcPr>
            <w:tcW w:w="5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G</w:t>
            </w:r>
            <w:r>
              <w:rPr>
                <w:rFonts w:hint="eastAsia" w:cs="Times New Roman"/>
                <w:bCs/>
                <w:i w:val="0"/>
                <w:iCs w:val="0"/>
                <w:color w:val="auto"/>
                <w:kern w:val="0"/>
                <w:sz w:val="21"/>
                <w:szCs w:val="21"/>
                <w:u w:val="none"/>
                <w:lang w:val="en-US" w:eastAsia="zh-CN" w:bidi="ar"/>
              </w:rPr>
              <w:t>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kern w:val="0"/>
                <w:sz w:val="21"/>
                <w:szCs w:val="21"/>
                <w:lang w:val="en-US" w:eastAsia="zh-CN"/>
              </w:rPr>
            </w:pPr>
            <w:r>
              <w:rPr>
                <w:rFonts w:hint="eastAsia" w:cs="Times New Roman"/>
                <w:bCs w:val="0"/>
                <w:color w:val="auto"/>
                <w:kern w:val="0"/>
                <w:sz w:val="21"/>
                <w:szCs w:val="21"/>
                <w:lang w:val="en-US" w:eastAsia="zh-CN"/>
              </w:rPr>
              <w:t>0.18</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kern w:val="0"/>
                <w:sz w:val="21"/>
                <w:szCs w:val="21"/>
                <w:lang w:val="en-US" w:eastAsia="zh-CN"/>
              </w:rPr>
            </w:pPr>
            <w:r>
              <w:rPr>
                <w:rFonts w:hint="eastAsia" w:cs="Times New Roman"/>
                <w:bCs w:val="0"/>
                <w:color w:val="auto"/>
                <w:kern w:val="0"/>
                <w:sz w:val="21"/>
                <w:szCs w:val="21"/>
                <w:lang w:val="en-US" w:eastAsia="zh-CN"/>
              </w:rPr>
              <w:t>0.6</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kern w:val="0"/>
                <w:sz w:val="21"/>
                <w:szCs w:val="21"/>
                <w:lang w:val="en-US" w:eastAsia="zh-CN"/>
              </w:rPr>
            </w:pPr>
            <w:r>
              <w:rPr>
                <w:rFonts w:hint="eastAsia" w:cs="Times New Roman"/>
                <w:bCs w:val="0"/>
                <w:color w:val="auto"/>
                <w:kern w:val="0"/>
                <w:sz w:val="21"/>
                <w:szCs w:val="21"/>
                <w:lang w:val="en-US" w:eastAsia="zh-CN"/>
              </w:rPr>
              <w:t>0.17</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rPr>
            </w:pPr>
            <w:r>
              <w:rPr>
                <w:rFonts w:hint="eastAsia" w:cs="Times New Roman"/>
                <w:bCs w:val="0"/>
                <w:color w:val="auto"/>
                <w:kern w:val="0"/>
                <w:sz w:val="21"/>
                <w:szCs w:val="21"/>
                <w:lang w:val="en-US" w:eastAsia="zh-CN"/>
              </w:rPr>
              <w:t>0.004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rPr>
            </w:pPr>
            <w:r>
              <w:rPr>
                <w:rFonts w:hint="eastAsia" w:cs="Times New Roman"/>
                <w:bCs w:val="0"/>
                <w:color w:val="auto"/>
                <w:kern w:val="0"/>
                <w:sz w:val="21"/>
                <w:szCs w:val="21"/>
                <w:lang w:val="en-US" w:eastAsia="zh-CN"/>
              </w:rPr>
              <w:t>12</w:t>
            </w:r>
          </w:p>
        </w:tc>
        <w:tc>
          <w:tcPr>
            <w:tcW w:w="96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rPr>
            </w:pPr>
            <w:r>
              <w:rPr>
                <w:rFonts w:hint="eastAsia" w:cs="Times New Roman"/>
                <w:bCs w:val="0"/>
                <w:color w:val="auto"/>
                <w:kern w:val="0"/>
                <w:sz w:val="21"/>
                <w:szCs w:val="21"/>
                <w:lang w:val="en-US" w:eastAsia="zh-CN"/>
              </w:rPr>
              <w:t>0.036</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cs="Times New Roman"/>
                <w:bCs w:val="0"/>
                <w:color w:val="auto"/>
                <w:kern w:val="0"/>
                <w:sz w:val="21"/>
                <w:szCs w:val="21"/>
                <w:lang w:val="en-US" w:eastAsia="zh-CN"/>
              </w:rPr>
            </w:pPr>
            <w:r>
              <w:rPr>
                <w:rFonts w:hint="eastAsia" w:cs="Times New Roman"/>
                <w:bCs w:val="0"/>
                <w:color w:val="auto"/>
                <w:kern w:val="0"/>
                <w:sz w:val="21"/>
                <w:szCs w:val="21"/>
                <w:lang w:val="en-US" w:eastAsia="zh-CN"/>
              </w:rPr>
              <w:t>东</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eastAsia="宋体"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1.</w:t>
            </w:r>
            <w:r>
              <w:rPr>
                <w:rFonts w:hint="eastAsia" w:cs="Times New Roman"/>
                <w:bCs w:val="0"/>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55" w:type="pct"/>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202</w:t>
            </w:r>
            <w:r>
              <w:rPr>
                <w:rFonts w:hint="eastAsia" w:cs="Times New Roman"/>
                <w:bCs/>
                <w:i w:val="0"/>
                <w:iCs w:val="0"/>
                <w:color w:val="auto"/>
                <w:kern w:val="0"/>
                <w:sz w:val="21"/>
                <w:szCs w:val="21"/>
                <w:u w:val="none"/>
                <w:lang w:val="en-US" w:eastAsia="zh-CN" w:bidi="ar"/>
              </w:rPr>
              <w:t>4.01.22</w:t>
            </w:r>
          </w:p>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
                <w:bCs w:val="0"/>
                <w:color w:val="auto"/>
                <w:kern w:val="0"/>
                <w:sz w:val="21"/>
                <w:szCs w:val="21"/>
                <w:shd w:val="clear" w:color="auto" w:fill="auto"/>
              </w:rPr>
            </w:pPr>
            <w:r>
              <w:rPr>
                <w:rFonts w:hint="default" w:ascii="Times New Roman" w:hAnsi="Times New Roman" w:eastAsia="宋体" w:cs="Times New Roman"/>
                <w:bCs/>
                <w:i w:val="0"/>
                <w:iCs w:val="0"/>
                <w:color w:val="auto"/>
                <w:kern w:val="0"/>
                <w:sz w:val="21"/>
                <w:szCs w:val="21"/>
                <w:u w:val="none"/>
                <w:lang w:val="en-US" w:eastAsia="zh-CN" w:bidi="ar"/>
              </w:rPr>
              <w:t>第二次</w:t>
            </w:r>
          </w:p>
        </w:tc>
        <w:tc>
          <w:tcPr>
            <w:tcW w:w="5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G</w:t>
            </w:r>
            <w:r>
              <w:rPr>
                <w:rFonts w:hint="eastAsia" w:cs="Times New Roman"/>
                <w:bCs/>
                <w:i w:val="0"/>
                <w:iCs w:val="0"/>
                <w:color w:val="auto"/>
                <w:kern w:val="0"/>
                <w:sz w:val="21"/>
                <w:szCs w:val="21"/>
                <w:u w:val="none"/>
                <w:lang w:val="en-US" w:eastAsia="zh-CN" w:bidi="ar"/>
              </w:rPr>
              <w:t>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kern w:val="0"/>
                <w:sz w:val="21"/>
                <w:szCs w:val="21"/>
                <w:lang w:val="en-US" w:eastAsia="zh-CN"/>
              </w:rPr>
            </w:pPr>
            <w:r>
              <w:rPr>
                <w:rFonts w:hint="eastAsia" w:cs="Times New Roman"/>
                <w:bCs w:val="0"/>
                <w:color w:val="auto"/>
                <w:kern w:val="0"/>
                <w:sz w:val="21"/>
                <w:szCs w:val="21"/>
                <w:lang w:val="en-US" w:eastAsia="zh-CN"/>
              </w:rPr>
              <w:t>0.19</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kern w:val="0"/>
                <w:sz w:val="21"/>
                <w:szCs w:val="21"/>
                <w:lang w:val="en-US" w:eastAsia="zh-CN"/>
              </w:rPr>
            </w:pPr>
            <w:r>
              <w:rPr>
                <w:rFonts w:hint="eastAsia" w:cs="Times New Roman"/>
                <w:bCs w:val="0"/>
                <w:color w:val="auto"/>
                <w:kern w:val="0"/>
                <w:sz w:val="21"/>
                <w:szCs w:val="21"/>
                <w:lang w:val="en-US" w:eastAsia="zh-CN"/>
              </w:rPr>
              <w:t>0.6</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kern w:val="0"/>
                <w:sz w:val="21"/>
                <w:szCs w:val="21"/>
                <w:lang w:val="en-US" w:eastAsia="zh-CN"/>
              </w:rPr>
            </w:pPr>
            <w:r>
              <w:rPr>
                <w:rFonts w:hint="eastAsia" w:cs="Times New Roman"/>
                <w:bCs w:val="0"/>
                <w:color w:val="auto"/>
                <w:kern w:val="0"/>
                <w:sz w:val="21"/>
                <w:szCs w:val="21"/>
                <w:lang w:val="en-US" w:eastAsia="zh-CN"/>
              </w:rPr>
              <w:t>0.18</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rPr>
            </w:pPr>
            <w:r>
              <w:rPr>
                <w:rFonts w:hint="eastAsia" w:cs="Times New Roman"/>
                <w:bCs w:val="0"/>
                <w:color w:val="auto"/>
                <w:kern w:val="0"/>
                <w:sz w:val="21"/>
                <w:szCs w:val="21"/>
                <w:lang w:val="en-US" w:eastAsia="zh-CN"/>
              </w:rPr>
              <w:t>0.004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rPr>
            </w:pPr>
            <w:r>
              <w:rPr>
                <w:rFonts w:hint="eastAsia" w:cs="Times New Roman"/>
                <w:bCs w:val="0"/>
                <w:color w:val="auto"/>
                <w:kern w:val="0"/>
                <w:sz w:val="21"/>
                <w:szCs w:val="21"/>
                <w:lang w:val="en-US" w:eastAsia="zh-CN"/>
              </w:rPr>
              <w:t>14</w:t>
            </w:r>
          </w:p>
        </w:tc>
        <w:tc>
          <w:tcPr>
            <w:tcW w:w="96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rPr>
            </w:pPr>
            <w:r>
              <w:rPr>
                <w:rFonts w:hint="eastAsia" w:cs="Times New Roman"/>
                <w:bCs w:val="0"/>
                <w:color w:val="auto"/>
                <w:kern w:val="0"/>
                <w:sz w:val="21"/>
                <w:szCs w:val="21"/>
                <w:lang w:val="en-US" w:eastAsia="zh-CN"/>
              </w:rPr>
              <w:t>0.029</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cs="Times New Roman"/>
                <w:bCs w:val="0"/>
                <w:color w:val="0000FF"/>
                <w:kern w:val="0"/>
                <w:sz w:val="21"/>
                <w:szCs w:val="21"/>
                <w:lang w:val="en-US" w:eastAsia="zh-CN"/>
              </w:rPr>
            </w:pPr>
            <w:r>
              <w:rPr>
                <w:rFonts w:hint="eastAsia" w:cs="Times New Roman"/>
                <w:bCs w:val="0"/>
                <w:color w:val="auto"/>
                <w:kern w:val="0"/>
                <w:sz w:val="21"/>
                <w:szCs w:val="21"/>
                <w:lang w:val="en-US" w:eastAsia="zh-CN"/>
              </w:rPr>
              <w:t>东</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cs="Times New Roman"/>
                <w:bCs w:val="0"/>
                <w:color w:val="0000FF"/>
                <w:kern w:val="0"/>
                <w:sz w:val="21"/>
                <w:szCs w:val="21"/>
                <w:lang w:eastAsia="en-US"/>
              </w:rPr>
            </w:pPr>
            <w:r>
              <w:rPr>
                <w:rFonts w:hint="default" w:ascii="Times New Roman" w:hAnsi="Times New Roman" w:cs="Times New Roman"/>
                <w:bCs w:val="0"/>
                <w:color w:val="auto"/>
                <w:kern w:val="0"/>
                <w:sz w:val="21"/>
                <w:szCs w:val="21"/>
                <w:lang w:val="en-US" w:eastAsia="zh-CN"/>
              </w:rPr>
              <w:t>1.</w:t>
            </w:r>
            <w:r>
              <w:rPr>
                <w:rFonts w:hint="eastAsia" w:cs="Times New Roman"/>
                <w:bCs w:val="0"/>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55" w:type="pct"/>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202</w:t>
            </w:r>
            <w:r>
              <w:rPr>
                <w:rFonts w:hint="eastAsia" w:cs="Times New Roman"/>
                <w:bCs/>
                <w:i w:val="0"/>
                <w:iCs w:val="0"/>
                <w:color w:val="auto"/>
                <w:kern w:val="0"/>
                <w:sz w:val="21"/>
                <w:szCs w:val="21"/>
                <w:u w:val="none"/>
                <w:lang w:val="en-US" w:eastAsia="zh-CN" w:bidi="ar"/>
              </w:rPr>
              <w:t>4.01.22</w:t>
            </w:r>
          </w:p>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
                <w:bCs w:val="0"/>
                <w:color w:val="auto"/>
                <w:kern w:val="0"/>
                <w:sz w:val="21"/>
                <w:szCs w:val="21"/>
                <w:shd w:val="clear" w:color="auto" w:fill="auto"/>
              </w:rPr>
            </w:pPr>
            <w:r>
              <w:rPr>
                <w:rFonts w:hint="default" w:ascii="Times New Roman" w:hAnsi="Times New Roman" w:eastAsia="宋体" w:cs="Times New Roman"/>
                <w:bCs/>
                <w:i w:val="0"/>
                <w:iCs w:val="0"/>
                <w:color w:val="auto"/>
                <w:kern w:val="0"/>
                <w:sz w:val="21"/>
                <w:szCs w:val="21"/>
                <w:u w:val="none"/>
                <w:lang w:val="en-US" w:eastAsia="zh-CN" w:bidi="ar"/>
              </w:rPr>
              <w:t>第三次</w:t>
            </w:r>
          </w:p>
        </w:tc>
        <w:tc>
          <w:tcPr>
            <w:tcW w:w="5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G</w:t>
            </w:r>
            <w:r>
              <w:rPr>
                <w:rFonts w:hint="eastAsia" w:cs="Times New Roman"/>
                <w:bCs/>
                <w:i w:val="0"/>
                <w:iCs w:val="0"/>
                <w:color w:val="auto"/>
                <w:kern w:val="0"/>
                <w:sz w:val="21"/>
                <w:szCs w:val="21"/>
                <w:u w:val="none"/>
                <w:lang w:val="en-US" w:eastAsia="zh-CN" w:bidi="ar"/>
              </w:rPr>
              <w:t>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0.22</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＜0.5</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0.13</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0.005</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11</w:t>
            </w:r>
          </w:p>
        </w:tc>
        <w:tc>
          <w:tcPr>
            <w:tcW w:w="96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0.027</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cs="Times New Roman"/>
                <w:bCs w:val="0"/>
                <w:color w:val="0000FF"/>
                <w:kern w:val="0"/>
                <w:sz w:val="21"/>
                <w:szCs w:val="21"/>
                <w:lang w:val="en-US" w:eastAsia="zh-CN"/>
              </w:rPr>
            </w:pPr>
            <w:r>
              <w:rPr>
                <w:rFonts w:hint="eastAsia" w:cs="Times New Roman"/>
                <w:bCs w:val="0"/>
                <w:color w:val="auto"/>
                <w:kern w:val="0"/>
                <w:sz w:val="21"/>
                <w:szCs w:val="21"/>
                <w:lang w:val="en-US" w:eastAsia="zh-CN"/>
              </w:rPr>
              <w:t>东</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cs="Times New Roman"/>
                <w:bCs w:val="0"/>
                <w:color w:val="0000FF"/>
                <w:kern w:val="0"/>
                <w:sz w:val="21"/>
                <w:szCs w:val="21"/>
                <w:lang w:val="en-US" w:eastAsia="zh-CN"/>
              </w:rPr>
            </w:pPr>
            <w:r>
              <w:rPr>
                <w:rFonts w:hint="default" w:ascii="Times New Roman" w:hAnsi="Times New Roman" w:cs="Times New Roman"/>
                <w:bCs w:val="0"/>
                <w:color w:val="auto"/>
                <w:kern w:val="0"/>
                <w:sz w:val="21"/>
                <w:szCs w:val="21"/>
                <w:lang w:val="en-US" w:eastAsia="zh-CN"/>
              </w:rPr>
              <w:t>1.</w:t>
            </w:r>
            <w:r>
              <w:rPr>
                <w:rFonts w:hint="eastAsia" w:cs="Times New Roman"/>
                <w:bCs w:val="0"/>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55" w:type="pct"/>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202</w:t>
            </w:r>
            <w:r>
              <w:rPr>
                <w:rFonts w:hint="eastAsia" w:cs="Times New Roman"/>
                <w:bCs/>
                <w:i w:val="0"/>
                <w:iCs w:val="0"/>
                <w:color w:val="auto"/>
                <w:kern w:val="0"/>
                <w:sz w:val="21"/>
                <w:szCs w:val="21"/>
                <w:u w:val="none"/>
                <w:lang w:val="en-US" w:eastAsia="zh-CN" w:bidi="ar"/>
              </w:rPr>
              <w:t>4.01.23</w:t>
            </w:r>
          </w:p>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第一次</w:t>
            </w:r>
          </w:p>
        </w:tc>
        <w:tc>
          <w:tcPr>
            <w:tcW w:w="5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G</w:t>
            </w:r>
            <w:r>
              <w:rPr>
                <w:rFonts w:hint="eastAsia" w:cs="Times New Roman"/>
                <w:bCs/>
                <w:i w:val="0"/>
                <w:iCs w:val="0"/>
                <w:color w:val="auto"/>
                <w:kern w:val="0"/>
                <w:sz w:val="21"/>
                <w:szCs w:val="21"/>
                <w:u w:val="none"/>
                <w:lang w:val="en-US" w:eastAsia="zh-CN" w:bidi="ar"/>
              </w:rPr>
              <w:t>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0.19</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＜0.5</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0.59</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0.007</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13</w:t>
            </w:r>
          </w:p>
        </w:tc>
        <w:tc>
          <w:tcPr>
            <w:tcW w:w="96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0.026</w:t>
            </w:r>
          </w:p>
        </w:tc>
        <w:tc>
          <w:tcPr>
            <w:tcW w:w="343" w:type="pct"/>
            <w:vAlign w:val="center"/>
          </w:tcPr>
          <w:p>
            <w:pPr>
              <w:widowControl/>
              <w:adjustRightInd w:val="0"/>
              <w:snapToGrid w:val="0"/>
              <w:spacing w:line="240" w:lineRule="exact"/>
              <w:ind w:firstLine="0" w:firstLineChars="0"/>
              <w:jc w:val="center"/>
              <w:rPr>
                <w:rFonts w:hint="eastAsia" w:cs="Times New Roman"/>
                <w:bCs w:val="0"/>
                <w:color w:val="0000FF"/>
                <w:kern w:val="0"/>
                <w:sz w:val="21"/>
                <w:szCs w:val="21"/>
                <w:lang w:val="en-US" w:eastAsia="zh-CN"/>
              </w:rPr>
            </w:pPr>
            <w:r>
              <w:rPr>
                <w:rFonts w:hint="eastAsia" w:cs="Times New Roman"/>
                <w:bCs w:val="0"/>
                <w:color w:val="auto"/>
                <w:kern w:val="0"/>
                <w:sz w:val="21"/>
                <w:szCs w:val="21"/>
                <w:lang w:val="en-US" w:eastAsia="zh-CN"/>
              </w:rPr>
              <w:t>东</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cs="Times New Roman"/>
                <w:bCs w:val="0"/>
                <w:color w:val="0000FF"/>
                <w:kern w:val="0"/>
                <w:sz w:val="21"/>
                <w:szCs w:val="21"/>
                <w:lang w:val="en-US" w:eastAsia="zh-CN"/>
              </w:rPr>
            </w:pPr>
            <w:r>
              <w:rPr>
                <w:rFonts w:hint="default" w:ascii="Times New Roman" w:hAnsi="Times New Roman" w:cs="Times New Roman"/>
                <w:bCs w:val="0"/>
                <w:color w:val="auto"/>
                <w:kern w:val="0"/>
                <w:sz w:val="21"/>
                <w:szCs w:val="21"/>
                <w:lang w:val="en-US" w:eastAsia="zh-CN"/>
              </w:rPr>
              <w:t>1.</w:t>
            </w:r>
            <w:r>
              <w:rPr>
                <w:rFonts w:hint="eastAsia" w:cs="Times New Roman"/>
                <w:bCs w:val="0"/>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55" w:type="pct"/>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202</w:t>
            </w:r>
            <w:r>
              <w:rPr>
                <w:rFonts w:hint="eastAsia" w:cs="Times New Roman"/>
                <w:bCs/>
                <w:i w:val="0"/>
                <w:iCs w:val="0"/>
                <w:color w:val="auto"/>
                <w:kern w:val="0"/>
                <w:sz w:val="21"/>
                <w:szCs w:val="21"/>
                <w:u w:val="none"/>
                <w:lang w:val="en-US" w:eastAsia="zh-CN" w:bidi="ar"/>
              </w:rPr>
              <w:t>4.01.23</w:t>
            </w:r>
          </w:p>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第二次</w:t>
            </w:r>
          </w:p>
        </w:tc>
        <w:tc>
          <w:tcPr>
            <w:tcW w:w="5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G</w:t>
            </w:r>
            <w:r>
              <w:rPr>
                <w:rFonts w:hint="eastAsia" w:cs="Times New Roman"/>
                <w:bCs/>
                <w:i w:val="0"/>
                <w:iCs w:val="0"/>
                <w:color w:val="auto"/>
                <w:kern w:val="0"/>
                <w:sz w:val="21"/>
                <w:szCs w:val="21"/>
                <w:u w:val="none"/>
                <w:lang w:val="en-US" w:eastAsia="zh-CN" w:bidi="ar"/>
              </w:rPr>
              <w:t>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0.18</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＜0.5</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0.31</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0.004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15</w:t>
            </w:r>
          </w:p>
        </w:tc>
        <w:tc>
          <w:tcPr>
            <w:tcW w:w="96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0.039</w:t>
            </w:r>
          </w:p>
        </w:tc>
        <w:tc>
          <w:tcPr>
            <w:tcW w:w="343" w:type="pct"/>
            <w:vAlign w:val="center"/>
          </w:tcPr>
          <w:p>
            <w:pPr>
              <w:widowControl/>
              <w:adjustRightInd w:val="0"/>
              <w:snapToGrid w:val="0"/>
              <w:spacing w:line="240" w:lineRule="exact"/>
              <w:ind w:firstLine="0" w:firstLineChars="0"/>
              <w:jc w:val="center"/>
              <w:rPr>
                <w:rFonts w:hint="eastAsia" w:cs="Times New Roman"/>
                <w:bCs w:val="0"/>
                <w:color w:val="0000FF"/>
                <w:kern w:val="0"/>
                <w:sz w:val="21"/>
                <w:szCs w:val="21"/>
                <w:lang w:val="en-US" w:eastAsia="zh-CN"/>
              </w:rPr>
            </w:pPr>
            <w:r>
              <w:rPr>
                <w:rFonts w:hint="eastAsia" w:cs="Times New Roman"/>
                <w:bCs w:val="0"/>
                <w:color w:val="auto"/>
                <w:kern w:val="0"/>
                <w:sz w:val="21"/>
                <w:szCs w:val="21"/>
                <w:lang w:val="en-US" w:eastAsia="zh-CN"/>
              </w:rPr>
              <w:t>东</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cs="Times New Roman"/>
                <w:bCs w:val="0"/>
                <w:color w:val="0000FF"/>
                <w:kern w:val="0"/>
                <w:sz w:val="21"/>
                <w:szCs w:val="21"/>
                <w:lang w:val="en-US" w:eastAsia="zh-CN"/>
              </w:rPr>
            </w:pPr>
            <w:r>
              <w:rPr>
                <w:rFonts w:hint="default" w:ascii="Times New Roman" w:hAnsi="Times New Roman" w:cs="Times New Roman"/>
                <w:bCs w:val="0"/>
                <w:color w:val="auto"/>
                <w:kern w:val="0"/>
                <w:sz w:val="21"/>
                <w:szCs w:val="21"/>
                <w:lang w:val="en-US" w:eastAsia="zh-CN"/>
              </w:rPr>
              <w:t>1.</w:t>
            </w:r>
            <w:r>
              <w:rPr>
                <w:rFonts w:hint="eastAsia" w:cs="Times New Roman"/>
                <w:bCs w:val="0"/>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55" w:type="pct"/>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202</w:t>
            </w:r>
            <w:r>
              <w:rPr>
                <w:rFonts w:hint="eastAsia" w:cs="Times New Roman"/>
                <w:bCs/>
                <w:i w:val="0"/>
                <w:iCs w:val="0"/>
                <w:color w:val="auto"/>
                <w:kern w:val="0"/>
                <w:sz w:val="21"/>
                <w:szCs w:val="21"/>
                <w:u w:val="none"/>
                <w:lang w:val="en-US" w:eastAsia="zh-CN" w:bidi="ar"/>
              </w:rPr>
              <w:t>4.01.23</w:t>
            </w:r>
          </w:p>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第三次</w:t>
            </w:r>
          </w:p>
        </w:tc>
        <w:tc>
          <w:tcPr>
            <w:tcW w:w="5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auto"/>
                <w:kern w:val="0"/>
                <w:sz w:val="21"/>
                <w:szCs w:val="21"/>
                <w:u w:val="none"/>
                <w:lang w:val="en-US" w:eastAsia="zh-CN" w:bidi="ar"/>
              </w:rPr>
              <w:t>G</w:t>
            </w:r>
            <w:r>
              <w:rPr>
                <w:rFonts w:hint="eastAsia" w:cs="Times New Roman"/>
                <w:bCs/>
                <w:i w:val="0"/>
                <w:iCs w:val="0"/>
                <w:color w:val="auto"/>
                <w:kern w:val="0"/>
                <w:sz w:val="21"/>
                <w:szCs w:val="21"/>
                <w:u w:val="none"/>
                <w:lang w:val="en-US" w:eastAsia="zh-CN" w:bidi="ar"/>
              </w:rPr>
              <w:t>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0.19</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3.0</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0.19</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0.005</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10</w:t>
            </w:r>
          </w:p>
        </w:tc>
        <w:tc>
          <w:tcPr>
            <w:tcW w:w="96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0.044</w:t>
            </w:r>
          </w:p>
        </w:tc>
        <w:tc>
          <w:tcPr>
            <w:tcW w:w="343" w:type="pct"/>
            <w:vAlign w:val="center"/>
          </w:tcPr>
          <w:p>
            <w:pPr>
              <w:widowControl/>
              <w:adjustRightInd w:val="0"/>
              <w:snapToGrid w:val="0"/>
              <w:spacing w:line="240" w:lineRule="exact"/>
              <w:ind w:firstLine="0" w:firstLineChars="0"/>
              <w:jc w:val="center"/>
              <w:rPr>
                <w:rFonts w:hint="eastAsia" w:cs="Times New Roman"/>
                <w:bCs w:val="0"/>
                <w:color w:val="0000FF"/>
                <w:kern w:val="0"/>
                <w:sz w:val="21"/>
                <w:szCs w:val="21"/>
                <w:lang w:val="en-US" w:eastAsia="zh-CN"/>
              </w:rPr>
            </w:pPr>
            <w:r>
              <w:rPr>
                <w:rFonts w:hint="eastAsia" w:cs="Times New Roman"/>
                <w:bCs w:val="0"/>
                <w:color w:val="auto"/>
                <w:kern w:val="0"/>
                <w:sz w:val="21"/>
                <w:szCs w:val="21"/>
                <w:lang w:val="en-US" w:eastAsia="zh-CN"/>
              </w:rPr>
              <w:t>东</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cs="Times New Roman"/>
                <w:bCs w:val="0"/>
                <w:color w:val="0000FF"/>
                <w:kern w:val="0"/>
                <w:sz w:val="21"/>
                <w:szCs w:val="21"/>
                <w:lang w:val="en-US" w:eastAsia="zh-CN"/>
              </w:rPr>
            </w:pPr>
            <w:r>
              <w:rPr>
                <w:rFonts w:hint="default" w:ascii="Times New Roman" w:hAnsi="Times New Roman" w:cs="Times New Roman"/>
                <w:bCs w:val="0"/>
                <w:color w:val="auto"/>
                <w:kern w:val="0"/>
                <w:sz w:val="21"/>
                <w:szCs w:val="21"/>
                <w:lang w:val="en-US" w:eastAsia="zh-CN"/>
              </w:rPr>
              <w:t>1.</w:t>
            </w:r>
            <w:r>
              <w:rPr>
                <w:rFonts w:hint="eastAsia" w:cs="Times New Roman"/>
                <w:bCs w:val="0"/>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55"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bCs w:val="0"/>
                <w:i w:val="0"/>
                <w:iCs w:val="0"/>
                <w:color w:val="auto"/>
                <w:kern w:val="0"/>
                <w:sz w:val="21"/>
                <w:szCs w:val="21"/>
                <w:u w:val="none"/>
                <w:lang w:val="en-US" w:eastAsia="zh-CN" w:bidi="ar"/>
              </w:rPr>
            </w:pPr>
            <w:r>
              <w:rPr>
                <w:rFonts w:hint="eastAsia" w:cs="Times New Roman"/>
                <w:b/>
                <w:bCs w:val="0"/>
                <w:i w:val="0"/>
                <w:iCs w:val="0"/>
                <w:color w:val="auto"/>
                <w:kern w:val="0"/>
                <w:sz w:val="21"/>
                <w:szCs w:val="21"/>
                <w:u w:val="none"/>
                <w:lang w:val="en-US" w:eastAsia="zh-CN" w:bidi="ar"/>
              </w:rPr>
              <w:t>限值</w:t>
            </w:r>
          </w:p>
        </w:tc>
        <w:tc>
          <w:tcPr>
            <w:tcW w:w="5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1.0</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20</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1.5</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0.06</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20</w:t>
            </w:r>
          </w:p>
        </w:tc>
        <w:tc>
          <w:tcPr>
            <w:tcW w:w="96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0.5</w:t>
            </w:r>
          </w:p>
        </w:tc>
        <w:tc>
          <w:tcPr>
            <w:tcW w:w="343" w:type="pct"/>
            <w:vAlign w:val="center"/>
          </w:tcPr>
          <w:p>
            <w:pPr>
              <w:widowControl/>
              <w:adjustRightInd w:val="0"/>
              <w:snapToGrid w:val="0"/>
              <w:spacing w:line="240" w:lineRule="exact"/>
              <w:ind w:firstLine="0" w:firstLineChars="0"/>
              <w:jc w:val="center"/>
              <w:rPr>
                <w:rFonts w:hint="eastAsia" w:cs="Times New Roman"/>
                <w:bCs w:val="0"/>
                <w:color w:val="auto"/>
                <w:kern w:val="0"/>
                <w:sz w:val="21"/>
                <w:szCs w:val="21"/>
                <w:lang w:val="en-US" w:eastAsia="zh-CN"/>
              </w:rPr>
            </w:pPr>
            <w:r>
              <w:rPr>
                <w:rFonts w:hint="default" w:ascii="Times New Roman" w:hAnsi="Times New Roman" w:cs="Times New Roman"/>
                <w:bCs w:val="0"/>
                <w:color w:val="auto"/>
                <w:sz w:val="21"/>
                <w:szCs w:val="21"/>
                <w:highlight w:val="none"/>
                <w:lang w:val="en-US" w:eastAsia="zh-CN"/>
              </w:rPr>
              <w:t>——</w:t>
            </w:r>
          </w:p>
        </w:tc>
        <w:tc>
          <w:tcPr>
            <w:tcW w:w="343" w:type="pct"/>
            <w:vAlign w:val="center"/>
          </w:tcPr>
          <w:p>
            <w:pPr>
              <w:widowControl/>
              <w:adjustRightInd w:val="0"/>
              <w:snapToGrid w:val="0"/>
              <w:spacing w:line="240" w:lineRule="exact"/>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blHeader/>
          <w:jc w:val="center"/>
        </w:trPr>
        <w:tc>
          <w:tcPr>
            <w:tcW w:w="655" w:type="pct"/>
            <w:vAlign w:val="center"/>
          </w:tcPr>
          <w:p>
            <w:pPr>
              <w:keepNext w:val="0"/>
              <w:keepLines w:val="0"/>
              <w:widowControl/>
              <w:suppressLineNumbers w:val="0"/>
              <w:spacing w:line="240" w:lineRule="auto"/>
              <w:ind w:firstLine="0" w:firstLineChars="0"/>
              <w:jc w:val="center"/>
              <w:textAlignment w:val="center"/>
              <w:rPr>
                <w:rFonts w:hint="default" w:cs="Times New Roman"/>
                <w:b/>
                <w:bCs w:val="0"/>
                <w:i w:val="0"/>
                <w:iCs w:val="0"/>
                <w:color w:val="auto"/>
                <w:kern w:val="0"/>
                <w:sz w:val="21"/>
                <w:szCs w:val="21"/>
                <w:u w:val="none"/>
                <w:lang w:val="en-US" w:eastAsia="zh-CN" w:bidi="ar"/>
              </w:rPr>
            </w:pPr>
            <w:r>
              <w:rPr>
                <w:rFonts w:hint="eastAsia" w:ascii="Times New Roman" w:hAnsi="Times New Roman" w:cs="Times New Roman"/>
                <w:b/>
                <w:bCs w:val="0"/>
                <w:color w:val="auto"/>
                <w:sz w:val="21"/>
                <w:szCs w:val="21"/>
                <w:lang w:val="en-US" w:eastAsia="zh-CN"/>
              </w:rPr>
              <w:t>限值依据</w:t>
            </w:r>
          </w:p>
        </w:tc>
        <w:tc>
          <w:tcPr>
            <w:tcW w:w="4344" w:type="pct"/>
            <w:gridSpan w:val="9"/>
            <w:vAlign w:val="center"/>
          </w:tcPr>
          <w:p>
            <w:pPr>
              <w:widowControl/>
              <w:adjustRightInd w:val="0"/>
              <w:snapToGrid w:val="0"/>
              <w:spacing w:line="240" w:lineRule="exact"/>
              <w:ind w:firstLine="0" w:firstLineChars="0"/>
              <w:jc w:val="left"/>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颗粒物、氟化物、二氧化硫执行《砖瓦工业大气污染物排放标准》（GB 29620-2013）及其修改单；其余项目执行《恶臭污染物排放标准》（GB/T 14554-1993）表1二级新建。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65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备注</w:t>
            </w:r>
          </w:p>
        </w:tc>
        <w:tc>
          <w:tcPr>
            <w:tcW w:w="4344" w:type="pct"/>
            <w:gridSpan w:val="9"/>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bCs w:val="0"/>
                <w:color w:val="auto"/>
                <w:kern w:val="0"/>
                <w:sz w:val="21"/>
                <w:szCs w:val="21"/>
                <w:lang w:val="en-US" w:eastAsia="en-US"/>
              </w:rPr>
            </w:pPr>
            <w:r>
              <w:rPr>
                <w:rFonts w:hint="default" w:ascii="Times New Roman" w:hAnsi="Times New Roman" w:cs="Times New Roman"/>
                <w:bCs w:val="0"/>
                <w:color w:val="auto"/>
                <w:kern w:val="0"/>
                <w:sz w:val="21"/>
                <w:szCs w:val="21"/>
                <w:lang w:val="en-US" w:eastAsia="zh-CN" w:bidi="ar-SA"/>
              </w:rPr>
              <w:t>该</w:t>
            </w:r>
            <w:r>
              <w:rPr>
                <w:rFonts w:hint="default" w:ascii="Times New Roman" w:hAnsi="Times New Roman" w:eastAsia="宋体" w:cs="Times New Roman"/>
                <w:bCs/>
                <w:i w:val="0"/>
                <w:iCs w:val="0"/>
                <w:color w:val="auto"/>
                <w:kern w:val="0"/>
                <w:sz w:val="21"/>
                <w:szCs w:val="21"/>
                <w:u w:val="none"/>
                <w:lang w:val="en-US" w:eastAsia="zh-CN" w:bidi="ar"/>
              </w:rPr>
              <w:t>采样点</w:t>
            </w:r>
            <w:r>
              <w:rPr>
                <w:rFonts w:hint="default" w:ascii="Times New Roman" w:hAnsi="Times New Roman" w:cs="Times New Roman"/>
                <w:bCs w:val="0"/>
                <w:color w:val="auto"/>
                <w:kern w:val="0"/>
                <w:sz w:val="21"/>
                <w:szCs w:val="21"/>
                <w:lang w:val="en-US" w:eastAsia="zh-CN"/>
              </w:rPr>
              <w:t>监测项目样品编号依次为</w:t>
            </w:r>
            <w:r>
              <w:rPr>
                <w:rFonts w:hint="default" w:ascii="Times New Roman" w:hAnsi="Times New Roman" w:cs="Times New Roman"/>
                <w:bCs w:val="0"/>
                <w:color w:val="auto"/>
                <w:sz w:val="21"/>
                <w:szCs w:val="21"/>
                <w:lang w:val="zh-CN"/>
              </w:rPr>
              <w:t>YFA2</w:t>
            </w:r>
            <w:r>
              <w:rPr>
                <w:rFonts w:hint="eastAsia" w:cs="Times New Roman"/>
                <w:bCs w:val="0"/>
                <w:color w:val="auto"/>
                <w:sz w:val="21"/>
                <w:szCs w:val="21"/>
                <w:lang w:val="en-US" w:eastAsia="zh-CN"/>
              </w:rPr>
              <w:t>4010801</w:t>
            </w:r>
            <w:r>
              <w:rPr>
                <w:rFonts w:hint="default" w:ascii="Times New Roman" w:hAnsi="Times New Roman" w:cs="Times New Roman"/>
                <w:bCs w:val="0"/>
                <w:color w:val="auto"/>
                <w:sz w:val="21"/>
                <w:szCs w:val="21"/>
                <w:lang w:val="en-US" w:eastAsia="zh-CN"/>
              </w:rPr>
              <w:t>-</w:t>
            </w:r>
            <w:r>
              <w:rPr>
                <w:rFonts w:hint="default" w:ascii="Times New Roman" w:hAnsi="Times New Roman" w:cs="Times New Roman"/>
                <w:bCs w:val="0"/>
                <w:color w:val="auto"/>
                <w:kern w:val="0"/>
                <w:sz w:val="21"/>
                <w:szCs w:val="21"/>
                <w:lang w:val="en-US" w:eastAsia="zh-CN"/>
              </w:rPr>
              <w:t>G</w:t>
            </w:r>
            <w:r>
              <w:rPr>
                <w:rFonts w:hint="eastAsia" w:cs="Times New Roman"/>
                <w:bCs w:val="0"/>
                <w:color w:val="auto"/>
                <w:kern w:val="0"/>
                <w:sz w:val="21"/>
                <w:szCs w:val="21"/>
                <w:lang w:val="en-US" w:eastAsia="zh-CN"/>
              </w:rPr>
              <w:t>118</w:t>
            </w:r>
            <w:r>
              <w:rPr>
                <w:rFonts w:hint="default" w:ascii="Times New Roman" w:hAnsi="Times New Roman" w:cs="Times New Roman"/>
                <w:bCs w:val="0"/>
                <w:color w:val="auto"/>
                <w:kern w:val="0"/>
                <w:sz w:val="21"/>
                <w:szCs w:val="21"/>
                <w:lang w:val="en-US" w:eastAsia="zh-CN"/>
              </w:rPr>
              <w:t>~G</w:t>
            </w:r>
            <w:r>
              <w:rPr>
                <w:rFonts w:hint="eastAsia" w:cs="Times New Roman"/>
                <w:bCs w:val="0"/>
                <w:color w:val="auto"/>
                <w:kern w:val="0"/>
                <w:sz w:val="21"/>
                <w:szCs w:val="21"/>
                <w:lang w:val="en-US" w:eastAsia="zh-CN"/>
              </w:rPr>
              <w:t>159</w:t>
            </w:r>
            <w:r>
              <w:rPr>
                <w:rFonts w:hint="default" w:ascii="Times New Roman" w:hAnsi="Times New Roman" w:cs="Times New Roman"/>
                <w:bCs w:val="0"/>
                <w:color w:val="auto"/>
                <w:kern w:val="0"/>
                <w:sz w:val="21"/>
                <w:szCs w:val="21"/>
                <w:lang w:val="en-US" w:eastAsia="zh-CN"/>
              </w:rPr>
              <w:t>。</w:t>
            </w:r>
          </w:p>
        </w:tc>
      </w:tr>
    </w:tbl>
    <w:p>
      <w:pPr>
        <w:spacing w:line="360" w:lineRule="auto"/>
        <w:jc w:val="center"/>
        <w:rPr>
          <w:rFonts w:hint="eastAsia"/>
          <w:b/>
          <w:bCs/>
          <w:sz w:val="21"/>
          <w:szCs w:val="21"/>
          <w:lang w:val="en-US" w:eastAsia="zh-CN"/>
        </w:rPr>
      </w:pPr>
    </w:p>
    <w:p>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监测结果表明，验收监测期间，项目的厂界无组织废气颗粒物、氟化物、二氧化硫</w:t>
      </w:r>
      <w:r>
        <w:rPr>
          <w:rFonts w:hint="default" w:ascii="Times New Roman" w:hAnsi="Times New Roman" w:eastAsia="宋体"/>
          <w:lang w:val="en-US" w:eastAsia="zh-CN"/>
        </w:rPr>
        <w:t>检测结果符合</w:t>
      </w:r>
      <w:r>
        <w:rPr>
          <w:rFonts w:hint="eastAsia" w:ascii="Times New Roman" w:hAnsi="Times New Roman" w:eastAsia="宋体"/>
          <w:lang w:val="en-US" w:eastAsia="zh-CN"/>
        </w:rPr>
        <w:t>《砖瓦工业大气污染物排放标准》（GB 29620-2013），厂区无组织废气氨、硫化氢、臭气浓度</w:t>
      </w:r>
      <w:r>
        <w:rPr>
          <w:rFonts w:hint="default" w:ascii="Times New Roman" w:hAnsi="Times New Roman" w:eastAsia="宋体"/>
          <w:lang w:val="en-US" w:eastAsia="zh-CN"/>
        </w:rPr>
        <w:t>检测结果符合</w:t>
      </w:r>
      <w:r>
        <w:rPr>
          <w:rFonts w:hint="eastAsia" w:ascii="Times New Roman" w:hAnsi="Times New Roman" w:eastAsia="宋体"/>
          <w:lang w:val="en-US" w:eastAsia="zh-CN"/>
        </w:rPr>
        <w:t>《恶臭污染物排放标准》（GB/T 14554-1993）表1二级新建</w:t>
      </w:r>
      <w:r>
        <w:rPr>
          <w:rFonts w:hint="default" w:ascii="Times New Roman" w:hAnsi="Times New Roman" w:eastAsia="宋体"/>
          <w:lang w:val="en-US" w:eastAsia="zh-CN"/>
        </w:rPr>
        <w:t>。</w:t>
      </w:r>
    </w:p>
    <w:p>
      <w:pPr>
        <w:pStyle w:val="4"/>
        <w:keepNext/>
        <w:keepLines/>
        <w:pageBreakBefore w:val="0"/>
        <w:widowControl/>
        <w:kinsoku/>
        <w:wordWrap/>
        <w:overflowPunct/>
        <w:topLinePunct w:val="0"/>
        <w:autoSpaceDE/>
        <w:autoSpaceDN/>
        <w:bidi w:val="0"/>
        <w:adjustRightInd w:val="0"/>
        <w:snapToGrid w:val="0"/>
        <w:textAlignment w:val="auto"/>
        <w:rPr>
          <w:rFonts w:hint="eastAsia"/>
        </w:rPr>
      </w:pPr>
      <w:r>
        <w:t>9.2.</w:t>
      </w:r>
      <w:r>
        <w:rPr>
          <w:rFonts w:hint="eastAsia"/>
          <w:lang w:val="en-US" w:eastAsia="zh-CN"/>
        </w:rPr>
        <w:t>2</w:t>
      </w:r>
      <w:r>
        <w:rPr>
          <w:rFonts w:hint="eastAsia"/>
          <w:lang w:eastAsia="zh-CN"/>
        </w:rPr>
        <w:t>有组织废气</w:t>
      </w:r>
      <w:r>
        <w:rPr>
          <w:rFonts w:hint="eastAsia"/>
        </w:rPr>
        <w:t>监测结果及分析</w:t>
      </w:r>
    </w:p>
    <w:p>
      <w:pPr>
        <w:ind w:firstLine="480" w:firstLineChars="200"/>
        <w:rPr>
          <w:rFonts w:hint="eastAsia" w:ascii="Times New Roman" w:hAnsi="Times New Roman" w:eastAsia="宋体"/>
        </w:rPr>
      </w:pPr>
      <w:r>
        <w:rPr>
          <w:rFonts w:hint="eastAsia"/>
          <w:lang w:eastAsia="zh-CN"/>
        </w:rPr>
        <w:t>有组织废气</w:t>
      </w:r>
      <w:r>
        <w:rPr>
          <w:rFonts w:ascii="Times New Roman" w:hAnsi="Times New Roman" w:eastAsia="宋体"/>
        </w:rPr>
        <w:t>监测结果</w:t>
      </w:r>
      <w:r>
        <w:rPr>
          <w:rFonts w:hint="eastAsia" w:ascii="Times New Roman" w:hAnsi="Times New Roman" w:eastAsia="宋体"/>
        </w:rPr>
        <w:t>见下表</w:t>
      </w:r>
      <w:r>
        <w:rPr>
          <w:rFonts w:ascii="Times New Roman" w:hAnsi="Times New Roman" w:eastAsia="宋体"/>
        </w:rPr>
        <w:t>9</w:t>
      </w:r>
      <w:r>
        <w:rPr>
          <w:rFonts w:hint="eastAsia" w:ascii="Times New Roman" w:hAnsi="Times New Roman" w:eastAsia="宋体"/>
        </w:rPr>
        <w:t>-</w:t>
      </w:r>
      <w:r>
        <w:rPr>
          <w:rFonts w:hint="eastAsia"/>
          <w:lang w:val="en-US" w:eastAsia="zh-CN"/>
        </w:rPr>
        <w:t>2</w:t>
      </w:r>
      <w:r>
        <w:rPr>
          <w:rFonts w:hint="eastAsia" w:ascii="Times New Roman" w:hAnsi="Times New Roman" w:eastAsia="宋体"/>
        </w:rPr>
        <w:t>。</w:t>
      </w:r>
    </w:p>
    <w:p>
      <w:pPr>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 xml:space="preserve">2  </w:t>
      </w:r>
      <w:r>
        <w:rPr>
          <w:rFonts w:hint="eastAsia"/>
          <w:b/>
          <w:bCs/>
          <w:sz w:val="21"/>
          <w:szCs w:val="21"/>
          <w:lang w:eastAsia="zh-CN"/>
        </w:rPr>
        <w:t>有组织废气</w:t>
      </w:r>
      <w:r>
        <w:rPr>
          <w:b/>
          <w:bCs/>
          <w:sz w:val="21"/>
          <w:szCs w:val="21"/>
        </w:rPr>
        <w:t>监测结果一览表</w:t>
      </w:r>
    </w:p>
    <w:tbl>
      <w:tblPr>
        <w:tblStyle w:val="24"/>
        <w:tblW w:w="498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6"/>
        <w:gridCol w:w="6"/>
        <w:gridCol w:w="699"/>
        <w:gridCol w:w="201"/>
        <w:gridCol w:w="474"/>
        <w:gridCol w:w="169"/>
        <w:gridCol w:w="131"/>
        <w:gridCol w:w="495"/>
        <w:gridCol w:w="315"/>
        <w:gridCol w:w="565"/>
        <w:gridCol w:w="335"/>
        <w:gridCol w:w="545"/>
        <w:gridCol w:w="260"/>
        <w:gridCol w:w="94"/>
        <w:gridCol w:w="44"/>
        <w:gridCol w:w="63"/>
        <w:gridCol w:w="15"/>
        <w:gridCol w:w="404"/>
        <w:gridCol w:w="627"/>
        <w:gridCol w:w="33"/>
        <w:gridCol w:w="420"/>
        <w:gridCol w:w="113"/>
        <w:gridCol w:w="120"/>
        <w:gridCol w:w="230"/>
        <w:gridCol w:w="125"/>
        <w:gridCol w:w="46"/>
        <w:gridCol w:w="236"/>
        <w:gridCol w:w="870"/>
        <w:gridCol w:w="650"/>
        <w:gridCol w:w="1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510" w:hRule="atLeast"/>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排气筒高度（m）</w:t>
            </w:r>
          </w:p>
        </w:tc>
        <w:tc>
          <w:tcPr>
            <w:tcW w:w="13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default" w:ascii="Times New Roman" w:hAnsi="Times New Roman" w:cs="Times New Roman"/>
                <w:b w:val="0"/>
                <w:bCs/>
                <w:color w:val="auto"/>
                <w:sz w:val="21"/>
                <w:szCs w:val="21"/>
                <w:lang w:val="en-US" w:eastAsia="zh-CN"/>
              </w:rPr>
              <w:t>15</w:t>
            </w:r>
          </w:p>
        </w:tc>
        <w:tc>
          <w:tcPr>
            <w:tcW w:w="983"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cs="Times New Roman"/>
                <w:b/>
                <w:bCs w:val="0"/>
                <w:sz w:val="21"/>
                <w:szCs w:val="21"/>
                <w:lang w:val="en-US" w:eastAsia="zh-CN"/>
              </w:rPr>
              <w:t>横截面积（m</w:t>
            </w:r>
            <w:r>
              <w:rPr>
                <w:rFonts w:hint="default" w:ascii="Times New Roman" w:hAnsi="Times New Roman" w:cs="Times New Roman"/>
                <w:b/>
                <w:bCs w:val="0"/>
                <w:sz w:val="21"/>
                <w:szCs w:val="21"/>
                <w:vertAlign w:val="superscript"/>
                <w:lang w:val="en-US" w:eastAsia="zh-CN"/>
              </w:rPr>
              <w:t>2</w:t>
            </w:r>
            <w:r>
              <w:rPr>
                <w:rFonts w:hint="default" w:ascii="Times New Roman" w:hAnsi="Times New Roman" w:cs="Times New Roman"/>
                <w:b/>
                <w:bCs w:val="0"/>
                <w:sz w:val="21"/>
                <w:szCs w:val="21"/>
                <w:lang w:val="en-US" w:eastAsia="zh-CN"/>
              </w:rPr>
              <w:t>）</w:t>
            </w:r>
          </w:p>
        </w:tc>
        <w:tc>
          <w:tcPr>
            <w:tcW w:w="1234"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FF"/>
                <w:sz w:val="21"/>
                <w:szCs w:val="21"/>
                <w:lang w:val="en-US" w:eastAsia="zh-CN"/>
              </w:rPr>
            </w:pPr>
            <w:r>
              <w:rPr>
                <w:rFonts w:hint="eastAsia" w:cs="Times New Roman"/>
                <w:b w:val="0"/>
                <w:bCs/>
                <w:color w:val="auto"/>
                <w:sz w:val="21"/>
                <w:szCs w:val="21"/>
                <w:lang w:val="en-US" w:eastAsia="zh-CN"/>
              </w:rPr>
              <w:t>0.8100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510" w:hRule="atLeast"/>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处理设施</w:t>
            </w:r>
          </w:p>
        </w:tc>
        <w:tc>
          <w:tcPr>
            <w:tcW w:w="13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default" w:ascii="Times New Roman" w:hAnsi="Times New Roman" w:cs="Times New Roman"/>
                <w:bCs w:val="0"/>
                <w:color w:val="auto"/>
                <w:sz w:val="24"/>
                <w:szCs w:val="24"/>
                <w:lang w:eastAsia="zh-CN"/>
              </w:rPr>
              <w:t>——</w:t>
            </w:r>
          </w:p>
        </w:tc>
        <w:tc>
          <w:tcPr>
            <w:tcW w:w="983"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处理设施型号</w:t>
            </w:r>
          </w:p>
        </w:tc>
        <w:tc>
          <w:tcPr>
            <w:tcW w:w="1234"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Cs w:val="0"/>
                <w:color w:val="auto"/>
                <w:sz w:val="24"/>
                <w:szCs w:val="24"/>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510" w:hRule="atLeast"/>
          <w:jc w:val="center"/>
        </w:trPr>
        <w:tc>
          <w:tcPr>
            <w:tcW w:w="440" w:type="pct"/>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采样</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日期</w:t>
            </w:r>
          </w:p>
        </w:tc>
        <w:tc>
          <w:tcPr>
            <w:tcW w:w="500" w:type="pct"/>
            <w:gridSpan w:val="4"/>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监测</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点位</w:t>
            </w:r>
          </w:p>
        </w:tc>
        <w:tc>
          <w:tcPr>
            <w:tcW w:w="859" w:type="pct"/>
            <w:gridSpan w:val="5"/>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val="0"/>
                <w:sz w:val="21"/>
                <w:szCs w:val="21"/>
                <w:lang w:eastAsia="zh-CN"/>
              </w:rPr>
              <w:t>监测项目</w:t>
            </w:r>
          </w:p>
        </w:tc>
        <w:tc>
          <w:tcPr>
            <w:tcW w:w="488" w:type="pct"/>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单位</w:t>
            </w:r>
          </w:p>
        </w:tc>
        <w:tc>
          <w:tcPr>
            <w:tcW w:w="2302" w:type="pct"/>
            <w:gridSpan w:val="1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监测结果</w:t>
            </w:r>
          </w:p>
        </w:tc>
        <w:tc>
          <w:tcPr>
            <w:tcW w:w="35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510"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859" w:type="pct"/>
            <w:gridSpan w:val="5"/>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545" w:type="pct"/>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kern w:val="0"/>
                <w:sz w:val="21"/>
                <w:szCs w:val="21"/>
                <w:lang w:val="en-US" w:eastAsia="zh-CN"/>
              </w:rPr>
              <w:t>第一次</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第二次</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第三次</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均值</w:t>
            </w:r>
          </w:p>
        </w:tc>
        <w:tc>
          <w:tcPr>
            <w:tcW w:w="35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eastAsia"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202</w:t>
            </w:r>
            <w:r>
              <w:rPr>
                <w:rFonts w:hint="eastAsia" w:cs="Times New Roman"/>
                <w:bCs w:val="0"/>
                <w:color w:val="auto"/>
                <w:sz w:val="21"/>
                <w:szCs w:val="21"/>
                <w:lang w:val="en-US" w:eastAsia="zh-CN"/>
              </w:rPr>
              <w:t>4.</w:t>
            </w: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eastAsia" w:cs="Times New Roman"/>
                <w:bCs w:val="0"/>
                <w:color w:val="auto"/>
                <w:sz w:val="21"/>
                <w:szCs w:val="21"/>
                <w:lang w:val="en-US" w:eastAsia="zh-CN"/>
              </w:rPr>
              <w:t>01.23</w:t>
            </w:r>
          </w:p>
        </w:tc>
        <w:tc>
          <w:tcPr>
            <w:tcW w:w="500" w:type="pct"/>
            <w:gridSpan w:val="4"/>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Style w:val="93"/>
                <w:rFonts w:hint="default" w:ascii="Times New Roman" w:hAnsi="Times New Roman" w:eastAsia="宋体" w:cs="Times New Roman"/>
                <w:bCs/>
                <w:color w:val="auto"/>
                <w:sz w:val="21"/>
                <w:szCs w:val="21"/>
                <w:lang w:val="en-US" w:eastAsia="zh-CN" w:bidi="ar"/>
              </w:rPr>
            </w:pPr>
            <w:r>
              <w:rPr>
                <w:rStyle w:val="93"/>
                <w:rFonts w:hint="default" w:ascii="Times New Roman" w:hAnsi="Times New Roman" w:eastAsia="宋体" w:cs="Times New Roman"/>
                <w:bCs/>
                <w:color w:val="auto"/>
                <w:sz w:val="21"/>
                <w:szCs w:val="21"/>
                <w:lang w:val="en-US" w:eastAsia="zh-CN" w:bidi="ar"/>
              </w:rPr>
              <w:t>G1</w:t>
            </w:r>
            <w:r>
              <w:rPr>
                <w:rStyle w:val="93"/>
                <w:rFonts w:hint="eastAsia" w:cs="Times New Roman"/>
                <w:bCs/>
                <w:color w:val="auto"/>
                <w:sz w:val="21"/>
                <w:szCs w:val="21"/>
                <w:lang w:val="en-US" w:eastAsia="zh-CN" w:bidi="ar"/>
              </w:rPr>
              <w:t>进</w:t>
            </w:r>
            <w:r>
              <w:rPr>
                <w:rStyle w:val="93"/>
                <w:rFonts w:hint="default" w:ascii="Times New Roman" w:hAnsi="Times New Roman" w:eastAsia="宋体" w:cs="Times New Roman"/>
                <w:bCs/>
                <w:color w:val="auto"/>
                <w:sz w:val="21"/>
                <w:szCs w:val="21"/>
                <w:lang w:val="en-US" w:eastAsia="zh-CN" w:bidi="ar"/>
              </w:rPr>
              <w:t>口</w:t>
            </w:r>
          </w:p>
          <w:p>
            <w:pPr>
              <w:keepNext w:val="0"/>
              <w:keepLines w:val="0"/>
              <w:widowControl/>
              <w:suppressLineNumbers w:val="0"/>
              <w:spacing w:line="240" w:lineRule="auto"/>
              <w:ind w:left="0" w:leftChars="0" w:firstLine="0" w:firstLineChars="0"/>
              <w:jc w:val="center"/>
              <w:textAlignment w:val="center"/>
              <w:rPr>
                <w:rStyle w:val="93"/>
                <w:rFonts w:hint="default" w:ascii="Times New Roman" w:hAnsi="Times New Roman" w:eastAsia="宋体" w:cs="Times New Roman"/>
                <w:bCs/>
                <w:color w:val="auto"/>
                <w:sz w:val="21"/>
                <w:szCs w:val="21"/>
                <w:lang w:val="en-US" w:eastAsia="zh-CN" w:bidi="ar"/>
              </w:rPr>
            </w:pPr>
            <w:r>
              <w:rPr>
                <w:rStyle w:val="93"/>
                <w:rFonts w:hint="default" w:ascii="Times New Roman" w:hAnsi="Times New Roman" w:eastAsia="宋体" w:cs="Times New Roman"/>
                <w:bCs/>
                <w:color w:val="auto"/>
                <w:sz w:val="21"/>
                <w:szCs w:val="21"/>
                <w:lang w:val="en-US" w:eastAsia="zh-CN" w:bidi="ar"/>
              </w:rPr>
              <w:t>DA001隧道窑烟气进</w:t>
            </w:r>
            <w:r>
              <w:rPr>
                <w:rStyle w:val="93"/>
                <w:rFonts w:hint="eastAsia" w:cs="Times New Roman"/>
                <w:bCs/>
                <w:color w:val="auto"/>
                <w:sz w:val="21"/>
                <w:szCs w:val="21"/>
                <w:lang w:val="en-US" w:eastAsia="zh-CN" w:bidi="ar"/>
              </w:rPr>
              <w:t>口</w:t>
            </w: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37.4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37.8</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38.6</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37.9 </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7.4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7.1</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6.9</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7.1</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bidi="ar-SA"/>
              </w:rPr>
              <w:t>m/s</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6.5 </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7.0 </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7.2 </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6.9 </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kPa</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94.77 </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94.70 </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94.62 </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94.70 </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1.45</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1.56</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1.60</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1.54</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颗粒物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40.4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35.7</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45.9</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40.7</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0.627</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氨</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5.89</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6.84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6.28</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6.34</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0.098</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二氧化硫</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＜3</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＜3</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44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16</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0.246</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氮氧化物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29</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21</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29</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26</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0.400</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38.4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38.6</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38.8</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38.6 </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6.8</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6.9</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6.7</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6.8</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bidi="ar-SA"/>
              </w:rPr>
              <w:t>m/s</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7.1</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7.3</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7.3</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7.2</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kPa</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94.58</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94.58</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94.59</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94.58 </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1.58</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1.62</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1.63</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1.61</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氟化物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2.41</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3.11</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3.39</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2.97</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0.048</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硫化氢</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val="0"/>
                <w:color w:val="auto"/>
                <w:sz w:val="21"/>
                <w:szCs w:val="21"/>
                <w:highlight w:val="none"/>
                <w:lang w:val="en-US" w:eastAsia="zh-CN"/>
              </w:rPr>
              <w:t>0.056</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val="0"/>
                <w:color w:val="auto"/>
                <w:sz w:val="21"/>
                <w:szCs w:val="21"/>
                <w:highlight w:val="none"/>
                <w:lang w:val="en-US" w:eastAsia="zh-CN"/>
              </w:rPr>
              <w:t>0.062</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val="0"/>
                <w:color w:val="auto"/>
                <w:sz w:val="21"/>
                <w:szCs w:val="21"/>
                <w:highlight w:val="none"/>
                <w:lang w:val="en-US" w:eastAsia="zh-CN"/>
              </w:rPr>
              <w:t>0.050</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0000FF"/>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0.056</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8"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19"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lang w:eastAsia="zh-CN"/>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0000FF"/>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9.35</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35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510" w:hRule="atLeast"/>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排气筒高度（m）</w:t>
            </w:r>
          </w:p>
        </w:tc>
        <w:tc>
          <w:tcPr>
            <w:tcW w:w="13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default" w:ascii="Times New Roman" w:hAnsi="Times New Roman" w:cs="Times New Roman"/>
                <w:b w:val="0"/>
                <w:bCs/>
                <w:color w:val="auto"/>
                <w:sz w:val="21"/>
                <w:szCs w:val="21"/>
                <w:lang w:val="en-US" w:eastAsia="zh-CN"/>
              </w:rPr>
              <w:t>15</w:t>
            </w:r>
          </w:p>
        </w:tc>
        <w:tc>
          <w:tcPr>
            <w:tcW w:w="983"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横截面积（m</w:t>
            </w:r>
            <w:r>
              <w:rPr>
                <w:rFonts w:hint="default" w:ascii="Times New Roman" w:hAnsi="Times New Roman" w:cs="Times New Roman"/>
                <w:b/>
                <w:bCs w:val="0"/>
                <w:color w:val="auto"/>
                <w:sz w:val="21"/>
                <w:szCs w:val="21"/>
                <w:vertAlign w:val="superscript"/>
                <w:lang w:val="en-US" w:eastAsia="zh-CN"/>
              </w:rPr>
              <w:t>2</w:t>
            </w:r>
            <w:r>
              <w:rPr>
                <w:rFonts w:hint="default" w:ascii="Times New Roman" w:hAnsi="Times New Roman" w:cs="Times New Roman"/>
                <w:b/>
                <w:bCs w:val="0"/>
                <w:color w:val="auto"/>
                <w:sz w:val="21"/>
                <w:szCs w:val="21"/>
                <w:lang w:val="en-US" w:eastAsia="zh-CN"/>
              </w:rPr>
              <w:t>）</w:t>
            </w:r>
          </w:p>
        </w:tc>
        <w:tc>
          <w:tcPr>
            <w:tcW w:w="1234"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lang w:val="en-US" w:eastAsia="zh-CN"/>
              </w:rPr>
            </w:pPr>
            <w:r>
              <w:rPr>
                <w:rFonts w:hint="eastAsia" w:cs="Times New Roman"/>
                <w:b w:val="0"/>
                <w:bCs/>
                <w:color w:val="auto"/>
                <w:sz w:val="21"/>
                <w:szCs w:val="21"/>
                <w:lang w:val="en-US" w:eastAsia="zh-CN"/>
              </w:rPr>
              <w:t>1.7671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510" w:hRule="atLeast"/>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处理设施</w:t>
            </w:r>
          </w:p>
        </w:tc>
        <w:tc>
          <w:tcPr>
            <w:tcW w:w="13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cs="Times New Roman"/>
                <w:bCs w:val="0"/>
                <w:color w:val="auto"/>
                <w:sz w:val="24"/>
                <w:szCs w:val="24"/>
                <w:lang w:val="en-US" w:eastAsia="zh-CN"/>
              </w:rPr>
              <w:t>脱硫+喷淋</w:t>
            </w:r>
          </w:p>
        </w:tc>
        <w:tc>
          <w:tcPr>
            <w:tcW w:w="983"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处理设施型号</w:t>
            </w:r>
          </w:p>
        </w:tc>
        <w:tc>
          <w:tcPr>
            <w:tcW w:w="1234"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val="0"/>
                <w:bCs/>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采样</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日期</w:t>
            </w:r>
          </w:p>
        </w:tc>
        <w:tc>
          <w:tcPr>
            <w:tcW w:w="500" w:type="pct"/>
            <w:gridSpan w:val="4"/>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监测</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点位</w:t>
            </w:r>
          </w:p>
        </w:tc>
        <w:tc>
          <w:tcPr>
            <w:tcW w:w="859" w:type="pct"/>
            <w:gridSpan w:val="5"/>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val="0"/>
                <w:sz w:val="21"/>
                <w:szCs w:val="21"/>
                <w:lang w:eastAsia="zh-CN"/>
              </w:rPr>
              <w:t>监测项目</w:t>
            </w:r>
          </w:p>
        </w:tc>
        <w:tc>
          <w:tcPr>
            <w:tcW w:w="488" w:type="pct"/>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单位</w:t>
            </w:r>
          </w:p>
        </w:tc>
        <w:tc>
          <w:tcPr>
            <w:tcW w:w="2302" w:type="pct"/>
            <w:gridSpan w:val="1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监测结果</w:t>
            </w:r>
          </w:p>
        </w:tc>
        <w:tc>
          <w:tcPr>
            <w:tcW w:w="35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859" w:type="pct"/>
            <w:gridSpan w:val="5"/>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545" w:type="pct"/>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kern w:val="0"/>
                <w:sz w:val="21"/>
                <w:szCs w:val="21"/>
                <w:lang w:val="en-US" w:eastAsia="zh-CN"/>
              </w:rPr>
              <w:t>第一次</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第二次</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第三次</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均值</w:t>
            </w:r>
          </w:p>
        </w:tc>
        <w:tc>
          <w:tcPr>
            <w:tcW w:w="35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eastAsia" w:cs="Times New Roman"/>
                <w:bCs w:val="0"/>
                <w:sz w:val="21"/>
                <w:szCs w:val="21"/>
                <w:lang w:val="en-US" w:eastAsia="zh-CN"/>
              </w:rPr>
            </w:pPr>
            <w:r>
              <w:rPr>
                <w:rFonts w:hint="default" w:ascii="Times New Roman" w:hAnsi="Times New Roman" w:cs="Times New Roman"/>
                <w:bCs w:val="0"/>
                <w:sz w:val="21"/>
                <w:szCs w:val="21"/>
                <w:lang w:val="en-US" w:eastAsia="zh-CN"/>
              </w:rPr>
              <w:t>202</w:t>
            </w:r>
            <w:r>
              <w:rPr>
                <w:rFonts w:hint="eastAsia" w:cs="Times New Roman"/>
                <w:bCs w:val="0"/>
                <w:sz w:val="21"/>
                <w:szCs w:val="21"/>
                <w:lang w:val="en-US" w:eastAsia="zh-CN"/>
              </w:rPr>
              <w:t>4.</w:t>
            </w: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sz w:val="21"/>
                <w:szCs w:val="21"/>
                <w:lang w:val="en-US" w:eastAsia="zh-CN"/>
              </w:rPr>
            </w:pPr>
            <w:r>
              <w:rPr>
                <w:rFonts w:hint="eastAsia" w:cs="Times New Roman"/>
                <w:bCs w:val="0"/>
                <w:sz w:val="21"/>
                <w:szCs w:val="21"/>
                <w:lang w:val="en-US" w:eastAsia="zh-CN"/>
              </w:rPr>
              <w:t>01.23</w:t>
            </w:r>
          </w:p>
        </w:tc>
        <w:tc>
          <w:tcPr>
            <w:tcW w:w="500" w:type="pct"/>
            <w:gridSpan w:val="4"/>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Style w:val="93"/>
                <w:rFonts w:hint="eastAsia" w:cs="Times New Roman"/>
                <w:bCs/>
                <w:color w:val="auto"/>
                <w:sz w:val="21"/>
                <w:szCs w:val="21"/>
                <w:lang w:val="en-US" w:eastAsia="zh-CN" w:bidi="ar"/>
              </w:rPr>
            </w:pPr>
            <w:r>
              <w:rPr>
                <w:rStyle w:val="93"/>
                <w:rFonts w:hint="default" w:ascii="Times New Roman" w:hAnsi="Times New Roman" w:eastAsia="宋体" w:cs="Times New Roman"/>
                <w:bCs/>
                <w:sz w:val="21"/>
                <w:szCs w:val="21"/>
                <w:lang w:val="en-US" w:eastAsia="zh-CN" w:bidi="ar"/>
              </w:rPr>
              <w:t>G</w:t>
            </w:r>
            <w:r>
              <w:rPr>
                <w:rStyle w:val="93"/>
                <w:rFonts w:hint="default" w:ascii="Times New Roman" w:hAnsi="Times New Roman" w:eastAsia="宋体" w:cs="Times New Roman"/>
                <w:bCs/>
                <w:color w:val="auto"/>
                <w:sz w:val="21"/>
                <w:szCs w:val="21"/>
                <w:lang w:val="en-US" w:eastAsia="zh-CN" w:bidi="ar"/>
              </w:rPr>
              <w:t>1</w:t>
            </w:r>
            <w:r>
              <w:rPr>
                <w:rStyle w:val="93"/>
                <w:rFonts w:hint="eastAsia" w:cs="Times New Roman"/>
                <w:bCs/>
                <w:color w:val="auto"/>
                <w:sz w:val="21"/>
                <w:szCs w:val="21"/>
                <w:lang w:val="en-US" w:eastAsia="zh-CN" w:bidi="ar"/>
              </w:rPr>
              <w:t>出口</w:t>
            </w:r>
          </w:p>
          <w:p>
            <w:pPr>
              <w:keepNext w:val="0"/>
              <w:keepLines w:val="0"/>
              <w:widowControl/>
              <w:suppressLineNumbers w:val="0"/>
              <w:spacing w:line="240" w:lineRule="auto"/>
              <w:ind w:left="0" w:leftChars="0" w:firstLine="0" w:firstLineChars="0"/>
              <w:jc w:val="center"/>
              <w:textAlignment w:val="center"/>
              <w:rPr>
                <w:rStyle w:val="93"/>
                <w:rFonts w:hint="default" w:ascii="Times New Roman" w:hAnsi="Times New Roman" w:eastAsia="宋体" w:cs="Times New Roman"/>
                <w:bCs/>
                <w:sz w:val="21"/>
                <w:szCs w:val="21"/>
                <w:lang w:val="en-US" w:eastAsia="zh-CN" w:bidi="ar"/>
              </w:rPr>
            </w:pPr>
            <w:r>
              <w:rPr>
                <w:rStyle w:val="93"/>
                <w:rFonts w:hint="default" w:cs="Times New Roman"/>
                <w:bCs/>
                <w:color w:val="auto"/>
                <w:sz w:val="21"/>
                <w:szCs w:val="21"/>
                <w:lang w:val="en-US" w:eastAsia="zh-CN" w:bidi="ar"/>
              </w:rPr>
              <w:t>DA001隧道窑烟气</w:t>
            </w:r>
            <w:r>
              <w:rPr>
                <w:rStyle w:val="93"/>
                <w:rFonts w:hint="eastAsia" w:cs="Times New Roman"/>
                <w:bCs/>
                <w:color w:val="auto"/>
                <w:sz w:val="21"/>
                <w:szCs w:val="21"/>
                <w:lang w:val="en-US" w:eastAsia="zh-CN" w:bidi="ar"/>
              </w:rPr>
              <w:t>出口</w:t>
            </w: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19.9</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19.6</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19</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19.5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1.2</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1.2</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1.3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w:t>
            </w:r>
            <w:r>
              <w:rPr>
                <w:rFonts w:hint="eastAsia" w:ascii="Times New Roman" w:hAnsi="Times New Roman" w:cs="Times New Roman"/>
                <w:bCs w:val="0"/>
                <w:color w:val="auto"/>
                <w:sz w:val="21"/>
                <w:szCs w:val="21"/>
                <w:highlight w:val="none"/>
                <w:lang w:val="en-US" w:eastAsia="zh-CN"/>
              </w:rPr>
              <w:t>氧</w:t>
            </w:r>
            <w:r>
              <w:rPr>
                <w:rFonts w:hint="default" w:ascii="Times New Roman" w:hAnsi="Times New Roman" w:cs="Times New Roman"/>
                <w:bCs w:val="0"/>
                <w:color w:val="auto"/>
                <w:sz w:val="21"/>
                <w:szCs w:val="21"/>
                <w:highlight w:val="none"/>
                <w:lang w:val="en-US" w:eastAsia="zh-CN"/>
              </w:rPr>
              <w:t>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000000"/>
                <w:kern w:val="0"/>
                <w:sz w:val="21"/>
                <w:szCs w:val="21"/>
                <w:u w:val="none"/>
                <w:lang w:val="en-US" w:eastAsia="zh-CN" w:bidi="ar"/>
              </w:rPr>
              <w:t>19.5</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000000"/>
                <w:kern w:val="0"/>
                <w:sz w:val="21"/>
                <w:szCs w:val="21"/>
                <w:u w:val="none"/>
                <w:lang w:val="en-US" w:eastAsia="zh-CN" w:bidi="ar"/>
              </w:rPr>
              <w:t>19.8</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000000"/>
                <w:kern w:val="0"/>
                <w:sz w:val="21"/>
                <w:szCs w:val="21"/>
                <w:u w:val="none"/>
                <w:lang w:val="en-US" w:eastAsia="zh-CN" w:bidi="ar"/>
              </w:rPr>
              <w:t>19.8</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000000"/>
                <w:kern w:val="0"/>
                <w:sz w:val="21"/>
                <w:szCs w:val="21"/>
                <w:u w:val="none"/>
                <w:lang w:val="en-US" w:eastAsia="zh-CN" w:bidi="ar"/>
              </w:rPr>
              <w:t>19.7</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bidi="ar-SA"/>
              </w:rPr>
              <w:t>m/s</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6.6 </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6.7 </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7.2 </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6.8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kPa</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94.50 </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94.41 </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94.33 </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94.41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3.61</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3.67</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3.95</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3.74</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颗粒物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14.6</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10.5</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13.7</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12.9</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29.8</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0.482</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氨</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1.60</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2.78</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1.96</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2.11</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4.87</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0.079</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二氧化硫</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5</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22</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26</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FF0000"/>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18</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FF0000"/>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p>
        </w:tc>
        <w:tc>
          <w:tcPr>
            <w:tcW w:w="439" w:type="pct"/>
            <w:gridSpan w:val="2"/>
            <w:tcBorders>
              <w:top w:val="single" w:color="auto" w:sz="4" w:space="0"/>
              <w:left w:val="single" w:color="auto" w:sz="4" w:space="0"/>
              <w:right w:val="single" w:color="auto" w:sz="4" w:space="0"/>
            </w:tcBorders>
            <w:vAlign w:val="center"/>
          </w:tcPr>
          <w:p>
            <w:pPr>
              <w:pStyle w:val="92"/>
              <w:ind w:firstLine="0" w:firstLineChars="0"/>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41.5</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p>
        </w:tc>
        <w:tc>
          <w:tcPr>
            <w:tcW w:w="439" w:type="pct"/>
            <w:gridSpan w:val="2"/>
            <w:tcBorders>
              <w:top w:val="single" w:color="auto" w:sz="4" w:space="0"/>
              <w:left w:val="single" w:color="auto" w:sz="4" w:space="0"/>
              <w:right w:val="single" w:color="auto" w:sz="4" w:space="0"/>
            </w:tcBorders>
            <w:vAlign w:val="center"/>
          </w:tcPr>
          <w:p>
            <w:pPr>
              <w:pStyle w:val="92"/>
              <w:ind w:firstLine="0" w:firstLineChars="0"/>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0.673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i w:val="0"/>
                <w:iCs w:val="0"/>
                <w:color w:val="auto"/>
                <w:kern w:val="0"/>
                <w:sz w:val="21"/>
                <w:szCs w:val="21"/>
                <w:u w:val="none"/>
                <w:lang w:val="en-US" w:eastAsia="zh-CN" w:bidi="ar"/>
              </w:rPr>
              <w:t>氮氧化物</w:t>
            </w:r>
          </w:p>
        </w:tc>
        <w:tc>
          <w:tcPr>
            <w:tcW w:w="439" w:type="pct"/>
            <w:gridSpan w:val="2"/>
            <w:tcBorders>
              <w:top w:val="single" w:color="auto" w:sz="4" w:space="0"/>
              <w:left w:val="single" w:color="auto" w:sz="4" w:space="0"/>
              <w:right w:val="single" w:color="auto" w:sz="4" w:space="0"/>
            </w:tcBorders>
            <w:vAlign w:val="center"/>
          </w:tcPr>
          <w:p>
            <w:pPr>
              <w:pStyle w:val="92"/>
              <w:ind w:firstLine="0" w:firstLineChars="0"/>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22</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21</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22</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p>
        </w:tc>
        <w:tc>
          <w:tcPr>
            <w:tcW w:w="439" w:type="pct"/>
            <w:gridSpan w:val="2"/>
            <w:tcBorders>
              <w:top w:val="single" w:color="auto" w:sz="4" w:space="0"/>
              <w:left w:val="single" w:color="auto" w:sz="4" w:space="0"/>
              <w:right w:val="single" w:color="auto" w:sz="4" w:space="0"/>
            </w:tcBorders>
            <w:vAlign w:val="center"/>
          </w:tcPr>
          <w:p>
            <w:pPr>
              <w:pStyle w:val="92"/>
              <w:ind w:firstLine="0" w:firstLineChars="0"/>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50.8</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p>
        </w:tc>
        <w:tc>
          <w:tcPr>
            <w:tcW w:w="439" w:type="pct"/>
            <w:gridSpan w:val="2"/>
            <w:tcBorders>
              <w:top w:val="single" w:color="auto" w:sz="4" w:space="0"/>
              <w:left w:val="single" w:color="auto" w:sz="4" w:space="0"/>
              <w:right w:val="single" w:color="auto" w:sz="4" w:space="0"/>
            </w:tcBorders>
            <w:vAlign w:val="center"/>
          </w:tcPr>
          <w:p>
            <w:pPr>
              <w:pStyle w:val="92"/>
              <w:ind w:firstLine="0" w:firstLineChars="0"/>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0.823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20.1</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20.6</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20.7</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20.5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1.4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1.5</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1.3</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1.4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w:t>
            </w:r>
            <w:r>
              <w:rPr>
                <w:rFonts w:hint="eastAsia" w:ascii="Times New Roman" w:hAnsi="Times New Roman" w:cs="Times New Roman"/>
                <w:bCs w:val="0"/>
                <w:color w:val="auto"/>
                <w:sz w:val="21"/>
                <w:szCs w:val="21"/>
                <w:highlight w:val="none"/>
                <w:lang w:val="en-US" w:eastAsia="zh-CN"/>
              </w:rPr>
              <w:t>氧</w:t>
            </w:r>
            <w:r>
              <w:rPr>
                <w:rFonts w:hint="default" w:ascii="Times New Roman" w:hAnsi="Times New Roman" w:cs="Times New Roman"/>
                <w:bCs w:val="0"/>
                <w:color w:val="auto"/>
                <w:sz w:val="21"/>
                <w:szCs w:val="21"/>
                <w:highlight w:val="none"/>
                <w:lang w:val="en-US" w:eastAsia="zh-CN"/>
              </w:rPr>
              <w:t>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000000"/>
                <w:kern w:val="0"/>
                <w:sz w:val="21"/>
                <w:szCs w:val="21"/>
                <w:u w:val="none"/>
                <w:lang w:val="en-US" w:eastAsia="zh-CN" w:bidi="ar"/>
              </w:rPr>
              <w:t>19.5</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000000"/>
                <w:kern w:val="0"/>
                <w:sz w:val="21"/>
                <w:szCs w:val="21"/>
                <w:u w:val="none"/>
                <w:lang w:val="en-US" w:eastAsia="zh-CN" w:bidi="ar"/>
              </w:rPr>
              <w:t>19.8</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000000"/>
                <w:kern w:val="0"/>
                <w:sz w:val="21"/>
                <w:szCs w:val="21"/>
                <w:u w:val="none"/>
                <w:lang w:val="en-US" w:eastAsia="zh-CN" w:bidi="ar"/>
              </w:rPr>
              <w:t>19.8</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000000"/>
                <w:kern w:val="0"/>
                <w:sz w:val="21"/>
                <w:szCs w:val="21"/>
                <w:u w:val="none"/>
                <w:lang w:val="en-US" w:eastAsia="zh-CN" w:bidi="ar"/>
              </w:rPr>
              <w:t>19.7</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bidi="ar-SA"/>
              </w:rPr>
              <w:t>m/s</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7.5</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7.4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7.3</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7.4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bidi="ar-SA"/>
              </w:rPr>
            </w:pPr>
            <w:r>
              <w:rPr>
                <w:rFonts w:hint="default" w:ascii="Times New Roman" w:hAnsi="Times New Roman" w:cs="Times New Roman"/>
                <w:bCs w:val="0"/>
                <w:color w:val="auto"/>
                <w:kern w:val="2"/>
                <w:sz w:val="21"/>
                <w:szCs w:val="21"/>
                <w:lang w:val="en-US" w:eastAsia="zh-CN" w:bidi="ar-SA"/>
              </w:rPr>
              <w:t>kPa</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94.25</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94.25</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94.25</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 xml:space="preserve">94.25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bidi="ar-SA"/>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cs="Times New Roman"/>
                <w:bCs/>
                <w:i w:val="0"/>
                <w:iCs w:val="0"/>
                <w:color w:val="auto"/>
                <w:kern w:val="0"/>
                <w:sz w:val="21"/>
                <w:szCs w:val="21"/>
                <w:u w:val="none"/>
                <w:lang w:val="en-US" w:eastAsia="zh-CN" w:bidi="ar"/>
              </w:rPr>
              <w:t>4.06</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cs="Times New Roman"/>
                <w:bCs/>
                <w:i w:val="0"/>
                <w:iCs w:val="0"/>
                <w:color w:val="auto"/>
                <w:kern w:val="0"/>
                <w:sz w:val="21"/>
                <w:szCs w:val="21"/>
                <w:u w:val="none"/>
                <w:lang w:val="en-US" w:eastAsia="zh-CN" w:bidi="ar"/>
              </w:rPr>
              <w:t>3.98</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cs="Times New Roman"/>
                <w:bCs/>
                <w:i w:val="0"/>
                <w:iCs w:val="0"/>
                <w:color w:val="auto"/>
                <w:kern w:val="0"/>
                <w:sz w:val="21"/>
                <w:szCs w:val="21"/>
                <w:u w:val="none"/>
                <w:lang w:val="en-US" w:eastAsia="zh-CN" w:bidi="ar"/>
              </w:rPr>
              <w:t>3.97</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4.00</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19" w:type="pct"/>
            <w:gridSpan w:val="3"/>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lang w:val="en-US" w:eastAsia="zh-CN"/>
              </w:rPr>
            </w:pPr>
            <w:r>
              <w:rPr>
                <w:rFonts w:hint="eastAsia" w:ascii="Times New Roman" w:hAnsi="Times New Roman" w:cs="Times New Roman"/>
                <w:bCs/>
                <w:i w:val="0"/>
                <w:iCs w:val="0"/>
                <w:color w:val="auto"/>
                <w:kern w:val="0"/>
                <w:sz w:val="21"/>
                <w:szCs w:val="21"/>
                <w:u w:val="none"/>
                <w:lang w:val="en-US" w:eastAsia="zh-CN" w:bidi="ar"/>
              </w:rPr>
              <w:t>氟化物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cs="Times New Roman"/>
                <w:bCs/>
                <w:i w:val="0"/>
                <w:iCs w:val="0"/>
                <w:color w:val="auto"/>
                <w:kern w:val="0"/>
                <w:sz w:val="21"/>
                <w:szCs w:val="21"/>
                <w:u w:val="none"/>
                <w:lang w:val="en-US" w:eastAsia="zh-CN" w:bidi="ar"/>
              </w:rPr>
              <w:t>0.10</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cs="Times New Roman"/>
                <w:bCs/>
                <w:i w:val="0"/>
                <w:iCs w:val="0"/>
                <w:color w:val="auto"/>
                <w:kern w:val="0"/>
                <w:sz w:val="21"/>
                <w:szCs w:val="21"/>
                <w:u w:val="none"/>
                <w:lang w:val="en-US" w:eastAsia="zh-CN" w:bidi="ar"/>
              </w:rPr>
              <w:t>0.09</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cs="Times New Roman"/>
                <w:bCs/>
                <w:i w:val="0"/>
                <w:iCs w:val="0"/>
                <w:color w:val="auto"/>
                <w:kern w:val="0"/>
                <w:sz w:val="21"/>
                <w:szCs w:val="21"/>
                <w:u w:val="none"/>
                <w:lang w:val="en-US" w:eastAsia="zh-CN" w:bidi="ar"/>
              </w:rPr>
              <w:t>0.09</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0.09</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19"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lang w:val="en-US" w:eastAsia="zh-CN"/>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0.21</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19"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lang w:val="en-US" w:eastAsia="zh-CN"/>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3.60</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19" w:type="pct"/>
            <w:gridSpan w:val="3"/>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lang w:val="en-US" w:eastAsia="zh-CN"/>
              </w:rPr>
            </w:pPr>
            <w:r>
              <w:rPr>
                <w:rFonts w:hint="eastAsia" w:ascii="Times New Roman" w:hAnsi="Times New Roman" w:cs="Times New Roman"/>
                <w:bCs/>
                <w:i w:val="0"/>
                <w:iCs w:val="0"/>
                <w:color w:val="auto"/>
                <w:kern w:val="0"/>
                <w:sz w:val="21"/>
                <w:szCs w:val="21"/>
                <w:u w:val="none"/>
                <w:lang w:val="en-US" w:eastAsia="zh-CN" w:bidi="ar"/>
              </w:rPr>
              <w:t>硫化氢</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cs="Times New Roman"/>
                <w:bCs w:val="0"/>
                <w:color w:val="auto"/>
                <w:sz w:val="21"/>
                <w:szCs w:val="21"/>
                <w:highlight w:val="none"/>
                <w:lang w:val="en-US" w:eastAsia="zh-CN"/>
              </w:rPr>
              <w:t>0.036</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cs="Times New Roman"/>
                <w:bCs w:val="0"/>
                <w:color w:val="auto"/>
                <w:sz w:val="21"/>
                <w:szCs w:val="21"/>
                <w:highlight w:val="none"/>
                <w:lang w:val="en-US" w:eastAsia="zh-CN"/>
              </w:rPr>
              <w:t>0.039</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cs="Times New Roman"/>
                <w:bCs w:val="0"/>
                <w:color w:val="auto"/>
                <w:sz w:val="21"/>
                <w:szCs w:val="21"/>
                <w:highlight w:val="none"/>
                <w:lang w:val="en-US" w:eastAsia="zh-CN"/>
              </w:rPr>
              <w:t>0.033</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000000"/>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0.036</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19"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eastAsia"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0.083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0" w:type="pct"/>
            <w:vMerge w:val="continue"/>
            <w:tcBorders>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500" w:type="pct"/>
            <w:gridSpan w:val="4"/>
            <w:vMerge w:val="continue"/>
            <w:tcBorders>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19"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eastAsia"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1.44</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539" w:hRule="atLeast"/>
          <w:jc w:val="center"/>
        </w:trPr>
        <w:tc>
          <w:tcPr>
            <w:tcW w:w="940" w:type="pct"/>
            <w:gridSpan w:val="5"/>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sz w:val="21"/>
                <w:szCs w:val="21"/>
                <w:lang w:eastAsia="zh-CN"/>
              </w:rPr>
            </w:pPr>
            <w:r>
              <w:rPr>
                <w:rFonts w:hint="eastAsia" w:ascii="Times New Roman" w:hAnsi="Times New Roman" w:cs="Times New Roman"/>
                <w:b/>
                <w:bCs w:val="0"/>
                <w:color w:val="auto"/>
                <w:sz w:val="21"/>
                <w:szCs w:val="21"/>
                <w:lang w:val="en-US" w:eastAsia="zh-CN"/>
              </w:rPr>
              <w:t>限值依据</w:t>
            </w:r>
          </w:p>
        </w:tc>
        <w:tc>
          <w:tcPr>
            <w:tcW w:w="4002" w:type="pct"/>
            <w:gridSpan w:val="25"/>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jc w:val="left"/>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《砖瓦工业大气污染物排放标准》（GB 29620-2013）及其修改单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889" w:hRule="atLeast"/>
          <w:jc w:val="center"/>
        </w:trPr>
        <w:tc>
          <w:tcPr>
            <w:tcW w:w="940" w:type="pct"/>
            <w:gridSpan w:val="5"/>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eastAsia" w:ascii="Times New Roman" w:hAnsi="Times New Roman" w:cs="Times New Roman"/>
                <w:b/>
                <w:bCs w:val="0"/>
                <w:color w:val="FF0000"/>
                <w:sz w:val="21"/>
                <w:szCs w:val="21"/>
                <w:lang w:val="en-US" w:eastAsia="zh-CN"/>
              </w:rPr>
            </w:pPr>
            <w:r>
              <w:rPr>
                <w:rFonts w:hint="default" w:ascii="Times New Roman" w:hAnsi="Times New Roman" w:cs="Times New Roman"/>
                <w:b/>
                <w:bCs/>
                <w:color w:val="auto"/>
                <w:sz w:val="21"/>
                <w:szCs w:val="21"/>
                <w:lang w:val="en-US" w:eastAsia="zh-CN"/>
              </w:rPr>
              <w:t>备注</w:t>
            </w:r>
          </w:p>
        </w:tc>
        <w:tc>
          <w:tcPr>
            <w:tcW w:w="4002" w:type="pct"/>
            <w:gridSpan w:val="25"/>
            <w:tcBorders>
              <w:top w:val="single" w:color="auto" w:sz="4" w:space="0"/>
              <w:left w:val="single" w:color="auto" w:sz="4" w:space="0"/>
              <w:bottom w:val="single" w:color="auto" w:sz="4" w:space="0"/>
              <w:right w:val="single" w:color="auto" w:sz="4" w:space="0"/>
            </w:tcBorders>
            <w:vAlign w:val="center"/>
          </w:tcPr>
          <w:p>
            <w:pPr>
              <w:pStyle w:val="92"/>
              <w:adjustRightInd w:val="0"/>
              <w:snapToGrid w:val="0"/>
              <w:jc w:val="left"/>
              <w:rPr>
                <w:rFonts w:hint="default" w:ascii="Times New Roman" w:hAnsi="Times New Roman" w:cs="Times New Roman"/>
                <w:bCs w:val="0"/>
                <w:color w:val="FF0000"/>
                <w:sz w:val="21"/>
                <w:szCs w:val="21"/>
                <w:lang w:val="en-US" w:eastAsia="zh-CN"/>
              </w:rPr>
            </w:pPr>
            <w:r>
              <w:rPr>
                <w:rFonts w:hint="eastAsia" w:ascii="Times New Roman" w:hAnsi="Times New Roman" w:cs="Times New Roman"/>
                <w:bCs w:val="0"/>
                <w:color w:val="auto"/>
                <w:kern w:val="0"/>
                <w:sz w:val="21"/>
                <w:szCs w:val="21"/>
                <w:lang w:val="en-US" w:eastAsia="zh-CN" w:bidi="ar-SA"/>
              </w:rPr>
              <w:t>在2024.01.24采样点</w:t>
            </w:r>
            <w:r>
              <w:rPr>
                <w:rStyle w:val="93"/>
                <w:rFonts w:hint="default" w:ascii="Times New Roman" w:hAnsi="Times New Roman" w:eastAsia="宋体" w:cs="Times New Roman"/>
                <w:bCs/>
                <w:color w:val="auto"/>
                <w:sz w:val="21"/>
                <w:szCs w:val="21"/>
                <w:lang w:val="en-US" w:eastAsia="zh-CN" w:bidi="ar"/>
              </w:rPr>
              <w:t>G1</w:t>
            </w:r>
            <w:r>
              <w:rPr>
                <w:rStyle w:val="93"/>
                <w:rFonts w:hint="eastAsia" w:cs="Times New Roman"/>
                <w:bCs/>
                <w:color w:val="auto"/>
                <w:sz w:val="21"/>
                <w:szCs w:val="21"/>
                <w:lang w:val="en-US" w:eastAsia="zh-CN" w:bidi="ar"/>
              </w:rPr>
              <w:t>进</w:t>
            </w:r>
            <w:r>
              <w:rPr>
                <w:rStyle w:val="93"/>
                <w:rFonts w:hint="default" w:ascii="Times New Roman" w:hAnsi="Times New Roman" w:eastAsia="宋体" w:cs="Times New Roman"/>
                <w:bCs/>
                <w:color w:val="auto"/>
                <w:sz w:val="21"/>
                <w:szCs w:val="21"/>
                <w:lang w:val="en-US" w:eastAsia="zh-CN" w:bidi="ar"/>
              </w:rPr>
              <w:t>口</w:t>
            </w:r>
            <w:r>
              <w:rPr>
                <w:rFonts w:hint="default" w:ascii="Times New Roman" w:hAnsi="Times New Roman" w:cs="Times New Roman"/>
                <w:bCs w:val="0"/>
                <w:color w:val="auto"/>
                <w:kern w:val="0"/>
                <w:sz w:val="21"/>
                <w:szCs w:val="21"/>
                <w:lang w:val="en-US" w:eastAsia="zh-CN"/>
              </w:rPr>
              <w:t>监测项目样品编号依次为</w:t>
            </w:r>
            <w:r>
              <w:rPr>
                <w:rFonts w:hint="default" w:ascii="Times New Roman" w:hAnsi="Times New Roman" w:cs="Times New Roman"/>
                <w:bCs w:val="0"/>
                <w:color w:val="auto"/>
                <w:sz w:val="21"/>
                <w:szCs w:val="21"/>
                <w:lang w:val="zh-CN"/>
              </w:rPr>
              <w:t>YFA2</w:t>
            </w:r>
            <w:r>
              <w:rPr>
                <w:rFonts w:hint="eastAsia" w:ascii="Times New Roman" w:hAnsi="Times New Roman" w:cs="Times New Roman"/>
                <w:bCs w:val="0"/>
                <w:color w:val="auto"/>
                <w:sz w:val="21"/>
                <w:szCs w:val="21"/>
                <w:lang w:val="en-US" w:eastAsia="zh-CN"/>
              </w:rPr>
              <w:t>4010801</w:t>
            </w:r>
            <w:r>
              <w:rPr>
                <w:rFonts w:hint="default" w:ascii="Times New Roman" w:hAnsi="Times New Roman" w:cs="Times New Roman"/>
                <w:bCs w:val="0"/>
                <w:color w:val="auto"/>
                <w:sz w:val="21"/>
                <w:szCs w:val="21"/>
                <w:lang w:val="en-US" w:eastAsia="zh-CN"/>
              </w:rPr>
              <w:t>-</w:t>
            </w:r>
            <w:r>
              <w:rPr>
                <w:rFonts w:hint="default" w:ascii="Times New Roman" w:hAnsi="Times New Roman" w:cs="Times New Roman"/>
                <w:bCs w:val="0"/>
                <w:color w:val="auto"/>
                <w:kern w:val="0"/>
                <w:sz w:val="21"/>
                <w:szCs w:val="21"/>
                <w:lang w:val="en-US" w:eastAsia="zh-CN"/>
              </w:rPr>
              <w:t>G0</w:t>
            </w:r>
            <w:r>
              <w:rPr>
                <w:rFonts w:hint="eastAsia" w:ascii="Times New Roman" w:hAnsi="Times New Roman" w:cs="Times New Roman"/>
                <w:bCs w:val="0"/>
                <w:color w:val="auto"/>
                <w:kern w:val="0"/>
                <w:sz w:val="21"/>
                <w:szCs w:val="21"/>
                <w:lang w:val="en-US" w:eastAsia="zh-CN"/>
              </w:rPr>
              <w:t>31</w:t>
            </w:r>
            <w:r>
              <w:rPr>
                <w:rFonts w:hint="default" w:ascii="Times New Roman" w:hAnsi="Times New Roman" w:cs="Times New Roman"/>
                <w:bCs w:val="0"/>
                <w:color w:val="auto"/>
                <w:kern w:val="0"/>
                <w:sz w:val="21"/>
                <w:szCs w:val="21"/>
                <w:lang w:val="en-US" w:eastAsia="zh-CN"/>
              </w:rPr>
              <w:t>~G0</w:t>
            </w:r>
            <w:r>
              <w:rPr>
                <w:rFonts w:hint="eastAsia" w:ascii="Times New Roman" w:hAnsi="Times New Roman" w:cs="Times New Roman"/>
                <w:bCs w:val="0"/>
                <w:color w:val="auto"/>
                <w:kern w:val="0"/>
                <w:sz w:val="21"/>
                <w:szCs w:val="21"/>
                <w:lang w:val="en-US" w:eastAsia="zh-CN"/>
              </w:rPr>
              <w:t>51</w:t>
            </w:r>
            <w:r>
              <w:rPr>
                <w:rFonts w:hint="default" w:ascii="Times New Roman" w:hAnsi="Times New Roman" w:cs="Times New Roman"/>
                <w:bCs w:val="0"/>
                <w:color w:val="auto"/>
                <w:kern w:val="0"/>
                <w:sz w:val="21"/>
                <w:szCs w:val="21"/>
                <w:lang w:val="en-US" w:eastAsia="zh-CN"/>
              </w:rPr>
              <w:t>；</w:t>
            </w:r>
            <w:r>
              <w:rPr>
                <w:rStyle w:val="93"/>
                <w:rFonts w:hint="default" w:ascii="Times New Roman" w:hAnsi="Times New Roman" w:eastAsia="宋体" w:cs="Times New Roman"/>
                <w:bCs/>
                <w:color w:val="auto"/>
                <w:sz w:val="21"/>
                <w:szCs w:val="21"/>
                <w:lang w:val="en-US" w:eastAsia="zh-CN" w:bidi="ar"/>
              </w:rPr>
              <w:t>G1</w:t>
            </w:r>
            <w:r>
              <w:rPr>
                <w:rFonts w:hint="default" w:ascii="Times New Roman" w:hAnsi="Times New Roman" w:cs="Times New Roman"/>
                <w:bCs w:val="0"/>
                <w:color w:val="auto"/>
                <w:kern w:val="0"/>
                <w:sz w:val="21"/>
                <w:szCs w:val="21"/>
                <w:lang w:val="en-US" w:eastAsia="zh-CN" w:bidi="ar-SA"/>
              </w:rPr>
              <w:t>出</w:t>
            </w:r>
            <w:r>
              <w:rPr>
                <w:rFonts w:hint="default" w:ascii="Times New Roman" w:hAnsi="Times New Roman" w:eastAsia="宋体" w:cs="Times New Roman"/>
                <w:bCs w:val="0"/>
                <w:color w:val="auto"/>
                <w:kern w:val="0"/>
                <w:sz w:val="21"/>
                <w:szCs w:val="21"/>
                <w:lang w:val="en-US" w:eastAsia="zh-CN" w:bidi="ar-SA"/>
              </w:rPr>
              <w:t>口</w:t>
            </w:r>
            <w:r>
              <w:rPr>
                <w:rFonts w:hint="default" w:ascii="Times New Roman" w:hAnsi="Times New Roman" w:cs="Times New Roman"/>
                <w:bCs w:val="0"/>
                <w:color w:val="auto"/>
                <w:kern w:val="0"/>
                <w:sz w:val="21"/>
                <w:szCs w:val="21"/>
                <w:lang w:val="en-US" w:eastAsia="zh-CN"/>
              </w:rPr>
              <w:t>监测项目样品编号依次为</w:t>
            </w:r>
            <w:r>
              <w:rPr>
                <w:rFonts w:hint="default" w:ascii="Times New Roman" w:hAnsi="Times New Roman" w:cs="Times New Roman"/>
                <w:bCs w:val="0"/>
                <w:color w:val="auto"/>
                <w:sz w:val="21"/>
                <w:szCs w:val="21"/>
                <w:lang w:val="zh-CN"/>
              </w:rPr>
              <w:t>YFA2</w:t>
            </w:r>
            <w:r>
              <w:rPr>
                <w:rFonts w:hint="eastAsia" w:ascii="Times New Roman" w:hAnsi="Times New Roman" w:cs="Times New Roman"/>
                <w:bCs w:val="0"/>
                <w:color w:val="auto"/>
                <w:sz w:val="21"/>
                <w:szCs w:val="21"/>
                <w:lang w:val="en-US" w:eastAsia="zh-CN"/>
              </w:rPr>
              <w:t>4010801</w:t>
            </w:r>
            <w:r>
              <w:rPr>
                <w:rFonts w:hint="default" w:ascii="Times New Roman" w:hAnsi="Times New Roman" w:cs="Times New Roman"/>
                <w:bCs w:val="0"/>
                <w:color w:val="auto"/>
                <w:sz w:val="21"/>
                <w:szCs w:val="21"/>
                <w:lang w:val="en-US" w:eastAsia="zh-CN"/>
              </w:rPr>
              <w:t>-</w:t>
            </w:r>
            <w:r>
              <w:rPr>
                <w:rFonts w:hint="default" w:ascii="Times New Roman" w:hAnsi="Times New Roman" w:cs="Times New Roman"/>
                <w:bCs w:val="0"/>
                <w:color w:val="auto"/>
                <w:kern w:val="0"/>
                <w:sz w:val="21"/>
                <w:szCs w:val="21"/>
                <w:lang w:val="en-US" w:eastAsia="zh-CN"/>
              </w:rPr>
              <w:t>G0</w:t>
            </w:r>
            <w:r>
              <w:rPr>
                <w:rFonts w:hint="eastAsia" w:ascii="Times New Roman" w:hAnsi="Times New Roman" w:cs="Times New Roman"/>
                <w:bCs w:val="0"/>
                <w:color w:val="auto"/>
                <w:kern w:val="0"/>
                <w:sz w:val="21"/>
                <w:szCs w:val="21"/>
                <w:lang w:val="en-US" w:eastAsia="zh-CN"/>
              </w:rPr>
              <w:t>91</w:t>
            </w:r>
            <w:r>
              <w:rPr>
                <w:rFonts w:hint="default" w:ascii="Times New Roman" w:hAnsi="Times New Roman" w:cs="Times New Roman"/>
                <w:bCs w:val="0"/>
                <w:color w:val="auto"/>
                <w:kern w:val="0"/>
                <w:sz w:val="21"/>
                <w:szCs w:val="21"/>
                <w:lang w:val="en-US" w:eastAsia="zh-CN"/>
              </w:rPr>
              <w:t>~G</w:t>
            </w:r>
            <w:r>
              <w:rPr>
                <w:rFonts w:hint="eastAsia" w:ascii="Times New Roman" w:hAnsi="Times New Roman" w:cs="Times New Roman"/>
                <w:bCs w:val="0"/>
                <w:color w:val="auto"/>
                <w:kern w:val="0"/>
                <w:sz w:val="21"/>
                <w:szCs w:val="21"/>
                <w:lang w:val="en-US" w:eastAsia="zh-CN"/>
              </w:rPr>
              <w:t>117</w:t>
            </w:r>
            <w:r>
              <w:rPr>
                <w:rFonts w:hint="default" w:ascii="Times New Roman" w:hAnsi="Times New Roman" w:cs="Times New Roman"/>
                <w:bCs w:val="0"/>
                <w:color w:val="auto"/>
                <w:kern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547" w:hRule="atLeast"/>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排气筒高度（m）</w:t>
            </w:r>
          </w:p>
        </w:tc>
        <w:tc>
          <w:tcPr>
            <w:tcW w:w="13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default" w:ascii="Times New Roman" w:hAnsi="Times New Roman" w:cs="Times New Roman"/>
                <w:b w:val="0"/>
                <w:bCs/>
                <w:color w:val="auto"/>
                <w:sz w:val="21"/>
                <w:szCs w:val="21"/>
                <w:lang w:val="en-US" w:eastAsia="zh-CN"/>
              </w:rPr>
              <w:t>15</w:t>
            </w:r>
          </w:p>
        </w:tc>
        <w:tc>
          <w:tcPr>
            <w:tcW w:w="983"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cs="Times New Roman"/>
                <w:b/>
                <w:bCs w:val="0"/>
                <w:sz w:val="21"/>
                <w:szCs w:val="21"/>
                <w:lang w:val="en-US" w:eastAsia="zh-CN"/>
              </w:rPr>
              <w:t>横截面积（m</w:t>
            </w:r>
            <w:r>
              <w:rPr>
                <w:rFonts w:hint="default" w:ascii="Times New Roman" w:hAnsi="Times New Roman" w:cs="Times New Roman"/>
                <w:b/>
                <w:bCs w:val="0"/>
                <w:sz w:val="21"/>
                <w:szCs w:val="21"/>
                <w:vertAlign w:val="superscript"/>
                <w:lang w:val="en-US" w:eastAsia="zh-CN"/>
              </w:rPr>
              <w:t>2</w:t>
            </w:r>
            <w:r>
              <w:rPr>
                <w:rFonts w:hint="default" w:ascii="Times New Roman" w:hAnsi="Times New Roman" w:cs="Times New Roman"/>
                <w:b/>
                <w:bCs w:val="0"/>
                <w:sz w:val="21"/>
                <w:szCs w:val="21"/>
                <w:lang w:val="en-US" w:eastAsia="zh-CN"/>
              </w:rPr>
              <w:t>）</w:t>
            </w:r>
          </w:p>
        </w:tc>
        <w:tc>
          <w:tcPr>
            <w:tcW w:w="1234"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FF"/>
                <w:sz w:val="21"/>
                <w:szCs w:val="21"/>
                <w:lang w:val="en-US" w:eastAsia="zh-CN"/>
              </w:rPr>
            </w:pPr>
            <w:r>
              <w:rPr>
                <w:rFonts w:hint="eastAsia" w:cs="Times New Roman"/>
                <w:b w:val="0"/>
                <w:bCs/>
                <w:color w:val="auto"/>
                <w:sz w:val="21"/>
                <w:szCs w:val="21"/>
                <w:lang w:val="en-US" w:eastAsia="zh-CN"/>
              </w:rPr>
              <w:t>0.8100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547" w:hRule="atLeast"/>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处理设施</w:t>
            </w:r>
          </w:p>
        </w:tc>
        <w:tc>
          <w:tcPr>
            <w:tcW w:w="13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default" w:ascii="Times New Roman" w:hAnsi="Times New Roman" w:cs="Times New Roman"/>
                <w:bCs w:val="0"/>
                <w:color w:val="auto"/>
                <w:sz w:val="24"/>
                <w:szCs w:val="24"/>
                <w:lang w:eastAsia="zh-CN"/>
              </w:rPr>
              <w:t>——</w:t>
            </w:r>
          </w:p>
        </w:tc>
        <w:tc>
          <w:tcPr>
            <w:tcW w:w="983"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eastAsia" w:cs="Times New Roman"/>
                <w:b/>
                <w:bCs w:val="0"/>
                <w:color w:val="auto"/>
                <w:sz w:val="21"/>
                <w:szCs w:val="21"/>
                <w:lang w:val="en-US" w:eastAsia="zh-CN"/>
              </w:rPr>
              <w:t>处理设施型号</w:t>
            </w:r>
          </w:p>
        </w:tc>
        <w:tc>
          <w:tcPr>
            <w:tcW w:w="1234"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FF"/>
                <w:sz w:val="21"/>
                <w:szCs w:val="21"/>
                <w:lang w:val="en-US" w:eastAsia="zh-CN"/>
              </w:rPr>
            </w:pPr>
            <w:r>
              <w:rPr>
                <w:rFonts w:hint="default" w:ascii="Times New Roman" w:hAnsi="Times New Roman" w:cs="Times New Roman"/>
                <w:bCs w:val="0"/>
                <w:color w:val="auto"/>
                <w:sz w:val="24"/>
                <w:szCs w:val="24"/>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482" w:hRule="atLeast"/>
          <w:jc w:val="center"/>
        </w:trPr>
        <w:tc>
          <w:tcPr>
            <w:tcW w:w="452" w:type="pct"/>
            <w:gridSpan w:val="3"/>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采样</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日期</w:t>
            </w:r>
          </w:p>
        </w:tc>
        <w:tc>
          <w:tcPr>
            <w:tcW w:w="488" w:type="pct"/>
            <w:gridSpan w:val="2"/>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监测</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点位</w:t>
            </w:r>
          </w:p>
        </w:tc>
        <w:tc>
          <w:tcPr>
            <w:tcW w:w="859" w:type="pct"/>
            <w:gridSpan w:val="5"/>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val="0"/>
                <w:sz w:val="21"/>
                <w:szCs w:val="21"/>
                <w:lang w:eastAsia="zh-CN"/>
              </w:rPr>
              <w:t>监测项目</w:t>
            </w:r>
          </w:p>
        </w:tc>
        <w:tc>
          <w:tcPr>
            <w:tcW w:w="488" w:type="pct"/>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单位</w:t>
            </w:r>
          </w:p>
        </w:tc>
        <w:tc>
          <w:tcPr>
            <w:tcW w:w="2302" w:type="pct"/>
            <w:gridSpan w:val="1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监测结果</w:t>
            </w:r>
          </w:p>
        </w:tc>
        <w:tc>
          <w:tcPr>
            <w:tcW w:w="35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859" w:type="pct"/>
            <w:gridSpan w:val="5"/>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545" w:type="pct"/>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kern w:val="0"/>
                <w:sz w:val="21"/>
                <w:szCs w:val="21"/>
                <w:lang w:val="en-US" w:eastAsia="zh-CN"/>
              </w:rPr>
              <w:t>第一次</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第二次</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第三次</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均值</w:t>
            </w:r>
          </w:p>
        </w:tc>
        <w:tc>
          <w:tcPr>
            <w:tcW w:w="35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eastAsia" w:cs="Times New Roman"/>
                <w:bCs w:val="0"/>
                <w:sz w:val="21"/>
                <w:szCs w:val="21"/>
                <w:lang w:val="en-US" w:eastAsia="zh-CN"/>
              </w:rPr>
            </w:pPr>
            <w:r>
              <w:rPr>
                <w:rFonts w:hint="default" w:ascii="Times New Roman" w:hAnsi="Times New Roman" w:cs="Times New Roman"/>
                <w:bCs w:val="0"/>
                <w:sz w:val="21"/>
                <w:szCs w:val="21"/>
                <w:lang w:val="en-US" w:eastAsia="zh-CN"/>
              </w:rPr>
              <w:t>202</w:t>
            </w:r>
            <w:r>
              <w:rPr>
                <w:rFonts w:hint="eastAsia" w:cs="Times New Roman"/>
                <w:bCs w:val="0"/>
                <w:sz w:val="21"/>
                <w:szCs w:val="21"/>
                <w:lang w:val="en-US" w:eastAsia="zh-CN"/>
              </w:rPr>
              <w:t>4.</w:t>
            </w: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sz w:val="21"/>
                <w:szCs w:val="21"/>
                <w:lang w:val="en-US" w:eastAsia="zh-CN"/>
              </w:rPr>
            </w:pPr>
            <w:r>
              <w:rPr>
                <w:rFonts w:hint="eastAsia" w:cs="Times New Roman"/>
                <w:bCs w:val="0"/>
                <w:sz w:val="21"/>
                <w:szCs w:val="21"/>
                <w:lang w:val="en-US" w:eastAsia="zh-CN"/>
              </w:rPr>
              <w:t>01.24</w:t>
            </w:r>
          </w:p>
        </w:tc>
        <w:tc>
          <w:tcPr>
            <w:tcW w:w="488" w:type="pct"/>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Style w:val="93"/>
                <w:rFonts w:hint="default" w:ascii="Times New Roman" w:hAnsi="Times New Roman" w:eastAsia="宋体" w:cs="Times New Roman"/>
                <w:bCs/>
                <w:color w:val="auto"/>
                <w:sz w:val="21"/>
                <w:szCs w:val="21"/>
                <w:lang w:val="en-US" w:eastAsia="zh-CN" w:bidi="ar"/>
              </w:rPr>
            </w:pPr>
            <w:r>
              <w:rPr>
                <w:rStyle w:val="93"/>
                <w:rFonts w:hint="default" w:ascii="Times New Roman" w:hAnsi="Times New Roman" w:eastAsia="宋体" w:cs="Times New Roman"/>
                <w:bCs/>
                <w:color w:val="auto"/>
                <w:sz w:val="21"/>
                <w:szCs w:val="21"/>
                <w:lang w:val="en-US" w:eastAsia="zh-CN" w:bidi="ar"/>
              </w:rPr>
              <w:t>G1</w:t>
            </w:r>
            <w:r>
              <w:rPr>
                <w:rStyle w:val="93"/>
                <w:rFonts w:hint="eastAsia" w:cs="Times New Roman"/>
                <w:bCs/>
                <w:color w:val="auto"/>
                <w:sz w:val="21"/>
                <w:szCs w:val="21"/>
                <w:lang w:val="en-US" w:eastAsia="zh-CN" w:bidi="ar"/>
              </w:rPr>
              <w:t>进</w:t>
            </w:r>
            <w:r>
              <w:rPr>
                <w:rStyle w:val="93"/>
                <w:rFonts w:hint="default" w:ascii="Times New Roman" w:hAnsi="Times New Roman" w:eastAsia="宋体" w:cs="Times New Roman"/>
                <w:bCs/>
                <w:color w:val="auto"/>
                <w:sz w:val="21"/>
                <w:szCs w:val="21"/>
                <w:lang w:val="en-US" w:eastAsia="zh-CN" w:bidi="ar"/>
              </w:rPr>
              <w:t>口</w:t>
            </w:r>
          </w:p>
          <w:p>
            <w:pPr>
              <w:keepNext w:val="0"/>
              <w:keepLines w:val="0"/>
              <w:widowControl/>
              <w:suppressLineNumbers w:val="0"/>
              <w:spacing w:line="240" w:lineRule="auto"/>
              <w:ind w:left="0" w:leftChars="0" w:firstLine="0" w:firstLineChars="0"/>
              <w:jc w:val="center"/>
              <w:textAlignment w:val="center"/>
              <w:rPr>
                <w:rStyle w:val="93"/>
                <w:rFonts w:hint="default" w:ascii="Times New Roman" w:hAnsi="Times New Roman" w:eastAsia="宋体" w:cs="Times New Roman"/>
                <w:bCs/>
                <w:sz w:val="21"/>
                <w:szCs w:val="21"/>
                <w:lang w:val="en-US" w:eastAsia="zh-CN" w:bidi="ar"/>
              </w:rPr>
            </w:pPr>
            <w:r>
              <w:rPr>
                <w:rStyle w:val="93"/>
                <w:rFonts w:hint="default" w:ascii="Times New Roman" w:hAnsi="Times New Roman" w:eastAsia="宋体" w:cs="Times New Roman"/>
                <w:bCs/>
                <w:color w:val="auto"/>
                <w:sz w:val="21"/>
                <w:szCs w:val="21"/>
                <w:lang w:val="en-US" w:eastAsia="zh-CN" w:bidi="ar"/>
              </w:rPr>
              <w:t>DA001隧道窑烟气进</w:t>
            </w:r>
            <w:r>
              <w:rPr>
                <w:rStyle w:val="93"/>
                <w:rFonts w:hint="eastAsia" w:cs="Times New Roman"/>
                <w:bCs/>
                <w:color w:val="auto"/>
                <w:sz w:val="21"/>
                <w:szCs w:val="21"/>
                <w:lang w:val="en-US" w:eastAsia="zh-CN" w:bidi="ar"/>
              </w:rPr>
              <w:t>口</w:t>
            </w: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34.2</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34.3</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34.7</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34.4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6.7</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6.6</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6.7</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6.7</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bidi="ar-SA"/>
              </w:rPr>
              <w:t>m/s</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7.3</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7.1</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8.0</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7.5</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kPa</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94.76 </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94.81 </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94.80 </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94.79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1.65</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1.61</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1.81</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1.69</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颗粒物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45.0</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47.1</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39.4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43.8</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0.740</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氨</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7.31</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6.46</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5.73</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6.50</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0.110</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二氧化硫</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30</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39</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29</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0.558</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氮氧化物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28</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28</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26</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27</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0.456</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34.8</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35.2</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35.3</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35.1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6.6</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6.7</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6.7</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6.7</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bidi="ar-SA"/>
              </w:rPr>
              <w:t>m/s</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7.9</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7.7</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7.4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7.7</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kPa</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94.76</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94.66</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cs="Times New Roman"/>
                <w:bCs/>
                <w:i w:val="0"/>
                <w:iCs w:val="0"/>
                <w:color w:val="auto"/>
                <w:kern w:val="0"/>
                <w:sz w:val="21"/>
                <w:szCs w:val="21"/>
                <w:u w:val="none"/>
                <w:lang w:val="en-US" w:eastAsia="zh-CN" w:bidi="ar"/>
              </w:rPr>
            </w:pPr>
            <w:r>
              <w:rPr>
                <w:rFonts w:hint="default" w:ascii="Times New Roman" w:hAnsi="Times New Roman" w:eastAsia="宋体" w:cs="Times New Roman"/>
                <w:bCs/>
                <w:i w:val="0"/>
                <w:iCs w:val="0"/>
                <w:color w:val="000000"/>
                <w:kern w:val="0"/>
                <w:sz w:val="21"/>
                <w:szCs w:val="21"/>
                <w:u w:val="none"/>
                <w:lang w:val="en-US" w:eastAsia="zh-CN" w:bidi="ar"/>
              </w:rPr>
              <w:t>94.57</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94.66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1.79</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1.74</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1.67</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1.73</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氟化物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1.91</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2.35</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2.79</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2.35</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0.041</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419" w:type="pct"/>
            <w:gridSpan w:val="3"/>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硫化氢</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0.066</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0.056</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0.053</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0.058</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19"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lang w:eastAsia="zh-CN"/>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1.00</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排气筒高度（m）</w:t>
            </w:r>
          </w:p>
        </w:tc>
        <w:tc>
          <w:tcPr>
            <w:tcW w:w="13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val="0"/>
                <w:bCs/>
                <w:color w:val="auto"/>
                <w:sz w:val="21"/>
                <w:szCs w:val="21"/>
                <w:lang w:val="en-US" w:eastAsia="zh-CN"/>
              </w:rPr>
              <w:t>15</w:t>
            </w:r>
          </w:p>
        </w:tc>
        <w:tc>
          <w:tcPr>
            <w:tcW w:w="983"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cs="Times New Roman"/>
                <w:b/>
                <w:bCs w:val="0"/>
                <w:color w:val="auto"/>
                <w:sz w:val="21"/>
                <w:szCs w:val="21"/>
                <w:lang w:val="en-US" w:eastAsia="zh-CN"/>
              </w:rPr>
              <w:t>横截面积（m</w:t>
            </w:r>
            <w:r>
              <w:rPr>
                <w:rFonts w:hint="default" w:ascii="Times New Roman" w:hAnsi="Times New Roman" w:cs="Times New Roman"/>
                <w:b/>
                <w:bCs w:val="0"/>
                <w:color w:val="auto"/>
                <w:sz w:val="21"/>
                <w:szCs w:val="21"/>
                <w:vertAlign w:val="superscript"/>
                <w:lang w:val="en-US" w:eastAsia="zh-CN"/>
              </w:rPr>
              <w:t>2</w:t>
            </w:r>
            <w:r>
              <w:rPr>
                <w:rFonts w:hint="default" w:ascii="Times New Roman" w:hAnsi="Times New Roman" w:cs="Times New Roman"/>
                <w:b/>
                <w:bCs w:val="0"/>
                <w:color w:val="auto"/>
                <w:sz w:val="21"/>
                <w:szCs w:val="21"/>
                <w:lang w:val="en-US" w:eastAsia="zh-CN"/>
              </w:rPr>
              <w:t>）</w:t>
            </w:r>
          </w:p>
        </w:tc>
        <w:tc>
          <w:tcPr>
            <w:tcW w:w="1234"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FF"/>
                <w:sz w:val="21"/>
                <w:szCs w:val="21"/>
                <w:lang w:val="en-US" w:eastAsia="zh-CN"/>
              </w:rPr>
            </w:pPr>
            <w:r>
              <w:rPr>
                <w:rFonts w:hint="eastAsia" w:cs="Times New Roman"/>
                <w:b w:val="0"/>
                <w:bCs/>
                <w:color w:val="auto"/>
                <w:sz w:val="21"/>
                <w:szCs w:val="21"/>
                <w:lang w:val="en-US" w:eastAsia="zh-CN"/>
              </w:rPr>
              <w:t>1.7671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处理设施</w:t>
            </w:r>
          </w:p>
        </w:tc>
        <w:tc>
          <w:tcPr>
            <w:tcW w:w="13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宋体" w:hAnsi="宋体" w:cs="宋体"/>
                <w:bCs w:val="0"/>
                <w:color w:val="auto"/>
                <w:sz w:val="24"/>
                <w:szCs w:val="24"/>
                <w:lang w:val="en-US" w:eastAsia="zh-CN"/>
              </w:rPr>
              <w:t>脱硫+喷淋</w:t>
            </w:r>
          </w:p>
        </w:tc>
        <w:tc>
          <w:tcPr>
            <w:tcW w:w="983"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eastAsia" w:cs="Times New Roman"/>
                <w:b/>
                <w:bCs w:val="0"/>
                <w:sz w:val="21"/>
                <w:szCs w:val="21"/>
                <w:lang w:val="en-US" w:eastAsia="zh-CN"/>
              </w:rPr>
              <w:t>处理设施型号</w:t>
            </w:r>
          </w:p>
        </w:tc>
        <w:tc>
          <w:tcPr>
            <w:tcW w:w="1234"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FF"/>
                <w:sz w:val="21"/>
                <w:szCs w:val="21"/>
                <w:lang w:val="en-US" w:eastAsia="zh-CN"/>
              </w:rPr>
            </w:pPr>
            <w:r>
              <w:rPr>
                <w:rFonts w:hint="default" w:ascii="Times New Roman" w:hAnsi="Times New Roman" w:cs="Times New Roman"/>
                <w:b w:val="0"/>
                <w:bCs/>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采样</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日期</w:t>
            </w:r>
          </w:p>
        </w:tc>
        <w:tc>
          <w:tcPr>
            <w:tcW w:w="488" w:type="pct"/>
            <w:gridSpan w:val="2"/>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监测</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点位</w:t>
            </w:r>
          </w:p>
        </w:tc>
        <w:tc>
          <w:tcPr>
            <w:tcW w:w="859" w:type="pct"/>
            <w:gridSpan w:val="5"/>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val="0"/>
                <w:sz w:val="21"/>
                <w:szCs w:val="21"/>
                <w:lang w:eastAsia="zh-CN"/>
              </w:rPr>
              <w:t>监测项目</w:t>
            </w:r>
          </w:p>
        </w:tc>
        <w:tc>
          <w:tcPr>
            <w:tcW w:w="488" w:type="pct"/>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单位</w:t>
            </w:r>
          </w:p>
        </w:tc>
        <w:tc>
          <w:tcPr>
            <w:tcW w:w="2302" w:type="pct"/>
            <w:gridSpan w:val="1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监测结果</w:t>
            </w:r>
          </w:p>
        </w:tc>
        <w:tc>
          <w:tcPr>
            <w:tcW w:w="35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452"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859" w:type="pct"/>
            <w:gridSpan w:val="5"/>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545" w:type="pct"/>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kern w:val="0"/>
                <w:sz w:val="21"/>
                <w:szCs w:val="21"/>
                <w:lang w:val="en-US" w:eastAsia="zh-CN"/>
              </w:rPr>
              <w:t>第一次</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第二次</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第三次</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均值</w:t>
            </w:r>
          </w:p>
        </w:tc>
        <w:tc>
          <w:tcPr>
            <w:tcW w:w="35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eastAsia" w:cs="Times New Roman"/>
                <w:bCs w:val="0"/>
                <w:sz w:val="21"/>
                <w:szCs w:val="21"/>
                <w:lang w:val="en-US" w:eastAsia="zh-CN"/>
              </w:rPr>
            </w:pPr>
            <w:r>
              <w:rPr>
                <w:rFonts w:hint="default" w:ascii="Times New Roman" w:hAnsi="Times New Roman" w:cs="Times New Roman"/>
                <w:bCs w:val="0"/>
                <w:sz w:val="21"/>
                <w:szCs w:val="21"/>
                <w:lang w:val="en-US" w:eastAsia="zh-CN"/>
              </w:rPr>
              <w:t>202</w:t>
            </w:r>
            <w:r>
              <w:rPr>
                <w:rFonts w:hint="eastAsia" w:cs="Times New Roman"/>
                <w:bCs w:val="0"/>
                <w:sz w:val="21"/>
                <w:szCs w:val="21"/>
                <w:lang w:val="en-US" w:eastAsia="zh-CN"/>
              </w:rPr>
              <w:t>4.</w:t>
            </w: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sz w:val="21"/>
                <w:szCs w:val="21"/>
                <w:lang w:val="en-US" w:eastAsia="zh-CN"/>
              </w:rPr>
            </w:pPr>
            <w:r>
              <w:rPr>
                <w:rFonts w:hint="eastAsia" w:cs="Times New Roman"/>
                <w:bCs w:val="0"/>
                <w:sz w:val="21"/>
                <w:szCs w:val="21"/>
                <w:lang w:val="en-US" w:eastAsia="zh-CN"/>
              </w:rPr>
              <w:t>01.24</w:t>
            </w:r>
          </w:p>
        </w:tc>
        <w:tc>
          <w:tcPr>
            <w:tcW w:w="488" w:type="pct"/>
            <w:gridSpan w:val="2"/>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Style w:val="93"/>
                <w:rFonts w:hint="eastAsia" w:cs="Times New Roman"/>
                <w:bCs/>
                <w:color w:val="auto"/>
                <w:sz w:val="21"/>
                <w:szCs w:val="21"/>
                <w:lang w:val="en-US" w:eastAsia="zh-CN" w:bidi="ar"/>
              </w:rPr>
            </w:pPr>
            <w:r>
              <w:rPr>
                <w:rStyle w:val="93"/>
                <w:rFonts w:hint="default" w:ascii="Times New Roman" w:hAnsi="Times New Roman" w:eastAsia="宋体" w:cs="Times New Roman"/>
                <w:bCs/>
                <w:sz w:val="21"/>
                <w:szCs w:val="21"/>
                <w:lang w:val="en-US" w:eastAsia="zh-CN" w:bidi="ar"/>
              </w:rPr>
              <w:t>G1</w:t>
            </w:r>
            <w:r>
              <w:rPr>
                <w:rStyle w:val="93"/>
                <w:rFonts w:hint="eastAsia" w:cs="Times New Roman"/>
                <w:bCs/>
                <w:color w:val="auto"/>
                <w:sz w:val="21"/>
                <w:szCs w:val="21"/>
                <w:lang w:val="en-US" w:eastAsia="zh-CN" w:bidi="ar"/>
              </w:rPr>
              <w:t>出口</w:t>
            </w:r>
          </w:p>
          <w:p>
            <w:pPr>
              <w:keepNext w:val="0"/>
              <w:keepLines w:val="0"/>
              <w:widowControl/>
              <w:suppressLineNumbers w:val="0"/>
              <w:spacing w:line="240" w:lineRule="auto"/>
              <w:ind w:left="0" w:leftChars="0" w:firstLine="0" w:firstLineChars="0"/>
              <w:jc w:val="center"/>
              <w:textAlignment w:val="center"/>
              <w:rPr>
                <w:rStyle w:val="93"/>
                <w:rFonts w:hint="default" w:cs="Times New Roman"/>
                <w:bCs/>
                <w:sz w:val="21"/>
                <w:szCs w:val="21"/>
                <w:lang w:val="en-US" w:eastAsia="zh-CN" w:bidi="ar"/>
              </w:rPr>
            </w:pPr>
            <w:r>
              <w:rPr>
                <w:rStyle w:val="93"/>
                <w:rFonts w:hint="default" w:cs="Times New Roman"/>
                <w:bCs/>
                <w:color w:val="auto"/>
                <w:sz w:val="21"/>
                <w:szCs w:val="21"/>
                <w:lang w:val="en-US" w:eastAsia="zh-CN" w:bidi="ar"/>
              </w:rPr>
              <w:t>DA001隧道窑烟气</w:t>
            </w:r>
            <w:r>
              <w:rPr>
                <w:rStyle w:val="93"/>
                <w:rFonts w:hint="eastAsia" w:cs="Times New Roman"/>
                <w:bCs/>
                <w:color w:val="auto"/>
                <w:sz w:val="21"/>
                <w:szCs w:val="21"/>
                <w:lang w:val="en-US" w:eastAsia="zh-CN" w:bidi="ar"/>
              </w:rPr>
              <w:t>出口</w:t>
            </w: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16.5</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18.7</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19.6</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18.3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1.5</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1.5</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1.5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w:t>
            </w:r>
            <w:r>
              <w:rPr>
                <w:rFonts w:hint="eastAsia" w:ascii="Times New Roman" w:hAnsi="Times New Roman" w:cs="Times New Roman"/>
                <w:bCs w:val="0"/>
                <w:color w:val="auto"/>
                <w:sz w:val="21"/>
                <w:szCs w:val="21"/>
                <w:highlight w:val="none"/>
                <w:lang w:val="en-US" w:eastAsia="zh-CN"/>
              </w:rPr>
              <w:t>氧</w:t>
            </w:r>
            <w:r>
              <w:rPr>
                <w:rFonts w:hint="default" w:ascii="Times New Roman" w:hAnsi="Times New Roman" w:cs="Times New Roman"/>
                <w:bCs w:val="0"/>
                <w:color w:val="auto"/>
                <w:sz w:val="21"/>
                <w:szCs w:val="21"/>
                <w:highlight w:val="none"/>
                <w:lang w:val="en-US" w:eastAsia="zh-CN"/>
              </w:rPr>
              <w:t>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000000"/>
                <w:kern w:val="0"/>
                <w:sz w:val="21"/>
                <w:szCs w:val="21"/>
                <w:u w:val="none"/>
                <w:lang w:val="en-US" w:eastAsia="zh-CN" w:bidi="ar"/>
              </w:rPr>
              <w:t>19.5</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000000"/>
                <w:kern w:val="0"/>
                <w:sz w:val="21"/>
                <w:szCs w:val="21"/>
                <w:u w:val="none"/>
                <w:lang w:val="en-US" w:eastAsia="zh-CN" w:bidi="ar"/>
              </w:rPr>
              <w:t>19.5</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000000"/>
                <w:kern w:val="0"/>
                <w:sz w:val="21"/>
                <w:szCs w:val="21"/>
                <w:u w:val="none"/>
                <w:lang w:val="en-US" w:eastAsia="zh-CN" w:bidi="ar"/>
              </w:rPr>
              <w:t>19.8</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000000"/>
                <w:kern w:val="0"/>
                <w:sz w:val="21"/>
                <w:szCs w:val="21"/>
                <w:u w:val="none"/>
                <w:lang w:val="en-US" w:eastAsia="zh-CN" w:bidi="ar"/>
              </w:rPr>
              <w:t>19.6</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bidi="ar-SA"/>
              </w:rPr>
              <w:t>m/s</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6.9 </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6.8 </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7.0 </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6.9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000000" w:themeColor="text1"/>
                <w:sz w:val="21"/>
                <w:szCs w:val="21"/>
                <w:lang w:val="en-US"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kPa</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94.08 </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94.46 </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94.46 </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94.33 </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3.76</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3.72</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ascii="Times New Roman" w:hAnsi="Times New Roman" w:cs="Times New Roman"/>
                <w:bCs w:val="0"/>
                <w:color w:val="auto"/>
                <w:sz w:val="21"/>
                <w:szCs w:val="21"/>
                <w:highlight w:val="none"/>
                <w:lang w:val="en-US" w:eastAsia="zh-CN"/>
              </w:rPr>
              <w:t>3.80</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3.76</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restart"/>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颗粒物</w:t>
            </w: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12.0</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9.2</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8.8</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10.0</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21.4</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0.376</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氨</w:t>
            </w: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1.54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2.37</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1.92</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1.94</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continue"/>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4.16</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0.073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restart"/>
            <w:tcBorders>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i w:val="0"/>
                <w:iCs w:val="0"/>
                <w:color w:val="auto"/>
                <w:kern w:val="0"/>
                <w:sz w:val="21"/>
                <w:szCs w:val="21"/>
                <w:u w:val="none"/>
                <w:lang w:val="en-US" w:eastAsia="zh-CN" w:bidi="ar"/>
              </w:rPr>
              <w:t>二氧化硫</w:t>
            </w: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＜3</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i w:val="0"/>
                <w:iCs w:val="0"/>
                <w:color w:val="auto"/>
                <w:kern w:val="0"/>
                <w:sz w:val="21"/>
                <w:szCs w:val="21"/>
                <w:u w:val="none"/>
                <w:lang w:val="en-US" w:eastAsia="zh-CN" w:bidi="ar"/>
              </w:rPr>
              <w:t>＜3</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i w:val="0"/>
                <w:iCs w:val="0"/>
                <w:color w:val="auto"/>
                <w:kern w:val="0"/>
                <w:sz w:val="21"/>
                <w:szCs w:val="21"/>
                <w:u w:val="none"/>
                <w:lang w:val="en-US" w:eastAsia="zh-CN" w:bidi="ar"/>
              </w:rPr>
              <w:t>＜3</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i w:val="0"/>
                <w:iCs w:val="0"/>
                <w:color w:val="auto"/>
                <w:kern w:val="0"/>
                <w:sz w:val="21"/>
                <w:szCs w:val="21"/>
                <w:u w:val="none"/>
                <w:lang w:val="en-US" w:eastAsia="zh-CN" w:bidi="ar"/>
              </w:rPr>
              <w:t>＜3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p>
        </w:tc>
        <w:tc>
          <w:tcPr>
            <w:tcW w:w="510" w:type="pct"/>
            <w:gridSpan w:val="3"/>
            <w:tcBorders>
              <w:top w:val="single" w:color="auto" w:sz="4" w:space="0"/>
              <w:left w:val="single" w:color="auto" w:sz="4" w:space="0"/>
              <w:right w:val="single" w:color="auto" w:sz="4" w:space="0"/>
            </w:tcBorders>
            <w:vAlign w:val="center"/>
          </w:tcPr>
          <w:p>
            <w:pPr>
              <w:pStyle w:val="92"/>
              <w:ind w:firstLine="0" w:firstLineChars="0"/>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3.2</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p>
        </w:tc>
        <w:tc>
          <w:tcPr>
            <w:tcW w:w="510" w:type="pct"/>
            <w:gridSpan w:val="3"/>
            <w:tcBorders>
              <w:top w:val="single" w:color="auto" w:sz="4" w:space="0"/>
              <w:left w:val="single" w:color="auto" w:sz="4" w:space="0"/>
              <w:right w:val="single" w:color="auto" w:sz="4" w:space="0"/>
            </w:tcBorders>
            <w:vAlign w:val="center"/>
          </w:tcPr>
          <w:p>
            <w:pPr>
              <w:pStyle w:val="92"/>
              <w:ind w:firstLine="0" w:firstLineChars="0"/>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0.056</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restart"/>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i w:val="0"/>
                <w:iCs w:val="0"/>
                <w:color w:val="auto"/>
                <w:kern w:val="0"/>
                <w:sz w:val="21"/>
                <w:szCs w:val="21"/>
                <w:u w:val="none"/>
                <w:lang w:val="en-US" w:eastAsia="zh-CN" w:bidi="ar"/>
              </w:rPr>
              <w:t>氮氧化物</w:t>
            </w:r>
          </w:p>
        </w:tc>
        <w:tc>
          <w:tcPr>
            <w:tcW w:w="510" w:type="pct"/>
            <w:gridSpan w:val="3"/>
            <w:tcBorders>
              <w:top w:val="single" w:color="auto" w:sz="4" w:space="0"/>
              <w:left w:val="single" w:color="auto" w:sz="4" w:space="0"/>
              <w:right w:val="single" w:color="auto" w:sz="4" w:space="0"/>
            </w:tcBorders>
            <w:vAlign w:val="center"/>
          </w:tcPr>
          <w:p>
            <w:pPr>
              <w:pStyle w:val="92"/>
              <w:ind w:firstLine="0" w:firstLineChars="0"/>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19</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i w:val="0"/>
                <w:iCs w:val="0"/>
                <w:color w:val="auto"/>
                <w:kern w:val="0"/>
                <w:sz w:val="21"/>
                <w:szCs w:val="21"/>
                <w:u w:val="none"/>
                <w:lang w:val="en-US" w:eastAsia="zh-CN" w:bidi="ar"/>
              </w:rPr>
              <w:t>20</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i w:val="0"/>
                <w:iCs w:val="0"/>
                <w:color w:val="auto"/>
                <w:kern w:val="0"/>
                <w:sz w:val="21"/>
                <w:szCs w:val="21"/>
                <w:u w:val="none"/>
                <w:lang w:val="en-US" w:eastAsia="zh-CN" w:bidi="ar"/>
              </w:rPr>
              <w:t>18</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19</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p>
        </w:tc>
        <w:tc>
          <w:tcPr>
            <w:tcW w:w="510" w:type="pct"/>
            <w:gridSpan w:val="3"/>
            <w:tcBorders>
              <w:top w:val="single" w:color="auto" w:sz="4" w:space="0"/>
              <w:left w:val="single" w:color="auto" w:sz="4" w:space="0"/>
              <w:right w:val="single" w:color="auto" w:sz="4" w:space="0"/>
            </w:tcBorders>
            <w:vAlign w:val="center"/>
          </w:tcPr>
          <w:p>
            <w:pPr>
              <w:pStyle w:val="92"/>
              <w:ind w:firstLine="0" w:firstLineChars="0"/>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40.7</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348" w:type="pct"/>
            <w:gridSpan w:val="2"/>
            <w:vMerge w:val="continue"/>
            <w:tcBorders>
              <w:top w:val="single" w:color="auto" w:sz="4" w:space="0"/>
              <w:left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highlight w:val="none"/>
                <w:lang w:val="en-US" w:eastAsia="zh-CN"/>
              </w:rPr>
            </w:pPr>
          </w:p>
        </w:tc>
        <w:tc>
          <w:tcPr>
            <w:tcW w:w="510" w:type="pct"/>
            <w:gridSpan w:val="3"/>
            <w:tcBorders>
              <w:top w:val="single" w:color="auto" w:sz="4" w:space="0"/>
              <w:left w:val="single" w:color="auto" w:sz="4" w:space="0"/>
              <w:right w:val="single" w:color="auto" w:sz="4" w:space="0"/>
            </w:tcBorders>
            <w:vAlign w:val="center"/>
          </w:tcPr>
          <w:p>
            <w:pPr>
              <w:pStyle w:val="92"/>
              <w:ind w:firstLine="0" w:firstLineChars="0"/>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0.714</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eastAsia" w:cs="Times New Roman"/>
                <w:bCs/>
                <w:i w:val="0"/>
                <w:iCs w:val="0"/>
                <w:color w:val="auto"/>
                <w:kern w:val="0"/>
                <w:sz w:val="21"/>
                <w:szCs w:val="21"/>
                <w:u w:val="none"/>
                <w:lang w:val="en-US" w:eastAsia="zh-CN" w:bidi="ar"/>
              </w:rPr>
              <w:t>21.2</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i w:val="0"/>
                <w:iCs w:val="0"/>
                <w:color w:val="auto"/>
                <w:kern w:val="0"/>
                <w:sz w:val="21"/>
                <w:szCs w:val="21"/>
                <w:u w:val="none"/>
                <w:lang w:val="en-US" w:eastAsia="zh-CN" w:bidi="ar"/>
              </w:rPr>
              <w:t>20.3</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i w:val="0"/>
                <w:iCs w:val="0"/>
                <w:color w:val="auto"/>
                <w:kern w:val="0"/>
                <w:sz w:val="21"/>
                <w:szCs w:val="21"/>
                <w:u w:val="none"/>
                <w:lang w:val="en-US" w:eastAsia="zh-CN" w:bidi="ar"/>
              </w:rPr>
              <w:t>19.6</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20.4</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FF"/>
                <w:kern w:val="0"/>
                <w:sz w:val="21"/>
                <w:szCs w:val="21"/>
                <w:u w:val="none"/>
                <w:lang w:val="en-US" w:eastAsia="zh-CN" w:bidi="ar"/>
              </w:rPr>
            </w:pPr>
            <w:r>
              <w:rPr>
                <w:rFonts w:hint="eastAsia" w:cs="Times New Roman"/>
                <w:bCs/>
                <w:i w:val="0"/>
                <w:iCs w:val="0"/>
                <w:color w:val="auto"/>
                <w:kern w:val="0"/>
                <w:sz w:val="21"/>
                <w:szCs w:val="21"/>
                <w:u w:val="none"/>
                <w:lang w:val="en-US" w:eastAsia="zh-CN" w:bidi="ar"/>
              </w:rPr>
              <w:t>1.4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FF"/>
                <w:kern w:val="0"/>
                <w:sz w:val="21"/>
                <w:szCs w:val="21"/>
                <w:u w:val="none"/>
                <w:lang w:val="en-US" w:eastAsia="zh-CN" w:bidi="ar"/>
              </w:rPr>
            </w:pPr>
            <w:r>
              <w:rPr>
                <w:rFonts w:hint="eastAsia" w:cs="Times New Roman"/>
                <w:bCs/>
                <w:i w:val="0"/>
                <w:iCs w:val="0"/>
                <w:color w:val="auto"/>
                <w:kern w:val="0"/>
                <w:sz w:val="21"/>
                <w:szCs w:val="21"/>
                <w:u w:val="none"/>
                <w:lang w:val="en-US" w:eastAsia="zh-CN" w:bidi="ar"/>
              </w:rPr>
              <w:t>1.4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0000FF"/>
                <w:kern w:val="0"/>
                <w:sz w:val="21"/>
                <w:szCs w:val="21"/>
                <w:u w:val="none"/>
                <w:lang w:val="en-US" w:eastAsia="zh-CN" w:bidi="ar"/>
              </w:rPr>
            </w:pPr>
            <w:r>
              <w:rPr>
                <w:rFonts w:hint="eastAsia" w:cs="Times New Roman"/>
                <w:bCs/>
                <w:i w:val="0"/>
                <w:iCs w:val="0"/>
                <w:color w:val="auto"/>
                <w:kern w:val="0"/>
                <w:sz w:val="21"/>
                <w:szCs w:val="21"/>
                <w:u w:val="none"/>
                <w:lang w:val="en-US" w:eastAsia="zh-CN" w:bidi="ar"/>
              </w:rPr>
              <w:t>1.5</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0000FF"/>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1.4</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00"/>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w:t>
            </w:r>
            <w:r>
              <w:rPr>
                <w:rFonts w:hint="eastAsia" w:ascii="Times New Roman" w:hAnsi="Times New Roman" w:cs="Times New Roman"/>
                <w:bCs w:val="0"/>
                <w:color w:val="auto"/>
                <w:sz w:val="21"/>
                <w:szCs w:val="21"/>
                <w:highlight w:val="none"/>
                <w:lang w:val="en-US" w:eastAsia="zh-CN"/>
              </w:rPr>
              <w:t>氧</w:t>
            </w:r>
            <w:r>
              <w:rPr>
                <w:rFonts w:hint="default" w:ascii="Times New Roman" w:hAnsi="Times New Roman" w:cs="Times New Roman"/>
                <w:bCs w:val="0"/>
                <w:color w:val="auto"/>
                <w:sz w:val="21"/>
                <w:szCs w:val="21"/>
                <w:highlight w:val="none"/>
                <w:lang w:val="en-US" w:eastAsia="zh-CN"/>
              </w:rPr>
              <w:t>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2"/>
                <w:sz w:val="21"/>
                <w:szCs w:val="21"/>
                <w:lang w:val="en-US" w:eastAsia="zh-CN" w:bidi="ar-SA"/>
              </w:rPr>
              <w:t>%</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19.5</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19.5</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19.8</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19.6</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bidi="ar-SA"/>
              </w:rPr>
              <w:t>m/s</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auto"/>
                <w:kern w:val="0"/>
                <w:sz w:val="21"/>
                <w:szCs w:val="21"/>
                <w:u w:val="none"/>
                <w:lang w:val="en-US" w:eastAsia="zh-CN" w:bidi="ar"/>
              </w:rPr>
              <w:t>7.1</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auto"/>
                <w:kern w:val="0"/>
                <w:sz w:val="21"/>
                <w:szCs w:val="21"/>
                <w:u w:val="none"/>
                <w:lang w:val="en-US" w:eastAsia="zh-CN" w:bidi="ar"/>
              </w:rPr>
              <w:t>7.3</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eastAsia" w:cs="Times New Roman"/>
                <w:bCs/>
                <w:i w:val="0"/>
                <w:iCs w:val="0"/>
                <w:color w:val="auto"/>
                <w:kern w:val="0"/>
                <w:sz w:val="21"/>
                <w:szCs w:val="21"/>
                <w:u w:val="none"/>
                <w:lang w:val="en-US" w:eastAsia="zh-CN" w:bidi="ar"/>
              </w:rPr>
              <w:t>7.1</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0000FF"/>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7.2</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kPa</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94.37</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94.25</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94.16</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94.26</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3.83</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3.98</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3.83</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3.88</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4</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348" w:type="pct"/>
            <w:gridSpan w:val="2"/>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lang w:eastAsia="zh-CN"/>
              </w:rPr>
            </w:pPr>
            <w:r>
              <w:rPr>
                <w:rFonts w:hint="eastAsia" w:ascii="Times New Roman" w:hAnsi="Times New Roman" w:cs="Times New Roman"/>
                <w:bCs/>
                <w:i w:val="0"/>
                <w:iCs w:val="0"/>
                <w:color w:val="auto"/>
                <w:kern w:val="0"/>
                <w:sz w:val="21"/>
                <w:szCs w:val="21"/>
                <w:u w:val="none"/>
                <w:lang w:val="en-US" w:eastAsia="zh-CN" w:bidi="ar"/>
              </w:rPr>
              <w:t>氟化物</w:t>
            </w: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0.19</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0.11</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i w:val="0"/>
                <w:iCs w:val="0"/>
                <w:color w:val="auto"/>
                <w:kern w:val="0"/>
                <w:sz w:val="21"/>
                <w:szCs w:val="21"/>
                <w:u w:val="none"/>
                <w:lang w:val="en-US" w:eastAsia="zh-CN" w:bidi="ar"/>
              </w:rPr>
              <w:t>0.11</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0.14</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34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lang w:eastAsia="zh-CN"/>
              </w:rPr>
            </w:pP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0.30</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34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lang w:eastAsia="zh-CN"/>
              </w:rPr>
            </w:pP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5.43</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348" w:type="pct"/>
            <w:gridSpan w:val="2"/>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val="0"/>
                <w:color w:val="auto"/>
                <w:sz w:val="21"/>
                <w:szCs w:val="21"/>
                <w:lang w:eastAsia="zh-CN"/>
              </w:rPr>
            </w:pPr>
            <w:r>
              <w:rPr>
                <w:rFonts w:hint="eastAsia" w:ascii="Times New Roman" w:hAnsi="Times New Roman" w:cs="Times New Roman"/>
                <w:bCs/>
                <w:i w:val="0"/>
                <w:iCs w:val="0"/>
                <w:color w:val="auto"/>
                <w:kern w:val="0"/>
                <w:sz w:val="21"/>
                <w:szCs w:val="21"/>
                <w:u w:val="none"/>
                <w:lang w:val="en-US" w:eastAsia="zh-CN" w:bidi="ar"/>
              </w:rPr>
              <w:t>硫化氢</w:t>
            </w: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0.042</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0.043</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0.038</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0.042</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34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lang w:eastAsia="zh-CN"/>
              </w:rPr>
            </w:pP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0.090</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52" w:type="pct"/>
            <w:gridSpan w:val="3"/>
            <w:vMerge w:val="continue"/>
            <w:tcBorders>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sz w:val="21"/>
                <w:szCs w:val="21"/>
                <w:lang w:eastAsia="zh-CN"/>
              </w:rPr>
            </w:pPr>
          </w:p>
        </w:tc>
        <w:tc>
          <w:tcPr>
            <w:tcW w:w="488" w:type="pct"/>
            <w:gridSpan w:val="2"/>
            <w:vMerge w:val="continue"/>
            <w:tcBorders>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00" w:themeColor="text1"/>
                <w:sz w:val="21"/>
                <w:szCs w:val="21"/>
                <w:lang w:eastAsia="zh-CN"/>
                <w14:textFill>
                  <w14:solidFill>
                    <w14:schemeClr w14:val="tx1"/>
                  </w14:solidFill>
                </w14:textFill>
              </w:rPr>
            </w:pPr>
          </w:p>
        </w:tc>
        <w:tc>
          <w:tcPr>
            <w:tcW w:w="348"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lang w:eastAsia="zh-CN"/>
              </w:rPr>
            </w:pPr>
          </w:p>
        </w:tc>
        <w:tc>
          <w:tcPr>
            <w:tcW w:w="510" w:type="pct"/>
            <w:gridSpan w:val="3"/>
            <w:tcBorders>
              <w:top w:val="single" w:color="auto" w:sz="4" w:space="0"/>
              <w:left w:val="single" w:color="auto" w:sz="4" w:space="0"/>
              <w:bottom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45"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64"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624"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1.63</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35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539" w:hRule="atLeast"/>
          <w:jc w:val="center"/>
        </w:trPr>
        <w:tc>
          <w:tcPr>
            <w:tcW w:w="940" w:type="pct"/>
            <w:gridSpan w:val="5"/>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FF0000"/>
                <w:sz w:val="21"/>
                <w:szCs w:val="21"/>
                <w:lang w:eastAsia="zh-CN"/>
              </w:rPr>
            </w:pPr>
            <w:r>
              <w:rPr>
                <w:rFonts w:hint="eastAsia" w:ascii="Times New Roman" w:hAnsi="Times New Roman" w:cs="Times New Roman"/>
                <w:b/>
                <w:bCs w:val="0"/>
                <w:color w:val="auto"/>
                <w:sz w:val="21"/>
                <w:szCs w:val="21"/>
                <w:lang w:val="en-US" w:eastAsia="zh-CN"/>
              </w:rPr>
              <w:t>限值依据</w:t>
            </w:r>
          </w:p>
        </w:tc>
        <w:tc>
          <w:tcPr>
            <w:tcW w:w="4002" w:type="pct"/>
            <w:gridSpan w:val="25"/>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jc w:val="left"/>
              <w:rPr>
                <w:rFonts w:hint="default" w:ascii="Times New Roman" w:hAnsi="Times New Roman" w:cs="Times New Roman"/>
                <w:bCs w:val="0"/>
                <w:color w:val="FF0000"/>
                <w:sz w:val="21"/>
                <w:szCs w:val="21"/>
                <w:highlight w:val="none"/>
                <w:lang w:val="en-US" w:eastAsia="zh-CN"/>
              </w:rPr>
            </w:pPr>
            <w:r>
              <w:rPr>
                <w:rFonts w:hint="eastAsia" w:cs="Times New Roman"/>
                <w:bCs w:val="0"/>
                <w:color w:val="auto"/>
                <w:sz w:val="21"/>
                <w:szCs w:val="21"/>
                <w:highlight w:val="none"/>
                <w:lang w:val="en-US" w:eastAsia="zh-CN"/>
              </w:rPr>
              <w:t>《砖瓦工业大气污染物排放标准》（GB 29620-2013）及其修改单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539" w:hRule="atLeast"/>
          <w:jc w:val="center"/>
        </w:trPr>
        <w:tc>
          <w:tcPr>
            <w:tcW w:w="940" w:type="pct"/>
            <w:gridSpan w:val="5"/>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eastAsia" w:ascii="Times New Roman" w:hAnsi="Times New Roman" w:cs="Times New Roman"/>
                <w:b/>
                <w:bCs w:val="0"/>
                <w:color w:val="FF0000"/>
                <w:sz w:val="21"/>
                <w:szCs w:val="21"/>
                <w:lang w:val="en-US" w:eastAsia="zh-CN"/>
              </w:rPr>
            </w:pPr>
            <w:r>
              <w:rPr>
                <w:rFonts w:hint="default" w:ascii="Times New Roman" w:hAnsi="Times New Roman" w:cs="Times New Roman"/>
                <w:b/>
                <w:bCs/>
                <w:color w:val="auto"/>
                <w:sz w:val="21"/>
                <w:szCs w:val="21"/>
                <w:lang w:val="en-US" w:eastAsia="zh-CN"/>
              </w:rPr>
              <w:t>备注</w:t>
            </w:r>
          </w:p>
        </w:tc>
        <w:tc>
          <w:tcPr>
            <w:tcW w:w="4002" w:type="pct"/>
            <w:gridSpan w:val="25"/>
            <w:tcBorders>
              <w:top w:val="single" w:color="auto" w:sz="4" w:space="0"/>
              <w:left w:val="single" w:color="auto" w:sz="4" w:space="0"/>
              <w:bottom w:val="single" w:color="auto" w:sz="4" w:space="0"/>
              <w:right w:val="single" w:color="auto" w:sz="4" w:space="0"/>
            </w:tcBorders>
            <w:vAlign w:val="center"/>
          </w:tcPr>
          <w:p>
            <w:pPr>
              <w:pStyle w:val="92"/>
              <w:adjustRightInd w:val="0"/>
              <w:snapToGrid w:val="0"/>
              <w:jc w:val="left"/>
              <w:rPr>
                <w:rFonts w:hint="default" w:ascii="Times New Roman" w:hAnsi="Times New Roman" w:cs="Times New Roman"/>
                <w:bCs w:val="0"/>
                <w:color w:val="FF0000"/>
                <w:sz w:val="21"/>
                <w:szCs w:val="21"/>
                <w:lang w:val="en-US" w:eastAsia="zh-CN"/>
              </w:rPr>
            </w:pPr>
            <w:r>
              <w:rPr>
                <w:rFonts w:hint="eastAsia" w:ascii="Times New Roman" w:hAnsi="Times New Roman" w:cs="Times New Roman"/>
                <w:bCs w:val="0"/>
                <w:color w:val="auto"/>
                <w:kern w:val="0"/>
                <w:sz w:val="21"/>
                <w:szCs w:val="21"/>
                <w:lang w:val="en-US" w:eastAsia="zh-CN" w:bidi="ar-SA"/>
              </w:rPr>
              <w:t>在2024.01.24采样点</w:t>
            </w:r>
            <w:r>
              <w:rPr>
                <w:rStyle w:val="93"/>
                <w:rFonts w:hint="default" w:ascii="Times New Roman" w:hAnsi="Times New Roman" w:eastAsia="宋体" w:cs="Times New Roman"/>
                <w:bCs/>
                <w:color w:val="auto"/>
                <w:sz w:val="21"/>
                <w:szCs w:val="21"/>
                <w:lang w:val="en-US" w:eastAsia="zh-CN" w:bidi="ar"/>
              </w:rPr>
              <w:t>G1</w:t>
            </w:r>
            <w:r>
              <w:rPr>
                <w:rStyle w:val="93"/>
                <w:rFonts w:hint="eastAsia" w:cs="Times New Roman"/>
                <w:bCs/>
                <w:color w:val="auto"/>
                <w:sz w:val="21"/>
                <w:szCs w:val="21"/>
                <w:lang w:val="en-US" w:eastAsia="zh-CN" w:bidi="ar"/>
              </w:rPr>
              <w:t>进</w:t>
            </w:r>
            <w:r>
              <w:rPr>
                <w:rStyle w:val="93"/>
                <w:rFonts w:hint="default" w:ascii="Times New Roman" w:hAnsi="Times New Roman" w:eastAsia="宋体" w:cs="Times New Roman"/>
                <w:bCs/>
                <w:color w:val="auto"/>
                <w:sz w:val="21"/>
                <w:szCs w:val="21"/>
                <w:lang w:val="en-US" w:eastAsia="zh-CN" w:bidi="ar"/>
              </w:rPr>
              <w:t>口</w:t>
            </w:r>
            <w:r>
              <w:rPr>
                <w:rFonts w:hint="default" w:ascii="Times New Roman" w:hAnsi="Times New Roman" w:cs="Times New Roman"/>
                <w:bCs w:val="0"/>
                <w:color w:val="auto"/>
                <w:kern w:val="0"/>
                <w:sz w:val="21"/>
                <w:szCs w:val="21"/>
                <w:lang w:val="en-US" w:eastAsia="zh-CN"/>
              </w:rPr>
              <w:t>监测项目样品编号依次为</w:t>
            </w:r>
            <w:r>
              <w:rPr>
                <w:rFonts w:hint="default" w:ascii="Times New Roman" w:hAnsi="Times New Roman" w:cs="Times New Roman"/>
                <w:bCs w:val="0"/>
                <w:color w:val="auto"/>
                <w:sz w:val="21"/>
                <w:szCs w:val="21"/>
                <w:lang w:val="zh-CN"/>
              </w:rPr>
              <w:t>YFA2</w:t>
            </w:r>
            <w:r>
              <w:rPr>
                <w:rFonts w:hint="eastAsia" w:ascii="Times New Roman" w:hAnsi="Times New Roman" w:cs="Times New Roman"/>
                <w:bCs w:val="0"/>
                <w:color w:val="auto"/>
                <w:sz w:val="21"/>
                <w:szCs w:val="21"/>
                <w:lang w:val="en-US" w:eastAsia="zh-CN"/>
              </w:rPr>
              <w:t>4010801</w:t>
            </w:r>
            <w:r>
              <w:rPr>
                <w:rFonts w:hint="default" w:ascii="Times New Roman" w:hAnsi="Times New Roman" w:cs="Times New Roman"/>
                <w:bCs w:val="0"/>
                <w:color w:val="auto"/>
                <w:sz w:val="21"/>
                <w:szCs w:val="21"/>
                <w:lang w:val="en-US" w:eastAsia="zh-CN"/>
              </w:rPr>
              <w:t>-</w:t>
            </w:r>
            <w:r>
              <w:rPr>
                <w:rFonts w:hint="default" w:ascii="Times New Roman" w:hAnsi="Times New Roman" w:cs="Times New Roman"/>
                <w:bCs w:val="0"/>
                <w:color w:val="auto"/>
                <w:kern w:val="0"/>
                <w:sz w:val="21"/>
                <w:szCs w:val="21"/>
                <w:lang w:val="en-US" w:eastAsia="zh-CN"/>
              </w:rPr>
              <w:t>G0</w:t>
            </w:r>
            <w:r>
              <w:rPr>
                <w:rFonts w:hint="eastAsia" w:ascii="Times New Roman" w:hAnsi="Times New Roman" w:cs="Times New Roman"/>
                <w:bCs w:val="0"/>
                <w:color w:val="auto"/>
                <w:kern w:val="0"/>
                <w:sz w:val="21"/>
                <w:szCs w:val="21"/>
                <w:lang w:val="en-US" w:eastAsia="zh-CN"/>
              </w:rPr>
              <w:t>31</w:t>
            </w:r>
            <w:r>
              <w:rPr>
                <w:rFonts w:hint="default" w:ascii="Times New Roman" w:hAnsi="Times New Roman" w:cs="Times New Roman"/>
                <w:bCs w:val="0"/>
                <w:color w:val="auto"/>
                <w:kern w:val="0"/>
                <w:sz w:val="21"/>
                <w:szCs w:val="21"/>
                <w:lang w:val="en-US" w:eastAsia="zh-CN"/>
              </w:rPr>
              <w:t>~G0</w:t>
            </w:r>
            <w:r>
              <w:rPr>
                <w:rFonts w:hint="eastAsia" w:ascii="Times New Roman" w:hAnsi="Times New Roman" w:cs="Times New Roman"/>
                <w:bCs w:val="0"/>
                <w:color w:val="auto"/>
                <w:kern w:val="0"/>
                <w:sz w:val="21"/>
                <w:szCs w:val="21"/>
                <w:lang w:val="en-US" w:eastAsia="zh-CN"/>
              </w:rPr>
              <w:t>51</w:t>
            </w:r>
            <w:r>
              <w:rPr>
                <w:rFonts w:hint="default" w:ascii="Times New Roman" w:hAnsi="Times New Roman" w:cs="Times New Roman"/>
                <w:bCs w:val="0"/>
                <w:color w:val="auto"/>
                <w:kern w:val="0"/>
                <w:sz w:val="21"/>
                <w:szCs w:val="21"/>
                <w:lang w:val="en-US" w:eastAsia="zh-CN"/>
              </w:rPr>
              <w:t>；</w:t>
            </w:r>
            <w:r>
              <w:rPr>
                <w:rStyle w:val="93"/>
                <w:rFonts w:hint="default" w:ascii="Times New Roman" w:hAnsi="Times New Roman" w:eastAsia="宋体" w:cs="Times New Roman"/>
                <w:bCs/>
                <w:color w:val="auto"/>
                <w:sz w:val="21"/>
                <w:szCs w:val="21"/>
                <w:lang w:val="en-US" w:eastAsia="zh-CN" w:bidi="ar"/>
              </w:rPr>
              <w:t>G1</w:t>
            </w:r>
            <w:r>
              <w:rPr>
                <w:rFonts w:hint="default" w:ascii="Times New Roman" w:hAnsi="Times New Roman" w:cs="Times New Roman"/>
                <w:bCs w:val="0"/>
                <w:color w:val="auto"/>
                <w:kern w:val="0"/>
                <w:sz w:val="21"/>
                <w:szCs w:val="21"/>
                <w:lang w:val="en-US" w:eastAsia="zh-CN" w:bidi="ar-SA"/>
              </w:rPr>
              <w:t>出</w:t>
            </w:r>
            <w:r>
              <w:rPr>
                <w:rFonts w:hint="default" w:ascii="Times New Roman" w:hAnsi="Times New Roman" w:eastAsia="宋体" w:cs="Times New Roman"/>
                <w:bCs w:val="0"/>
                <w:color w:val="auto"/>
                <w:kern w:val="0"/>
                <w:sz w:val="21"/>
                <w:szCs w:val="21"/>
                <w:lang w:val="en-US" w:eastAsia="zh-CN" w:bidi="ar-SA"/>
              </w:rPr>
              <w:t>口</w:t>
            </w:r>
            <w:r>
              <w:rPr>
                <w:rFonts w:hint="default" w:ascii="Times New Roman" w:hAnsi="Times New Roman" w:cs="Times New Roman"/>
                <w:bCs w:val="0"/>
                <w:color w:val="auto"/>
                <w:kern w:val="0"/>
                <w:sz w:val="21"/>
                <w:szCs w:val="21"/>
                <w:lang w:val="en-US" w:eastAsia="zh-CN"/>
              </w:rPr>
              <w:t>监测项目样品编号依次为</w:t>
            </w:r>
            <w:r>
              <w:rPr>
                <w:rFonts w:hint="default" w:ascii="Times New Roman" w:hAnsi="Times New Roman" w:cs="Times New Roman"/>
                <w:bCs w:val="0"/>
                <w:color w:val="auto"/>
                <w:sz w:val="21"/>
                <w:szCs w:val="21"/>
                <w:lang w:val="zh-CN"/>
              </w:rPr>
              <w:t>YFA2</w:t>
            </w:r>
            <w:r>
              <w:rPr>
                <w:rFonts w:hint="eastAsia" w:ascii="Times New Roman" w:hAnsi="Times New Roman" w:cs="Times New Roman"/>
                <w:bCs w:val="0"/>
                <w:color w:val="auto"/>
                <w:sz w:val="21"/>
                <w:szCs w:val="21"/>
                <w:lang w:val="en-US" w:eastAsia="zh-CN"/>
              </w:rPr>
              <w:t>4010801</w:t>
            </w:r>
            <w:r>
              <w:rPr>
                <w:rFonts w:hint="default" w:ascii="Times New Roman" w:hAnsi="Times New Roman" w:cs="Times New Roman"/>
                <w:bCs w:val="0"/>
                <w:color w:val="auto"/>
                <w:sz w:val="21"/>
                <w:szCs w:val="21"/>
                <w:lang w:val="en-US" w:eastAsia="zh-CN"/>
              </w:rPr>
              <w:t>-</w:t>
            </w:r>
            <w:r>
              <w:rPr>
                <w:rFonts w:hint="default" w:ascii="Times New Roman" w:hAnsi="Times New Roman" w:cs="Times New Roman"/>
                <w:bCs w:val="0"/>
                <w:color w:val="auto"/>
                <w:kern w:val="0"/>
                <w:sz w:val="21"/>
                <w:szCs w:val="21"/>
                <w:lang w:val="en-US" w:eastAsia="zh-CN"/>
              </w:rPr>
              <w:t>G0</w:t>
            </w:r>
            <w:r>
              <w:rPr>
                <w:rFonts w:hint="eastAsia" w:ascii="Times New Roman" w:hAnsi="Times New Roman" w:cs="Times New Roman"/>
                <w:bCs w:val="0"/>
                <w:color w:val="auto"/>
                <w:kern w:val="0"/>
                <w:sz w:val="21"/>
                <w:szCs w:val="21"/>
                <w:lang w:val="en-US" w:eastAsia="zh-CN"/>
              </w:rPr>
              <w:t>91</w:t>
            </w:r>
            <w:r>
              <w:rPr>
                <w:rFonts w:hint="default" w:ascii="Times New Roman" w:hAnsi="Times New Roman" w:cs="Times New Roman"/>
                <w:bCs w:val="0"/>
                <w:color w:val="auto"/>
                <w:kern w:val="0"/>
                <w:sz w:val="21"/>
                <w:szCs w:val="21"/>
                <w:lang w:val="en-US" w:eastAsia="zh-CN"/>
              </w:rPr>
              <w:t>~G</w:t>
            </w:r>
            <w:r>
              <w:rPr>
                <w:rFonts w:hint="eastAsia" w:ascii="Times New Roman" w:hAnsi="Times New Roman" w:cs="Times New Roman"/>
                <w:bCs w:val="0"/>
                <w:color w:val="auto"/>
                <w:kern w:val="0"/>
                <w:sz w:val="21"/>
                <w:szCs w:val="21"/>
                <w:lang w:val="en-US" w:eastAsia="zh-CN"/>
              </w:rPr>
              <w:t>117</w:t>
            </w:r>
            <w:r>
              <w:rPr>
                <w:rFonts w:hint="default" w:ascii="Times New Roman" w:hAnsi="Times New Roman" w:cs="Times New Roman"/>
                <w:bCs w:val="0"/>
                <w:color w:val="auto"/>
                <w:kern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482" w:hRule="atLeast"/>
          <w:tblHeader/>
          <w:jc w:val="center"/>
        </w:trPr>
        <w:tc>
          <w:tcPr>
            <w:tcW w:w="1198"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监测点位</w:t>
            </w:r>
          </w:p>
        </w:tc>
        <w:tc>
          <w:tcPr>
            <w:tcW w:w="1601" w:type="pct"/>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lang w:val="en-US" w:eastAsia="zh-CN"/>
              </w:rPr>
            </w:pPr>
            <w:r>
              <w:rPr>
                <w:rStyle w:val="93"/>
                <w:rFonts w:hint="default" w:ascii="Times New Roman" w:hAnsi="Times New Roman" w:eastAsia="宋体" w:cs="Times New Roman"/>
                <w:bCs/>
                <w:color w:val="auto"/>
                <w:sz w:val="21"/>
                <w:szCs w:val="21"/>
                <w:lang w:val="en-US" w:eastAsia="zh-CN" w:bidi="ar"/>
              </w:rPr>
              <w:t>G2油烟DA003食堂油烟出口</w:t>
            </w:r>
          </w:p>
        </w:tc>
        <w:tc>
          <w:tcPr>
            <w:tcW w:w="1098"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lang w:val="en-US" w:eastAsia="zh-CN"/>
              </w:rPr>
            </w:pPr>
            <w:r>
              <w:rPr>
                <w:rFonts w:hint="eastAsia" w:cs="Times New Roman"/>
                <w:b/>
                <w:bCs w:val="0"/>
                <w:color w:val="auto"/>
                <w:sz w:val="21"/>
                <w:szCs w:val="21"/>
                <w:lang w:val="en-US" w:eastAsia="zh-CN"/>
              </w:rPr>
              <w:t>折算灶头数</w:t>
            </w:r>
          </w:p>
        </w:tc>
        <w:tc>
          <w:tcPr>
            <w:tcW w:w="10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482" w:hRule="atLeast"/>
          <w:tblHeader/>
          <w:jc w:val="center"/>
        </w:trPr>
        <w:tc>
          <w:tcPr>
            <w:tcW w:w="1198"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排气筒高度（m）</w:t>
            </w:r>
          </w:p>
        </w:tc>
        <w:tc>
          <w:tcPr>
            <w:tcW w:w="1601" w:type="pct"/>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w:t>
            </w:r>
          </w:p>
        </w:tc>
        <w:tc>
          <w:tcPr>
            <w:tcW w:w="1098"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FF"/>
                <w:sz w:val="21"/>
                <w:szCs w:val="21"/>
                <w:lang w:val="en-US" w:eastAsia="zh-CN"/>
              </w:rPr>
            </w:pPr>
            <w:r>
              <w:rPr>
                <w:rFonts w:hint="default" w:ascii="Times New Roman" w:hAnsi="Times New Roman" w:cs="Times New Roman"/>
                <w:b/>
                <w:bCs w:val="0"/>
                <w:color w:val="auto"/>
                <w:sz w:val="21"/>
                <w:szCs w:val="21"/>
                <w:lang w:val="en-US" w:eastAsia="zh-CN"/>
              </w:rPr>
              <w:t>横截面积（m</w:t>
            </w:r>
            <w:r>
              <w:rPr>
                <w:rFonts w:hint="default" w:ascii="Times New Roman" w:hAnsi="Times New Roman" w:cs="Times New Roman"/>
                <w:b/>
                <w:bCs w:val="0"/>
                <w:color w:val="auto"/>
                <w:sz w:val="21"/>
                <w:szCs w:val="21"/>
                <w:vertAlign w:val="superscript"/>
                <w:lang w:val="en-US" w:eastAsia="zh-CN"/>
              </w:rPr>
              <w:t>2</w:t>
            </w:r>
            <w:r>
              <w:rPr>
                <w:rFonts w:hint="default" w:ascii="Times New Roman" w:hAnsi="Times New Roman" w:cs="Times New Roman"/>
                <w:b/>
                <w:bCs w:val="0"/>
                <w:color w:val="auto"/>
                <w:sz w:val="21"/>
                <w:szCs w:val="21"/>
                <w:lang w:val="en-US" w:eastAsia="zh-CN"/>
              </w:rPr>
              <w:t>）</w:t>
            </w:r>
          </w:p>
        </w:tc>
        <w:tc>
          <w:tcPr>
            <w:tcW w:w="10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0.0576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482" w:hRule="atLeast"/>
          <w:tblHeader/>
          <w:jc w:val="center"/>
        </w:trPr>
        <w:tc>
          <w:tcPr>
            <w:tcW w:w="1198"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处理设施</w:t>
            </w:r>
          </w:p>
        </w:tc>
        <w:tc>
          <w:tcPr>
            <w:tcW w:w="1601" w:type="pct"/>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Cs w:val="0"/>
                <w:color w:val="auto"/>
                <w:sz w:val="21"/>
                <w:szCs w:val="21"/>
                <w:lang w:val="en-US" w:eastAsia="zh-CN"/>
              </w:rPr>
              <w:t>油烟净化器</w:t>
            </w:r>
          </w:p>
        </w:tc>
        <w:tc>
          <w:tcPr>
            <w:tcW w:w="1098"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0000FF"/>
                <w:sz w:val="21"/>
                <w:szCs w:val="21"/>
                <w:lang w:val="en-US" w:eastAsia="zh-CN"/>
              </w:rPr>
            </w:pPr>
            <w:r>
              <w:rPr>
                <w:rFonts w:hint="default" w:ascii="Times New Roman" w:hAnsi="Times New Roman" w:cs="Times New Roman"/>
                <w:b/>
                <w:bCs w:val="0"/>
                <w:sz w:val="21"/>
                <w:szCs w:val="21"/>
                <w:lang w:val="en-US" w:eastAsia="zh-CN"/>
              </w:rPr>
              <w:t>处理设施型号</w:t>
            </w:r>
          </w:p>
        </w:tc>
        <w:tc>
          <w:tcPr>
            <w:tcW w:w="1045"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482" w:hRule="atLeast"/>
          <w:tblHeader/>
          <w:jc w:val="center"/>
        </w:trPr>
        <w:tc>
          <w:tcPr>
            <w:tcW w:w="449" w:type="pct"/>
            <w:gridSpan w:val="2"/>
            <w:vMerge w:val="restart"/>
            <w:tcBorders>
              <w:top w:val="single" w:color="auto" w:sz="4" w:space="0"/>
              <w:left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eastAsia"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监测</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val="0"/>
                <w:sz w:val="21"/>
                <w:szCs w:val="21"/>
                <w:lang w:val="en-US" w:eastAsia="zh-CN"/>
              </w:rPr>
              <w:t>日期</w:t>
            </w:r>
          </w:p>
        </w:tc>
        <w:tc>
          <w:tcPr>
            <w:tcW w:w="748" w:type="pct"/>
            <w:gridSpan w:val="4"/>
            <w:vMerge w:val="restart"/>
            <w:tcBorders>
              <w:top w:val="single" w:color="auto" w:sz="4" w:space="0"/>
              <w:left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lang w:eastAsia="zh-CN"/>
              </w:rPr>
              <w:t>监测项目</w:t>
            </w:r>
          </w:p>
        </w:tc>
        <w:tc>
          <w:tcPr>
            <w:tcW w:w="431" w:type="pct"/>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lang w:eastAsia="zh-CN"/>
              </w:rPr>
              <w:t>单位</w:t>
            </w:r>
          </w:p>
        </w:tc>
        <w:tc>
          <w:tcPr>
            <w:tcW w:w="2961" w:type="pct"/>
            <w:gridSpan w:val="2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监测结果</w:t>
            </w:r>
          </w:p>
        </w:tc>
        <w:tc>
          <w:tcPr>
            <w:tcW w:w="352" w:type="pct"/>
            <w:vMerge w:val="restart"/>
            <w:tcBorders>
              <w:top w:val="single" w:color="auto" w:sz="4" w:space="0"/>
              <w:left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eastAsia" w:cs="Times New Roman"/>
                <w:b/>
                <w:bCs/>
                <w:color w:val="auto"/>
                <w:kern w:val="0"/>
                <w:sz w:val="21"/>
                <w:szCs w:val="21"/>
                <w:lang w:val="en-US" w:eastAsia="zh-CN"/>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cantSplit/>
          <w:trHeight w:val="454" w:hRule="atLeast"/>
          <w:tblHeader/>
          <w:jc w:val="center"/>
        </w:trPr>
        <w:tc>
          <w:tcPr>
            <w:tcW w:w="449" w:type="pct"/>
            <w:gridSpan w:val="2"/>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sz w:val="21"/>
                <w:szCs w:val="21"/>
              </w:rPr>
            </w:pPr>
          </w:p>
        </w:tc>
        <w:tc>
          <w:tcPr>
            <w:tcW w:w="748" w:type="pct"/>
            <w:gridSpan w:val="4"/>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sz w:val="21"/>
                <w:szCs w:val="21"/>
              </w:rPr>
            </w:pPr>
          </w:p>
        </w:tc>
        <w:tc>
          <w:tcPr>
            <w:tcW w:w="431"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sz w:val="21"/>
                <w:szCs w:val="21"/>
              </w:rPr>
            </w:pPr>
          </w:p>
        </w:tc>
        <w:tc>
          <w:tcPr>
            <w:tcW w:w="477"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kern w:val="0"/>
                <w:sz w:val="21"/>
                <w:szCs w:val="21"/>
                <w:lang w:val="en-US" w:eastAsia="zh-CN"/>
              </w:rPr>
              <w:t>第一次</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第二次</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第三次</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第</w:t>
            </w:r>
            <w:r>
              <w:rPr>
                <w:rFonts w:hint="eastAsia" w:ascii="Times New Roman" w:hAnsi="Times New Roman" w:cs="Times New Roman"/>
                <w:b/>
                <w:bCs/>
                <w:color w:val="auto"/>
                <w:kern w:val="0"/>
                <w:sz w:val="21"/>
                <w:szCs w:val="21"/>
                <w:lang w:val="en-US" w:eastAsia="zh-CN"/>
              </w:rPr>
              <w:t>四次</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第</w:t>
            </w:r>
            <w:r>
              <w:rPr>
                <w:rFonts w:hint="eastAsia" w:ascii="Times New Roman" w:hAnsi="Times New Roman" w:cs="Times New Roman"/>
                <w:b/>
                <w:bCs/>
                <w:color w:val="auto"/>
                <w:kern w:val="0"/>
                <w:sz w:val="21"/>
                <w:szCs w:val="21"/>
                <w:lang w:val="en-US" w:eastAsia="zh-CN"/>
              </w:rPr>
              <w:t>五次</w:t>
            </w:r>
          </w:p>
        </w:tc>
        <w:tc>
          <w:tcPr>
            <w:tcW w:w="47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平均值</w:t>
            </w:r>
          </w:p>
        </w:tc>
        <w:tc>
          <w:tcPr>
            <w:tcW w:w="352" w:type="pct"/>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eastAsia" w:cs="Times New Roman"/>
                <w:bCs w:val="0"/>
                <w:color w:val="auto"/>
                <w:sz w:val="21"/>
                <w:szCs w:val="21"/>
                <w:lang w:val="en-US" w:eastAsia="zh-CN"/>
              </w:rPr>
            </w:pPr>
            <w:r>
              <w:rPr>
                <w:rFonts w:hint="eastAsia" w:cs="Times New Roman"/>
                <w:bCs w:val="0"/>
                <w:color w:val="auto"/>
                <w:sz w:val="21"/>
                <w:szCs w:val="21"/>
                <w:lang w:val="en-US" w:eastAsia="zh-CN"/>
              </w:rPr>
              <w:t>2024.</w:t>
            </w: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eastAsia" w:cs="Times New Roman"/>
                <w:bCs w:val="0"/>
                <w:color w:val="auto"/>
                <w:sz w:val="21"/>
                <w:szCs w:val="21"/>
                <w:lang w:val="en-US" w:eastAsia="zh-CN"/>
              </w:rPr>
              <w:t>01.23</w:t>
            </w:r>
          </w:p>
        </w:tc>
        <w:tc>
          <w:tcPr>
            <w:tcW w:w="748" w:type="pct"/>
            <w:gridSpan w:val="4"/>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bidi="ar-SA"/>
              </w:rPr>
              <w:t>℃</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14.2</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14.9</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15.5</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15.8</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16.3</w:t>
            </w:r>
          </w:p>
        </w:tc>
        <w:tc>
          <w:tcPr>
            <w:tcW w:w="47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15.3</w:t>
            </w:r>
          </w:p>
        </w:tc>
        <w:tc>
          <w:tcPr>
            <w:tcW w:w="35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p>
        </w:tc>
        <w:tc>
          <w:tcPr>
            <w:tcW w:w="748" w:type="pct"/>
            <w:gridSpan w:val="4"/>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流速</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bidi="ar-SA"/>
              </w:rPr>
              <w:t>m/s</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3.7</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2.4</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2.4</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5.0</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4.0</w:t>
            </w:r>
          </w:p>
        </w:tc>
        <w:tc>
          <w:tcPr>
            <w:tcW w:w="47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3.5</w:t>
            </w:r>
          </w:p>
        </w:tc>
        <w:tc>
          <w:tcPr>
            <w:tcW w:w="35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eastAsia="宋体" w:cs="Times New Roman"/>
                <w:bCs w:val="0"/>
                <w:color w:val="auto"/>
                <w:sz w:val="21"/>
                <w:szCs w:val="21"/>
                <w:highlight w:val="none"/>
                <w:lang w:val="en-US" w:eastAsia="zh-CN"/>
              </w:rPr>
            </w:pPr>
          </w:p>
        </w:tc>
        <w:tc>
          <w:tcPr>
            <w:tcW w:w="748" w:type="pct"/>
            <w:gridSpan w:val="4"/>
            <w:tcBorders>
              <w:left w:val="single" w:color="auto" w:sz="4" w:space="0"/>
              <w:right w:val="single" w:color="auto" w:sz="4" w:space="0"/>
            </w:tcBorders>
            <w:vAlign w:val="center"/>
          </w:tcPr>
          <w:p>
            <w:pPr>
              <w:pStyle w:val="92"/>
              <w:ind w:firstLine="0" w:firstLineChars="0"/>
              <w:jc w:val="center"/>
              <w:rPr>
                <w:rFonts w:hint="eastAsia" w:ascii="Times New Roman" w:hAnsi="Times New Roman"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实测</w:t>
            </w:r>
            <w:r>
              <w:rPr>
                <w:rFonts w:hint="default" w:ascii="Times New Roman" w:hAnsi="Times New Roman" w:cs="Times New Roman"/>
                <w:bCs w:val="0"/>
                <w:color w:val="auto"/>
                <w:sz w:val="21"/>
                <w:szCs w:val="21"/>
                <w:lang w:val="en-US" w:eastAsia="zh-CN"/>
              </w:rPr>
              <w:t>流量</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767</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498</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498</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1.04×</w:t>
            </w:r>
            <w:r>
              <w:rPr>
                <w:rFonts w:hint="eastAsia"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829</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726</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rPr>
                <w:rFonts w:hint="eastAsia" w:ascii="Times New Roman" w:hAnsi="Times New Roman" w:eastAsia="宋体" w:cs="Times New Roman"/>
                <w:bCs w:val="0"/>
                <w:color w:val="auto"/>
                <w:sz w:val="21"/>
                <w:szCs w:val="21"/>
                <w:highlight w:val="none"/>
                <w:lang w:val="en-US" w:eastAsia="zh-CN"/>
              </w:rPr>
            </w:pPr>
          </w:p>
        </w:tc>
        <w:tc>
          <w:tcPr>
            <w:tcW w:w="382" w:type="pct"/>
            <w:gridSpan w:val="2"/>
            <w:vMerge w:val="restart"/>
            <w:tcBorders>
              <w:left w:val="single" w:color="auto" w:sz="4" w:space="0"/>
              <w:right w:val="single" w:color="auto" w:sz="4" w:space="0"/>
            </w:tcBorders>
            <w:vAlign w:val="center"/>
          </w:tcPr>
          <w:p>
            <w:pPr>
              <w:pStyle w:val="92"/>
              <w:ind w:firstLine="0" w:firstLineChars="0"/>
              <w:rPr>
                <w:rFonts w:hint="eastAsia" w:ascii="Times New Roman" w:hAnsi="Times New Roman"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油烟</w:t>
            </w:r>
          </w:p>
        </w:tc>
        <w:tc>
          <w:tcPr>
            <w:tcW w:w="366"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0.8</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0.8</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1.3</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0.5</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0.7</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0.8</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82"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66"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w:t>
            </w:r>
            <w:r>
              <w:rPr>
                <w:rFonts w:hint="eastAsia" w:ascii="Times New Roman" w:hAnsi="Times New Roman" w:cs="Times New Roman"/>
                <w:bCs w:val="0"/>
                <w:color w:val="auto"/>
                <w:sz w:val="21"/>
                <w:szCs w:val="21"/>
                <w:highlight w:val="none"/>
                <w:lang w:val="en-US" w:eastAsia="zh-CN"/>
              </w:rPr>
              <w:t>浓度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0.3</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82" w:type="pct"/>
            <w:gridSpan w:val="2"/>
            <w:vMerge w:val="restart"/>
            <w:tcBorders>
              <w:left w:val="single" w:color="auto" w:sz="4" w:space="0"/>
              <w:right w:val="single" w:color="auto" w:sz="4" w:space="0"/>
            </w:tcBorders>
            <w:vAlign w:val="center"/>
          </w:tcPr>
          <w:p>
            <w:pPr>
              <w:pStyle w:val="92"/>
              <w:ind w:firstLine="0" w:firstLineChars="0"/>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非甲烷总烃</w:t>
            </w:r>
          </w:p>
        </w:tc>
        <w:tc>
          <w:tcPr>
            <w:tcW w:w="366"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1.70</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1.67</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1.42</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1.42</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1.55</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82"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66"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w:t>
            </w:r>
            <w:r>
              <w:rPr>
                <w:rFonts w:hint="eastAsia" w:ascii="Times New Roman" w:hAnsi="Times New Roman" w:cs="Times New Roman"/>
                <w:bCs w:val="0"/>
                <w:color w:val="auto"/>
                <w:sz w:val="21"/>
                <w:szCs w:val="21"/>
                <w:highlight w:val="none"/>
                <w:lang w:val="en-US" w:eastAsia="zh-CN"/>
              </w:rPr>
              <w:t>浓度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0.56</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eastAsia" w:cs="Times New Roman"/>
                <w:bCs w:val="0"/>
                <w:color w:val="auto"/>
                <w:sz w:val="21"/>
                <w:szCs w:val="21"/>
                <w:lang w:val="en-US" w:eastAsia="zh-CN"/>
              </w:rPr>
            </w:pPr>
            <w:r>
              <w:rPr>
                <w:rFonts w:hint="eastAsia" w:cs="Times New Roman"/>
                <w:bCs w:val="0"/>
                <w:color w:val="auto"/>
                <w:sz w:val="21"/>
                <w:szCs w:val="21"/>
                <w:lang w:val="en-US" w:eastAsia="zh-CN"/>
              </w:rPr>
              <w:t>2024.</w:t>
            </w: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eastAsia" w:cs="Times New Roman"/>
                <w:bCs w:val="0"/>
                <w:color w:val="auto"/>
                <w:sz w:val="21"/>
                <w:szCs w:val="21"/>
                <w:lang w:val="en-US" w:eastAsia="zh-CN"/>
              </w:rPr>
              <w:t>01.24</w:t>
            </w:r>
          </w:p>
        </w:tc>
        <w:tc>
          <w:tcPr>
            <w:tcW w:w="748" w:type="pct"/>
            <w:gridSpan w:val="4"/>
            <w:tcBorders>
              <w:top w:val="single" w:color="auto" w:sz="4" w:space="0"/>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bidi="ar-SA"/>
              </w:rPr>
              <w:t>℃</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17.3</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17.5</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17.7</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17.9</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18.3</w:t>
            </w:r>
          </w:p>
        </w:tc>
        <w:tc>
          <w:tcPr>
            <w:tcW w:w="47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17.7</w:t>
            </w:r>
          </w:p>
        </w:tc>
        <w:tc>
          <w:tcPr>
            <w:tcW w:w="35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p>
        </w:tc>
        <w:tc>
          <w:tcPr>
            <w:tcW w:w="748" w:type="pct"/>
            <w:gridSpan w:val="4"/>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流速</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bidi="ar-SA"/>
              </w:rPr>
              <w:t>m/s</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4.6</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4.3</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4.7</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4.6</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4.7</w:t>
            </w:r>
          </w:p>
        </w:tc>
        <w:tc>
          <w:tcPr>
            <w:tcW w:w="47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4.6</w:t>
            </w:r>
          </w:p>
        </w:tc>
        <w:tc>
          <w:tcPr>
            <w:tcW w:w="35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eastAsia="宋体" w:cs="Times New Roman"/>
                <w:bCs w:val="0"/>
                <w:color w:val="auto"/>
                <w:sz w:val="21"/>
                <w:szCs w:val="21"/>
                <w:highlight w:val="none"/>
                <w:lang w:val="en-US" w:eastAsia="zh-CN"/>
              </w:rPr>
            </w:pPr>
          </w:p>
        </w:tc>
        <w:tc>
          <w:tcPr>
            <w:tcW w:w="748" w:type="pct"/>
            <w:gridSpan w:val="4"/>
            <w:tcBorders>
              <w:left w:val="single" w:color="auto" w:sz="4" w:space="0"/>
              <w:right w:val="single" w:color="auto" w:sz="4" w:space="0"/>
            </w:tcBorders>
            <w:vAlign w:val="center"/>
          </w:tcPr>
          <w:p>
            <w:pPr>
              <w:pStyle w:val="92"/>
              <w:ind w:firstLine="0" w:firstLineChars="0"/>
              <w:jc w:val="center"/>
              <w:rPr>
                <w:rFonts w:hint="eastAsia" w:ascii="Times New Roman" w:hAnsi="Times New Roman"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实测</w:t>
            </w:r>
            <w:r>
              <w:rPr>
                <w:rFonts w:hint="default" w:ascii="Times New Roman" w:hAnsi="Times New Roman" w:cs="Times New Roman"/>
                <w:bCs w:val="0"/>
                <w:color w:val="auto"/>
                <w:sz w:val="21"/>
                <w:szCs w:val="21"/>
                <w:lang w:val="en-US" w:eastAsia="zh-CN"/>
              </w:rPr>
              <w:t>流量</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954</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892</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974</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954</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974</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950</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rPr>
                <w:rFonts w:hint="eastAsia" w:ascii="Times New Roman" w:hAnsi="Times New Roman" w:eastAsia="宋体" w:cs="Times New Roman"/>
                <w:bCs w:val="0"/>
                <w:color w:val="auto"/>
                <w:sz w:val="21"/>
                <w:szCs w:val="21"/>
                <w:highlight w:val="none"/>
                <w:lang w:val="en-US" w:eastAsia="zh-CN"/>
              </w:rPr>
            </w:pPr>
          </w:p>
        </w:tc>
        <w:tc>
          <w:tcPr>
            <w:tcW w:w="382" w:type="pct"/>
            <w:gridSpan w:val="2"/>
            <w:vMerge w:val="restart"/>
            <w:tcBorders>
              <w:left w:val="single" w:color="auto" w:sz="4" w:space="0"/>
              <w:right w:val="single" w:color="auto" w:sz="4" w:space="0"/>
            </w:tcBorders>
            <w:vAlign w:val="center"/>
          </w:tcPr>
          <w:p>
            <w:pPr>
              <w:pStyle w:val="92"/>
              <w:ind w:firstLine="0" w:firstLineChars="0"/>
              <w:rPr>
                <w:rFonts w:hint="eastAsia" w:ascii="Times New Roman" w:hAnsi="Times New Roman"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油烟</w:t>
            </w:r>
          </w:p>
        </w:tc>
        <w:tc>
          <w:tcPr>
            <w:tcW w:w="366"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0.4</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0.7</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0.3</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0.7</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0.8</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0.6</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82"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66"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w:t>
            </w:r>
            <w:r>
              <w:rPr>
                <w:rFonts w:hint="eastAsia" w:ascii="Times New Roman" w:hAnsi="Times New Roman" w:cs="Times New Roman"/>
                <w:bCs w:val="0"/>
                <w:color w:val="auto"/>
                <w:sz w:val="21"/>
                <w:szCs w:val="21"/>
                <w:highlight w:val="none"/>
                <w:lang w:val="en-US" w:eastAsia="zh-CN"/>
              </w:rPr>
              <w:t>浓度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0.3</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82" w:type="pct"/>
            <w:gridSpan w:val="2"/>
            <w:vMerge w:val="restart"/>
            <w:tcBorders>
              <w:left w:val="single" w:color="auto" w:sz="4" w:space="0"/>
              <w:right w:val="single" w:color="auto" w:sz="4" w:space="0"/>
            </w:tcBorders>
            <w:vAlign w:val="center"/>
          </w:tcPr>
          <w:p>
            <w:pPr>
              <w:pStyle w:val="92"/>
              <w:ind w:firstLine="0" w:firstLineChars="0"/>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非甲烷总烃</w:t>
            </w:r>
          </w:p>
        </w:tc>
        <w:tc>
          <w:tcPr>
            <w:tcW w:w="366"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实测</w:t>
            </w:r>
            <w:r>
              <w:rPr>
                <w:rFonts w:hint="default" w:ascii="Times New Roman" w:hAnsi="Times New Roman" w:cs="Times New Roman"/>
                <w:bCs w:val="0"/>
                <w:color w:val="auto"/>
                <w:sz w:val="21"/>
                <w:szCs w:val="21"/>
                <w:highlight w:val="none"/>
                <w:lang w:val="en-US" w:eastAsia="zh-CN"/>
              </w:rPr>
              <w:t>浓度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1.38</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1.25</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1.30</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1.31</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1.31</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54" w:hRule="atLeast"/>
          <w:jc w:val="center"/>
        </w:trPr>
        <w:tc>
          <w:tcPr>
            <w:tcW w:w="449"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82" w:type="pct"/>
            <w:gridSpan w:val="2"/>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highlight w:val="none"/>
                <w:lang w:val="en-US" w:eastAsia="zh-CN"/>
              </w:rPr>
            </w:pPr>
          </w:p>
        </w:tc>
        <w:tc>
          <w:tcPr>
            <w:tcW w:w="366" w:type="pct"/>
            <w:gridSpan w:val="2"/>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w:t>
            </w:r>
            <w:r>
              <w:rPr>
                <w:rFonts w:hint="eastAsia" w:ascii="Times New Roman" w:hAnsi="Times New Roman" w:cs="Times New Roman"/>
                <w:bCs w:val="0"/>
                <w:color w:val="auto"/>
                <w:sz w:val="21"/>
                <w:szCs w:val="21"/>
                <w:highlight w:val="none"/>
                <w:lang w:val="en-US" w:eastAsia="zh-CN"/>
              </w:rPr>
              <w:t>浓度</w:t>
            </w:r>
          </w:p>
        </w:tc>
        <w:tc>
          <w:tcPr>
            <w:tcW w:w="431"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85"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471"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0.62</w:t>
            </w:r>
          </w:p>
        </w:tc>
        <w:tc>
          <w:tcPr>
            <w:tcW w:w="352" w:type="pct"/>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482" w:hRule="atLeast"/>
          <w:jc w:val="center"/>
        </w:trPr>
        <w:tc>
          <w:tcPr>
            <w:tcW w:w="1198" w:type="pct"/>
            <w:gridSpan w:val="6"/>
            <w:tcBorders>
              <w:left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
                <w:bCs w:val="0"/>
                <w:color w:val="auto"/>
                <w:sz w:val="21"/>
                <w:szCs w:val="21"/>
                <w:lang w:val="en-US" w:eastAsia="zh-CN"/>
              </w:rPr>
              <w:t>限值依据</w:t>
            </w:r>
          </w:p>
        </w:tc>
        <w:tc>
          <w:tcPr>
            <w:tcW w:w="3744" w:type="pct"/>
            <w:gridSpan w:val="24"/>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left"/>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《餐饮业大气污染物排放标准》（DB 50/859-2018）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6" w:type="pct"/>
          <w:trHeight w:val="565" w:hRule="atLeast"/>
          <w:jc w:val="center"/>
        </w:trPr>
        <w:tc>
          <w:tcPr>
            <w:tcW w:w="1198"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
                <w:bCs w:val="0"/>
                <w:color w:val="auto"/>
                <w:kern w:val="0"/>
                <w:sz w:val="21"/>
                <w:szCs w:val="21"/>
                <w:lang w:val="en-US" w:eastAsia="zh-CN"/>
              </w:rPr>
              <w:t>备注</w:t>
            </w:r>
          </w:p>
        </w:tc>
        <w:tc>
          <w:tcPr>
            <w:tcW w:w="3744" w:type="pct"/>
            <w:gridSpan w:val="24"/>
            <w:tcBorders>
              <w:top w:val="single" w:color="auto" w:sz="4" w:space="0"/>
              <w:left w:val="single" w:color="auto" w:sz="4" w:space="0"/>
              <w:bottom w:val="single" w:color="auto" w:sz="4" w:space="0"/>
              <w:right w:val="single" w:color="auto" w:sz="4" w:space="0"/>
            </w:tcBorders>
            <w:vAlign w:val="center"/>
          </w:tcPr>
          <w:p>
            <w:pPr>
              <w:pStyle w:val="92"/>
              <w:adjustRightInd w:val="0"/>
              <w:snapToGrid w:val="0"/>
              <w:jc w:val="left"/>
              <w:rPr>
                <w:rFonts w:hint="eastAsia" w:ascii="Times New Roman" w:hAnsi="Times New Roman" w:cs="Times New Roman"/>
                <w:bCs w:val="0"/>
                <w:color w:val="auto"/>
                <w:kern w:val="0"/>
                <w:sz w:val="21"/>
                <w:szCs w:val="21"/>
                <w:lang w:val="en-US" w:eastAsia="zh-CN"/>
              </w:rPr>
            </w:pPr>
            <w:r>
              <w:rPr>
                <w:rFonts w:hint="eastAsia" w:ascii="Times New Roman" w:hAnsi="Times New Roman" w:cs="Times New Roman"/>
                <w:bCs w:val="0"/>
                <w:color w:val="auto"/>
                <w:kern w:val="0"/>
                <w:sz w:val="21"/>
                <w:szCs w:val="21"/>
                <w:lang w:val="en-US" w:eastAsia="zh-CN"/>
              </w:rPr>
              <w:t>该点位</w:t>
            </w:r>
            <w:r>
              <w:rPr>
                <w:rFonts w:hint="default" w:ascii="Times New Roman" w:hAnsi="Times New Roman" w:cs="Times New Roman"/>
                <w:bCs w:val="0"/>
                <w:color w:val="auto"/>
                <w:kern w:val="0"/>
                <w:sz w:val="21"/>
                <w:szCs w:val="21"/>
                <w:lang w:val="en-US" w:eastAsia="zh-CN"/>
              </w:rPr>
              <w:t>监测项目样品编号依次为</w:t>
            </w:r>
            <w:r>
              <w:rPr>
                <w:rFonts w:hint="default" w:ascii="Times New Roman" w:hAnsi="Times New Roman" w:cs="Times New Roman"/>
                <w:bCs w:val="0"/>
                <w:color w:val="auto"/>
                <w:sz w:val="21"/>
                <w:szCs w:val="21"/>
                <w:lang w:val="zh-CN"/>
              </w:rPr>
              <w:t>YFA2</w:t>
            </w:r>
            <w:r>
              <w:rPr>
                <w:rFonts w:hint="eastAsia" w:ascii="Times New Roman" w:hAnsi="Times New Roman" w:cs="Times New Roman"/>
                <w:bCs w:val="0"/>
                <w:color w:val="auto"/>
                <w:sz w:val="21"/>
                <w:szCs w:val="21"/>
                <w:lang w:val="en-US" w:eastAsia="zh-CN"/>
              </w:rPr>
              <w:t>4010801</w:t>
            </w:r>
            <w:r>
              <w:rPr>
                <w:rFonts w:hint="default" w:ascii="Times New Roman" w:hAnsi="Times New Roman" w:cs="Times New Roman"/>
                <w:bCs w:val="0"/>
                <w:color w:val="auto"/>
                <w:sz w:val="21"/>
                <w:szCs w:val="21"/>
                <w:lang w:val="en-US" w:eastAsia="zh-CN"/>
              </w:rPr>
              <w:t>-</w:t>
            </w:r>
            <w:r>
              <w:rPr>
                <w:rFonts w:hint="default" w:ascii="Times New Roman" w:hAnsi="Times New Roman" w:cs="Times New Roman"/>
                <w:bCs w:val="0"/>
                <w:color w:val="auto"/>
                <w:kern w:val="0"/>
                <w:sz w:val="21"/>
                <w:szCs w:val="21"/>
                <w:lang w:val="en-US" w:eastAsia="zh-CN"/>
              </w:rPr>
              <w:t>G</w:t>
            </w:r>
            <w:r>
              <w:rPr>
                <w:rFonts w:hint="eastAsia" w:ascii="Times New Roman" w:hAnsi="Times New Roman" w:cs="Times New Roman"/>
                <w:bCs w:val="0"/>
                <w:color w:val="auto"/>
                <w:kern w:val="0"/>
                <w:sz w:val="21"/>
                <w:szCs w:val="21"/>
                <w:lang w:val="en-US" w:eastAsia="zh-CN"/>
              </w:rPr>
              <w:t>022</w:t>
            </w:r>
            <w:r>
              <w:rPr>
                <w:rFonts w:hint="default" w:ascii="Times New Roman" w:hAnsi="Times New Roman" w:cs="Times New Roman"/>
                <w:bCs w:val="0"/>
                <w:color w:val="auto"/>
                <w:kern w:val="0"/>
                <w:sz w:val="21"/>
                <w:szCs w:val="21"/>
                <w:lang w:val="en-US" w:eastAsia="zh-CN"/>
              </w:rPr>
              <w:t>~G</w:t>
            </w:r>
            <w:r>
              <w:rPr>
                <w:rFonts w:hint="eastAsia" w:ascii="Times New Roman" w:hAnsi="Times New Roman" w:cs="Times New Roman"/>
                <w:bCs w:val="0"/>
                <w:color w:val="auto"/>
                <w:kern w:val="0"/>
                <w:sz w:val="21"/>
                <w:szCs w:val="21"/>
                <w:lang w:val="en-US" w:eastAsia="zh-CN"/>
              </w:rPr>
              <w:t>030、G052~G060。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排气筒高度（m）</w:t>
            </w:r>
          </w:p>
        </w:tc>
        <w:tc>
          <w:tcPr>
            <w:tcW w:w="1415"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cs="Times New Roman"/>
                <w:b w:val="0"/>
                <w:bCs/>
                <w:color w:val="auto"/>
                <w:sz w:val="21"/>
                <w:szCs w:val="21"/>
                <w:lang w:val="en-US" w:eastAsia="zh-CN"/>
              </w:rPr>
              <w:t>15</w:t>
            </w:r>
          </w:p>
        </w:tc>
        <w:tc>
          <w:tcPr>
            <w:tcW w:w="997"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横截面积（m</w:t>
            </w:r>
            <w:r>
              <w:rPr>
                <w:rFonts w:hint="default" w:ascii="Times New Roman" w:hAnsi="Times New Roman" w:cs="Times New Roman"/>
                <w:b/>
                <w:bCs w:val="0"/>
                <w:color w:val="auto"/>
                <w:sz w:val="21"/>
                <w:szCs w:val="21"/>
                <w:vertAlign w:val="superscript"/>
                <w:lang w:val="en-US" w:eastAsia="zh-CN"/>
              </w:rPr>
              <w:t>2</w:t>
            </w:r>
            <w:r>
              <w:rPr>
                <w:rFonts w:hint="default" w:ascii="Times New Roman" w:hAnsi="Times New Roman" w:cs="Times New Roman"/>
                <w:b/>
                <w:bCs w:val="0"/>
                <w:color w:val="auto"/>
                <w:sz w:val="21"/>
                <w:szCs w:val="21"/>
                <w:lang w:val="en-US" w:eastAsia="zh-CN"/>
              </w:rPr>
              <w:t>）</w:t>
            </w:r>
          </w:p>
        </w:tc>
        <w:tc>
          <w:tcPr>
            <w:tcW w:w="1226"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0.1963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136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lang w:val="en-US" w:eastAsia="zh-CN"/>
              </w:rPr>
              <w:t>处理设施</w:t>
            </w:r>
          </w:p>
        </w:tc>
        <w:tc>
          <w:tcPr>
            <w:tcW w:w="1415"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宋体" w:hAnsi="宋体" w:cs="宋体"/>
                <w:bCs w:val="0"/>
                <w:color w:val="auto"/>
                <w:sz w:val="21"/>
                <w:szCs w:val="21"/>
                <w:lang w:val="en-US" w:eastAsia="zh-CN"/>
              </w:rPr>
              <w:t>布袋除尘</w:t>
            </w:r>
          </w:p>
        </w:tc>
        <w:tc>
          <w:tcPr>
            <w:tcW w:w="997"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eastAsia" w:cs="Times New Roman"/>
                <w:b/>
                <w:bCs w:val="0"/>
                <w:color w:val="auto"/>
                <w:sz w:val="21"/>
                <w:szCs w:val="21"/>
                <w:lang w:val="en-US" w:eastAsia="zh-CN"/>
              </w:rPr>
              <w:t>处理设施型号</w:t>
            </w:r>
          </w:p>
        </w:tc>
        <w:tc>
          <w:tcPr>
            <w:tcW w:w="1226"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440" w:type="pct"/>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采样</w:t>
            </w:r>
          </w:p>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日期</w:t>
            </w:r>
          </w:p>
        </w:tc>
        <w:tc>
          <w:tcPr>
            <w:tcW w:w="500" w:type="pct"/>
            <w:gridSpan w:val="4"/>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监测点位</w:t>
            </w:r>
          </w:p>
        </w:tc>
        <w:tc>
          <w:tcPr>
            <w:tcW w:w="859" w:type="pct"/>
            <w:gridSpan w:val="5"/>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val="0"/>
                <w:sz w:val="21"/>
                <w:szCs w:val="21"/>
                <w:lang w:eastAsia="zh-CN"/>
              </w:rPr>
              <w:t>监测项目</w:t>
            </w:r>
          </w:p>
        </w:tc>
        <w:tc>
          <w:tcPr>
            <w:tcW w:w="488" w:type="pct"/>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单位</w:t>
            </w:r>
          </w:p>
        </w:tc>
        <w:tc>
          <w:tcPr>
            <w:tcW w:w="2302" w:type="pct"/>
            <w:gridSpan w:val="1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sz w:val="21"/>
                <w:szCs w:val="21"/>
              </w:rPr>
            </w:pPr>
            <w:r>
              <w:rPr>
                <w:rFonts w:hint="default" w:ascii="Times New Roman" w:hAnsi="Times New Roman" w:cs="Times New Roman"/>
                <w:b/>
                <w:bCs w:val="0"/>
                <w:sz w:val="21"/>
                <w:szCs w:val="21"/>
              </w:rPr>
              <w:t>监测结果</w:t>
            </w:r>
          </w:p>
        </w:tc>
        <w:tc>
          <w:tcPr>
            <w:tcW w:w="409" w:type="pct"/>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1"/>
                <w:szCs w:val="21"/>
                <w:lang w:val="en-US" w:eastAsia="zh-CN"/>
              </w:rPr>
            </w:pPr>
            <w:r>
              <w:rPr>
                <w:rFonts w:hint="eastAsia" w:cs="Times New Roman"/>
                <w:b/>
                <w:bCs w:val="0"/>
                <w:sz w:val="21"/>
                <w:szCs w:val="21"/>
                <w:lang w:val="en-US" w:eastAsia="zh-CN"/>
              </w:rPr>
              <w:t>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44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500"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859" w:type="pct"/>
            <w:gridSpan w:val="5"/>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48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sz w:val="21"/>
                <w:szCs w:val="21"/>
              </w:rPr>
            </w:pPr>
          </w:p>
        </w:tc>
        <w:tc>
          <w:tcPr>
            <w:tcW w:w="553" w:type="pct"/>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kern w:val="0"/>
                <w:sz w:val="21"/>
                <w:szCs w:val="21"/>
                <w:lang w:val="en-US" w:eastAsia="zh-CN"/>
              </w:rPr>
              <w:t>第一次</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kern w:val="0"/>
                <w:sz w:val="21"/>
                <w:szCs w:val="21"/>
                <w:lang w:val="en-US" w:eastAsia="zh-CN"/>
              </w:rPr>
              <w:t>第二次</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第三次</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lang w:val="en-US" w:eastAsia="zh-CN"/>
              </w:rPr>
            </w:pPr>
            <w:r>
              <w:rPr>
                <w:rFonts w:hint="eastAsia" w:cs="Times New Roman"/>
                <w:b/>
                <w:bCs/>
                <w:color w:val="auto"/>
                <w:kern w:val="0"/>
                <w:sz w:val="21"/>
                <w:szCs w:val="21"/>
                <w:lang w:val="en-US" w:eastAsia="zh-CN"/>
              </w:rPr>
              <w:t>平均</w:t>
            </w:r>
            <w:r>
              <w:rPr>
                <w:rFonts w:hint="default" w:ascii="Times New Roman" w:hAnsi="Times New Roman" w:cs="Times New Roman"/>
                <w:b/>
                <w:bCs/>
                <w:color w:val="auto"/>
                <w:kern w:val="0"/>
                <w:sz w:val="21"/>
                <w:szCs w:val="21"/>
                <w:lang w:val="en-US" w:eastAsia="zh-CN"/>
              </w:rPr>
              <w:t>值</w:t>
            </w:r>
          </w:p>
        </w:tc>
        <w:tc>
          <w:tcPr>
            <w:tcW w:w="409" w:type="pct"/>
            <w:gridSpan w:val="2"/>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eastAsia" w:cs="Times New Roman"/>
                <w:b/>
                <w:bCs/>
                <w:color w:val="auto"/>
                <w:kern w:val="0"/>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202</w:t>
            </w:r>
            <w:r>
              <w:rPr>
                <w:rFonts w:hint="eastAsia" w:cs="Times New Roman"/>
                <w:bCs w:val="0"/>
                <w:color w:val="auto"/>
                <w:sz w:val="21"/>
                <w:szCs w:val="21"/>
                <w:lang w:val="en-US" w:eastAsia="zh-CN"/>
              </w:rPr>
              <w:t>4</w:t>
            </w:r>
            <w:r>
              <w:rPr>
                <w:rFonts w:hint="default" w:ascii="Times New Roman" w:hAnsi="Times New Roman" w:cs="Times New Roman"/>
                <w:bCs w:val="0"/>
                <w:color w:val="auto"/>
                <w:sz w:val="21"/>
                <w:szCs w:val="21"/>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eastAsia" w:cs="Times New Roman"/>
                <w:bCs w:val="0"/>
                <w:color w:val="auto"/>
                <w:sz w:val="21"/>
                <w:szCs w:val="21"/>
                <w:lang w:val="en-US" w:eastAsia="zh-CN"/>
              </w:rPr>
              <w:t>01.23</w:t>
            </w:r>
          </w:p>
        </w:tc>
        <w:tc>
          <w:tcPr>
            <w:tcW w:w="500" w:type="pct"/>
            <w:gridSpan w:val="4"/>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G3破碎</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DA002破碎筛分出口</w:t>
            </w: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bidi="ar-SA"/>
              </w:rPr>
              <w:t>℃</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11</w:t>
            </w:r>
            <w:r>
              <w:rPr>
                <w:rFonts w:hint="eastAsia" w:cs="Times New Roman"/>
                <w:bCs/>
                <w:i w:val="0"/>
                <w:iCs w:val="0"/>
                <w:color w:val="000000"/>
                <w:kern w:val="0"/>
                <w:sz w:val="21"/>
                <w:szCs w:val="21"/>
                <w:u w:val="none"/>
                <w:lang w:val="en-US" w:eastAsia="zh-CN" w:bidi="ar"/>
              </w:rPr>
              <w:t>.0</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11</w:t>
            </w:r>
            <w:r>
              <w:rPr>
                <w:rFonts w:hint="eastAsia" w:cs="Times New Roman"/>
                <w:bCs/>
                <w:i w:val="0"/>
                <w:iCs w:val="0"/>
                <w:color w:val="000000"/>
                <w:kern w:val="0"/>
                <w:sz w:val="21"/>
                <w:szCs w:val="21"/>
                <w:u w:val="none"/>
                <w:lang w:val="en-US" w:eastAsia="zh-CN" w:bidi="ar"/>
              </w:rPr>
              <w:t>.0</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10.8</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10.9 </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FF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eastAsia="zh-CN"/>
              </w:rPr>
            </w:pPr>
          </w:p>
        </w:tc>
        <w:tc>
          <w:tcPr>
            <w:tcW w:w="500" w:type="pct"/>
            <w:gridSpan w:val="4"/>
            <w:vMerge w:val="continue"/>
            <w:tcBorders>
              <w:left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i w:val="0"/>
                <w:iCs w:val="0"/>
                <w:color w:val="auto"/>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2"/>
                <w:sz w:val="21"/>
                <w:szCs w:val="21"/>
                <w:lang w:val="en-US" w:eastAsia="zh-CN" w:bidi="ar-SA"/>
              </w:rPr>
              <w:t>%</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1.1</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1.1</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1.2</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0000FF"/>
                <w:sz w:val="21"/>
                <w:szCs w:val="21"/>
                <w:highlight w:val="none"/>
                <w:lang w:val="en-US" w:eastAsia="zh-CN"/>
              </w:rPr>
            </w:pPr>
            <w:r>
              <w:rPr>
                <w:rFonts w:hint="default" w:ascii="Times New Roman" w:hAnsi="Times New Roman" w:eastAsia="宋体" w:cs="Times New Roman"/>
                <w:bCs/>
                <w:i w:val="0"/>
                <w:iCs w:val="0"/>
                <w:color w:val="000000"/>
                <w:kern w:val="0"/>
                <w:sz w:val="21"/>
                <w:szCs w:val="21"/>
                <w:u w:val="none"/>
                <w:lang w:val="en-US" w:eastAsia="zh-CN" w:bidi="ar"/>
              </w:rPr>
              <w:t xml:space="preserve">1.1 </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FF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lang w:val="en-US" w:eastAsia="zh-CN"/>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0"/>
                <w:sz w:val="21"/>
                <w:szCs w:val="21"/>
                <w:lang w:val="en-US" w:eastAsia="zh-CN" w:bidi="ar-SA"/>
              </w:rPr>
              <w:t>m/s</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5.0 </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5.0 </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4.9 </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5.0 </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FF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lang w:val="en-US" w:eastAsia="zh-CN"/>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kPa</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94.46 </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94.50 </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94.54 </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 xml:space="preserve">94.50 </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eastAsia="宋体" w:cs="Times New Roman"/>
                <w:bCs/>
                <w:i w:val="0"/>
                <w:iCs w:val="0"/>
                <w:color w:val="FF0000"/>
                <w:kern w:val="0"/>
                <w:sz w:val="21"/>
                <w:szCs w:val="21"/>
                <w:u w:val="none"/>
                <w:lang w:val="en-US" w:eastAsia="zh-CN" w:bidi="ar"/>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lang w:val="en-US" w:eastAsia="zh-CN"/>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3.11</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3.12</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3.09</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3.11</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FF0000"/>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auto"/>
                <w:kern w:val="0"/>
                <w:sz w:val="21"/>
                <w:szCs w:val="21"/>
                <w:u w:val="none"/>
                <w:lang w:val="en-US" w:eastAsia="zh-CN" w:bidi="ar"/>
              </w:rPr>
            </w:pPr>
          </w:p>
        </w:tc>
        <w:tc>
          <w:tcPr>
            <w:tcW w:w="419" w:type="pct"/>
            <w:gridSpan w:val="3"/>
            <w:vMerge w:val="restart"/>
            <w:tcBorders>
              <w:top w:val="single" w:color="auto" w:sz="4" w:space="0"/>
              <w:left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eastAsia" w:ascii="Times New Roman" w:hAnsi="Times New Roman" w:cs="Times New Roman"/>
                <w:bCs w:val="0"/>
                <w:color w:val="auto"/>
                <w:kern w:val="0"/>
                <w:szCs w:val="21"/>
                <w:lang w:val="en-US" w:eastAsia="zh-CN"/>
              </w:rPr>
            </w:pPr>
            <w:r>
              <w:rPr>
                <w:rFonts w:hint="eastAsia" w:ascii="Times New Roman" w:hAnsi="Times New Roman" w:cs="Times New Roman"/>
                <w:bCs w:val="0"/>
                <w:color w:val="auto"/>
                <w:kern w:val="0"/>
                <w:szCs w:val="21"/>
                <w:lang w:val="en-US" w:eastAsia="zh-CN"/>
              </w:rPr>
              <w:t>颗粒物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24.8</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17.1</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17.9</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19.9</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FF0000"/>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auto"/>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auto"/>
                <w:kern w:val="0"/>
                <w:sz w:val="21"/>
                <w:szCs w:val="21"/>
                <w:u w:val="none"/>
                <w:lang w:val="en-US" w:eastAsia="zh-CN" w:bidi="ar"/>
              </w:rPr>
            </w:pPr>
          </w:p>
        </w:tc>
        <w:tc>
          <w:tcPr>
            <w:tcW w:w="419" w:type="pct"/>
            <w:gridSpan w:val="3"/>
            <w:vMerge w:val="continue"/>
            <w:tcBorders>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eastAsia" w:ascii="Times New Roman" w:hAnsi="Times New Roman" w:cs="Times New Roman"/>
                <w:bCs w:val="0"/>
                <w:color w:val="auto"/>
                <w:kern w:val="0"/>
                <w:szCs w:val="21"/>
                <w:lang w:val="en-US" w:eastAsia="zh-CN"/>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0.062</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FF0000"/>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restart"/>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cs="Times New Roman"/>
                <w:bCs w:val="0"/>
                <w:color w:val="auto"/>
                <w:sz w:val="21"/>
                <w:szCs w:val="21"/>
                <w:lang w:val="en-US" w:eastAsia="zh-CN"/>
              </w:rPr>
            </w:pPr>
            <w:r>
              <w:rPr>
                <w:rFonts w:hint="default" w:ascii="Times New Roman" w:hAnsi="Times New Roman" w:cs="Times New Roman"/>
                <w:bCs w:val="0"/>
                <w:color w:val="auto"/>
                <w:sz w:val="21"/>
                <w:szCs w:val="21"/>
                <w:lang w:val="en-US" w:eastAsia="zh-CN"/>
              </w:rPr>
              <w:t>202</w:t>
            </w:r>
            <w:r>
              <w:rPr>
                <w:rFonts w:hint="eastAsia" w:cs="Times New Roman"/>
                <w:bCs w:val="0"/>
                <w:color w:val="auto"/>
                <w:sz w:val="21"/>
                <w:szCs w:val="21"/>
                <w:lang w:val="en-US" w:eastAsia="zh-CN"/>
              </w:rPr>
              <w:t>4.</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bCs w:val="0"/>
                <w:color w:val="auto"/>
                <w:sz w:val="21"/>
                <w:szCs w:val="21"/>
                <w:lang w:val="en-US" w:eastAsia="zh-CN"/>
              </w:rPr>
            </w:pPr>
            <w:r>
              <w:rPr>
                <w:rFonts w:hint="eastAsia" w:cs="Times New Roman"/>
                <w:bCs w:val="0"/>
                <w:color w:val="auto"/>
                <w:sz w:val="21"/>
                <w:szCs w:val="21"/>
                <w:lang w:val="en-US" w:eastAsia="zh-CN"/>
              </w:rPr>
              <w:t>01.24</w:t>
            </w:r>
          </w:p>
        </w:tc>
        <w:tc>
          <w:tcPr>
            <w:tcW w:w="500" w:type="pct"/>
            <w:gridSpan w:val="4"/>
            <w:vMerge w:val="restart"/>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G3破碎</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rPr>
              <w:t>DA002破碎筛分出口</w:t>
            </w: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烟气温度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bidi="ar-SA"/>
              </w:rPr>
              <w:t>℃</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13.4</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13.9</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14.9</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14.1</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FF"/>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FF"/>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含湿量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1.1</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1.1</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1.2</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1.1</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FF"/>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FF"/>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lang w:val="en-US" w:eastAsia="zh-CN"/>
              </w:rPr>
              <w:t>流速</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ind w:firstLine="0" w:firstLineChars="0"/>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bidi="ar-SA"/>
              </w:rPr>
              <w:t>m/s</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4.8</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4.9</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4.6</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4.8</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FF"/>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FF"/>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气压</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kPa</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97.00</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96.96</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94.12</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96.03</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FF"/>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FF"/>
                <w:kern w:val="0"/>
                <w:sz w:val="21"/>
                <w:szCs w:val="21"/>
                <w:u w:val="none"/>
                <w:lang w:val="en-US" w:eastAsia="zh-CN" w:bidi="ar"/>
              </w:rPr>
            </w:pPr>
          </w:p>
        </w:tc>
        <w:tc>
          <w:tcPr>
            <w:tcW w:w="859" w:type="pct"/>
            <w:gridSpan w:val="5"/>
            <w:tcBorders>
              <w:top w:val="single" w:color="auto" w:sz="4" w:space="0"/>
              <w:left w:val="single" w:color="auto" w:sz="4" w:space="0"/>
              <w:bottom w:val="single" w:color="auto" w:sz="4" w:space="0"/>
              <w:right w:val="single" w:color="auto" w:sz="4" w:space="0"/>
            </w:tcBorders>
            <w:vAlign w:val="center"/>
          </w:tcPr>
          <w:p>
            <w:pPr>
              <w:pStyle w:val="92"/>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标干流量</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r>
              <w:rPr>
                <w:rFonts w:hint="default" w:ascii="Times New Roman" w:hAnsi="Times New Roman" w:cs="Times New Roman"/>
                <w:bCs w:val="0"/>
                <w:color w:val="auto"/>
                <w:kern w:val="2"/>
                <w:sz w:val="21"/>
                <w:szCs w:val="21"/>
                <w:lang w:val="en-US" w:eastAsia="zh-CN" w:bidi="ar-SA"/>
              </w:rPr>
              <w:t>/h</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3.07</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3.11</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2.82</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3.00</w:t>
            </w:r>
            <w:r>
              <w:rPr>
                <w:rFonts w:hint="default" w:ascii="Times New Roman" w:hAnsi="Times New Roman" w:cs="Times New Roman"/>
                <w:bCs w:val="0"/>
                <w:color w:val="auto"/>
                <w:sz w:val="21"/>
                <w:szCs w:val="21"/>
                <w:highlight w:val="none"/>
                <w:lang w:val="en-US" w:eastAsia="zh-CN"/>
              </w:rPr>
              <w:t>×10</w:t>
            </w:r>
            <w:r>
              <w:rPr>
                <w:rFonts w:hint="eastAsia" w:ascii="Times New Roman" w:hAnsi="Times New Roman" w:cs="Times New Roman"/>
                <w:bCs w:val="0"/>
                <w:color w:val="auto"/>
                <w:sz w:val="21"/>
                <w:szCs w:val="21"/>
                <w:highlight w:val="none"/>
                <w:vertAlign w:val="superscript"/>
                <w:lang w:val="en-US" w:eastAsia="zh-CN"/>
              </w:rPr>
              <w:t>3</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FF"/>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i w:val="0"/>
                <w:iCs w:val="0"/>
                <w:color w:val="0000FF"/>
                <w:kern w:val="0"/>
                <w:sz w:val="21"/>
                <w:szCs w:val="21"/>
                <w:u w:val="none"/>
                <w:lang w:val="en-US" w:eastAsia="zh-CN" w:bidi="ar"/>
              </w:rPr>
            </w:pPr>
          </w:p>
        </w:tc>
        <w:tc>
          <w:tcPr>
            <w:tcW w:w="419" w:type="pct"/>
            <w:gridSpan w:val="3"/>
            <w:vMerge w:val="restart"/>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bCs/>
                <w:i w:val="0"/>
                <w:iCs w:val="0"/>
                <w:color w:val="auto"/>
                <w:kern w:val="0"/>
                <w:sz w:val="21"/>
                <w:szCs w:val="21"/>
                <w:u w:val="none"/>
                <w:lang w:val="en-US" w:eastAsia="zh-CN" w:bidi="ar"/>
              </w:rPr>
            </w:pPr>
            <w:r>
              <w:rPr>
                <w:rFonts w:hint="eastAsia" w:ascii="Times New Roman" w:hAnsi="Times New Roman" w:cs="Times New Roman"/>
                <w:bCs w:val="0"/>
                <w:color w:val="auto"/>
                <w:kern w:val="0"/>
                <w:szCs w:val="21"/>
                <w:lang w:val="en-US" w:eastAsia="zh-CN"/>
              </w:rPr>
              <w:t>颗粒物</w:t>
            </w: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排放浓度</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m</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2"/>
                <w:sz w:val="21"/>
                <w:szCs w:val="21"/>
                <w:lang w:val="en-US" w:eastAsia="zh-CN" w:bidi="ar-SA"/>
              </w:rPr>
              <w:t>m</w:t>
            </w:r>
            <w:r>
              <w:rPr>
                <w:rFonts w:hint="default" w:ascii="Times New Roman" w:hAnsi="Times New Roman" w:cs="Times New Roman"/>
                <w:bCs w:val="0"/>
                <w:color w:val="auto"/>
                <w:kern w:val="2"/>
                <w:sz w:val="21"/>
                <w:szCs w:val="21"/>
                <w:vertAlign w:val="superscript"/>
                <w:lang w:val="en-US" w:eastAsia="zh-CN" w:bidi="ar-SA"/>
              </w:rPr>
              <w:t>3</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25.9</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23.8</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19.0</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22.9</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0" w:type="pct"/>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FF"/>
                <w:sz w:val="21"/>
                <w:szCs w:val="21"/>
                <w:lang w:eastAsia="zh-CN"/>
              </w:rPr>
            </w:pPr>
          </w:p>
        </w:tc>
        <w:tc>
          <w:tcPr>
            <w:tcW w:w="500" w:type="pct"/>
            <w:gridSpan w:val="4"/>
            <w:vMerge w:val="continue"/>
            <w:tcBorders>
              <w:left w:val="single" w:color="auto" w:sz="4" w:space="0"/>
              <w:right w:val="single" w:color="auto" w:sz="4" w:space="0"/>
            </w:tcBorders>
            <w:vAlign w:val="center"/>
          </w:tcPr>
          <w:p>
            <w:pPr>
              <w:pStyle w:val="92"/>
              <w:ind w:firstLine="0" w:firstLineChars="0"/>
              <w:rPr>
                <w:rFonts w:hint="default" w:ascii="Times New Roman" w:hAnsi="Times New Roman" w:cs="Times New Roman"/>
                <w:bCs w:val="0"/>
                <w:color w:val="0000FF"/>
                <w:sz w:val="21"/>
                <w:szCs w:val="21"/>
                <w:lang w:eastAsia="zh-CN"/>
              </w:rPr>
            </w:pPr>
          </w:p>
        </w:tc>
        <w:tc>
          <w:tcPr>
            <w:tcW w:w="419" w:type="pct"/>
            <w:gridSpan w:val="3"/>
            <w:vMerge w:val="continue"/>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bCs w:val="0"/>
                <w:color w:val="auto"/>
                <w:sz w:val="21"/>
                <w:szCs w:val="21"/>
                <w:lang w:eastAsia="zh-CN"/>
              </w:rPr>
            </w:pPr>
          </w:p>
        </w:tc>
        <w:tc>
          <w:tcPr>
            <w:tcW w:w="439" w:type="pct"/>
            <w:gridSpan w:val="2"/>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排放速率</w:t>
            </w:r>
          </w:p>
        </w:tc>
        <w:tc>
          <w:tcPr>
            <w:tcW w:w="488" w:type="pct"/>
            <w:gridSpan w:val="2"/>
            <w:tcBorders>
              <w:top w:val="single" w:color="auto" w:sz="4" w:space="0"/>
              <w:left w:val="single" w:color="auto" w:sz="4" w:space="0"/>
              <w:bottom w:val="single" w:color="auto" w:sz="4" w:space="0"/>
              <w:right w:val="single" w:color="auto" w:sz="4" w:space="0"/>
            </w:tcBorders>
            <w:vAlign w:val="center"/>
          </w:tcPr>
          <w:p>
            <w:pPr>
              <w:pStyle w:val="92"/>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Cs w:val="0"/>
                <w:color w:val="auto"/>
                <w:kern w:val="0"/>
                <w:sz w:val="21"/>
                <w:szCs w:val="21"/>
                <w:lang w:val="en-US" w:eastAsia="zh-CN" w:bidi="ar-SA"/>
              </w:rPr>
            </w:pPr>
            <w:r>
              <w:rPr>
                <w:rFonts w:hint="default" w:ascii="Times New Roman" w:hAnsi="Times New Roman" w:cs="Times New Roman"/>
                <w:bCs w:val="0"/>
                <w:color w:val="auto"/>
                <w:kern w:val="0"/>
                <w:sz w:val="21"/>
                <w:szCs w:val="21"/>
                <w:lang w:val="en-US" w:eastAsia="zh-CN"/>
              </w:rPr>
              <w:t>k</w:t>
            </w:r>
            <w:r>
              <w:rPr>
                <w:rFonts w:hint="default" w:ascii="Times New Roman" w:hAnsi="Times New Roman" w:cs="Times New Roman"/>
                <w:bCs w:val="0"/>
                <w:color w:val="auto"/>
                <w:kern w:val="0"/>
                <w:sz w:val="21"/>
                <w:szCs w:val="21"/>
                <w:lang w:eastAsia="en-US"/>
              </w:rPr>
              <w:t>g</w:t>
            </w:r>
            <w:r>
              <w:rPr>
                <w:rFonts w:hint="default" w:ascii="Times New Roman" w:hAnsi="Times New Roman" w:cs="Times New Roman"/>
                <w:bCs w:val="0"/>
                <w:color w:val="auto"/>
                <w:kern w:val="0"/>
                <w:sz w:val="21"/>
                <w:szCs w:val="21"/>
                <w:lang w:val="en-US" w:eastAsia="zh-CN"/>
              </w:rPr>
              <w:t>/h</w:t>
            </w:r>
          </w:p>
        </w:tc>
        <w:tc>
          <w:tcPr>
            <w:tcW w:w="553"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77"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71"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c>
          <w:tcPr>
            <w:tcW w:w="59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default"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0.069</w:t>
            </w:r>
          </w:p>
        </w:tc>
        <w:tc>
          <w:tcPr>
            <w:tcW w:w="409" w:type="pct"/>
            <w:gridSpan w:val="2"/>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center"/>
              <w:rPr>
                <w:rFonts w:hint="eastAsia" w:ascii="Times New Roman" w:hAnsi="Times New Roman"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0" w:type="pct"/>
            <w:gridSpan w:val="5"/>
            <w:tcBorders>
              <w:left w:val="single" w:color="auto" w:sz="4" w:space="0"/>
              <w:right w:val="single" w:color="auto" w:sz="4" w:space="0"/>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bCs w:val="0"/>
                <w:color w:val="auto"/>
                <w:sz w:val="21"/>
                <w:szCs w:val="21"/>
                <w:lang w:eastAsia="zh-CN"/>
              </w:rPr>
            </w:pPr>
            <w:r>
              <w:rPr>
                <w:rFonts w:hint="eastAsia" w:ascii="Times New Roman" w:hAnsi="Times New Roman" w:cs="Times New Roman"/>
                <w:b/>
                <w:bCs w:val="0"/>
                <w:color w:val="auto"/>
                <w:sz w:val="21"/>
                <w:szCs w:val="21"/>
                <w:lang w:val="en-US" w:eastAsia="zh-CN"/>
              </w:rPr>
              <w:t>限值依据</w:t>
            </w:r>
          </w:p>
        </w:tc>
        <w:tc>
          <w:tcPr>
            <w:tcW w:w="4059" w:type="pct"/>
            <w:gridSpan w:val="2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left"/>
              <w:rPr>
                <w:rFonts w:hint="eastAsia" w:ascii="Times New Roman" w:hAnsi="Times New Roman" w:cs="Times New Roman"/>
                <w:bCs w:val="0"/>
                <w:color w:val="auto"/>
                <w:sz w:val="21"/>
                <w:szCs w:val="21"/>
                <w:highlight w:val="none"/>
                <w:lang w:val="en-US" w:eastAsia="zh-CN"/>
              </w:rPr>
            </w:pPr>
            <w:r>
              <w:rPr>
                <w:rFonts w:hint="eastAsia" w:ascii="Times New Roman" w:hAnsi="Times New Roman" w:cs="Times New Roman"/>
                <w:bCs w:val="0"/>
                <w:color w:val="auto"/>
                <w:sz w:val="21"/>
                <w:szCs w:val="21"/>
                <w:highlight w:val="none"/>
                <w:lang w:val="en-US" w:eastAsia="zh-CN"/>
              </w:rPr>
              <w:t>《砖瓦工业大气污染物排放标准》（GB 29620-2013）及其修改单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940" w:type="pct"/>
            <w:gridSpan w:val="5"/>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bCs w:val="0"/>
                <w:color w:val="auto"/>
                <w:sz w:val="21"/>
                <w:szCs w:val="21"/>
                <w:lang w:eastAsia="zh-CN"/>
              </w:rPr>
            </w:pPr>
            <w:r>
              <w:rPr>
                <w:rFonts w:hint="default" w:ascii="Times New Roman" w:hAnsi="Times New Roman" w:cs="Times New Roman"/>
                <w:b/>
                <w:bCs w:val="0"/>
                <w:color w:val="auto"/>
                <w:kern w:val="0"/>
                <w:sz w:val="21"/>
                <w:szCs w:val="21"/>
                <w:lang w:val="en-US" w:eastAsia="zh-CN"/>
              </w:rPr>
              <w:t>备注</w:t>
            </w:r>
          </w:p>
        </w:tc>
        <w:tc>
          <w:tcPr>
            <w:tcW w:w="4059" w:type="pct"/>
            <w:gridSpan w:val="26"/>
            <w:tcBorders>
              <w:top w:val="single" w:color="auto" w:sz="4" w:space="0"/>
              <w:left w:val="single" w:color="auto" w:sz="4" w:space="0"/>
              <w:bottom w:val="single" w:color="auto" w:sz="4" w:space="0"/>
              <w:right w:val="single" w:color="auto" w:sz="4" w:space="0"/>
            </w:tcBorders>
            <w:vAlign w:val="center"/>
          </w:tcPr>
          <w:p>
            <w:pPr>
              <w:pStyle w:val="92"/>
              <w:adjustRightInd w:val="0"/>
              <w:snapToGrid w:val="0"/>
              <w:spacing w:line="240" w:lineRule="auto"/>
              <w:ind w:firstLine="0" w:firstLineChars="0"/>
              <w:jc w:val="left"/>
              <w:rPr>
                <w:rFonts w:hint="eastAsia" w:ascii="Times New Roman" w:hAnsi="Times New Roman" w:cs="Times New Roman"/>
                <w:bCs w:val="0"/>
                <w:color w:val="auto"/>
                <w:kern w:val="0"/>
                <w:sz w:val="21"/>
                <w:szCs w:val="21"/>
                <w:lang w:val="en-US" w:eastAsia="zh-CN"/>
              </w:rPr>
            </w:pPr>
            <w:r>
              <w:rPr>
                <w:rFonts w:hint="default" w:ascii="Times New Roman" w:hAnsi="Times New Roman" w:cs="Times New Roman"/>
                <w:bCs w:val="0"/>
                <w:color w:val="auto"/>
                <w:kern w:val="0"/>
                <w:sz w:val="21"/>
                <w:szCs w:val="21"/>
                <w:lang w:val="en-US" w:eastAsia="zh-CN" w:bidi="ar-SA"/>
              </w:rPr>
              <w:t>该</w:t>
            </w:r>
            <w:r>
              <w:rPr>
                <w:rFonts w:hint="default" w:ascii="Times New Roman" w:hAnsi="Times New Roman" w:eastAsia="宋体" w:cs="Times New Roman"/>
                <w:bCs/>
                <w:i w:val="0"/>
                <w:iCs w:val="0"/>
                <w:color w:val="auto"/>
                <w:kern w:val="0"/>
                <w:sz w:val="21"/>
                <w:szCs w:val="21"/>
                <w:u w:val="none"/>
                <w:lang w:val="en-US" w:eastAsia="zh-CN" w:bidi="ar"/>
              </w:rPr>
              <w:t>采样点</w:t>
            </w:r>
            <w:r>
              <w:rPr>
                <w:rFonts w:hint="default" w:ascii="Times New Roman" w:hAnsi="Times New Roman" w:cs="Times New Roman"/>
                <w:bCs w:val="0"/>
                <w:color w:val="auto"/>
                <w:kern w:val="0"/>
                <w:sz w:val="21"/>
                <w:szCs w:val="21"/>
                <w:lang w:val="en-US" w:eastAsia="zh-CN"/>
              </w:rPr>
              <w:t>监测项目样品编号依次为</w:t>
            </w:r>
            <w:r>
              <w:rPr>
                <w:rFonts w:hint="default" w:ascii="Times New Roman" w:hAnsi="Times New Roman" w:cs="Times New Roman"/>
                <w:bCs w:val="0"/>
                <w:color w:val="auto"/>
                <w:sz w:val="21"/>
                <w:szCs w:val="21"/>
                <w:lang w:val="zh-CN"/>
              </w:rPr>
              <w:t>YFA2</w:t>
            </w:r>
            <w:r>
              <w:rPr>
                <w:rFonts w:hint="eastAsia" w:ascii="Times New Roman" w:hAnsi="Times New Roman" w:cs="Times New Roman"/>
                <w:bCs w:val="0"/>
                <w:color w:val="auto"/>
                <w:sz w:val="21"/>
                <w:szCs w:val="21"/>
                <w:lang w:val="en-US" w:eastAsia="zh-CN"/>
              </w:rPr>
              <w:t>4010801</w:t>
            </w:r>
            <w:r>
              <w:rPr>
                <w:rFonts w:hint="default" w:ascii="Times New Roman" w:hAnsi="Times New Roman" w:cs="Times New Roman"/>
                <w:bCs w:val="0"/>
                <w:color w:val="auto"/>
                <w:sz w:val="21"/>
                <w:szCs w:val="21"/>
                <w:lang w:val="en-US" w:eastAsia="zh-CN"/>
              </w:rPr>
              <w:t>-</w:t>
            </w:r>
            <w:r>
              <w:rPr>
                <w:rFonts w:hint="default" w:ascii="Times New Roman" w:hAnsi="Times New Roman" w:cs="Times New Roman"/>
                <w:bCs w:val="0"/>
                <w:color w:val="auto"/>
                <w:kern w:val="0"/>
                <w:sz w:val="21"/>
                <w:szCs w:val="21"/>
                <w:lang w:val="en-US" w:eastAsia="zh-CN"/>
              </w:rPr>
              <w:t>G0</w:t>
            </w:r>
            <w:r>
              <w:rPr>
                <w:rFonts w:hint="eastAsia" w:ascii="Times New Roman" w:hAnsi="Times New Roman" w:cs="Times New Roman"/>
                <w:bCs w:val="0"/>
                <w:color w:val="auto"/>
                <w:kern w:val="0"/>
                <w:sz w:val="21"/>
                <w:szCs w:val="21"/>
                <w:lang w:val="en-US" w:eastAsia="zh-CN"/>
              </w:rPr>
              <w:t>88</w:t>
            </w:r>
            <w:r>
              <w:rPr>
                <w:rFonts w:hint="default" w:ascii="Times New Roman" w:hAnsi="Times New Roman" w:cs="Times New Roman"/>
                <w:bCs w:val="0"/>
                <w:color w:val="auto"/>
                <w:kern w:val="0"/>
                <w:sz w:val="21"/>
                <w:szCs w:val="21"/>
                <w:lang w:val="en-US" w:eastAsia="zh-CN"/>
              </w:rPr>
              <w:t>~G0</w:t>
            </w:r>
            <w:r>
              <w:rPr>
                <w:rFonts w:hint="eastAsia" w:ascii="Times New Roman" w:hAnsi="Times New Roman" w:cs="Times New Roman"/>
                <w:bCs w:val="0"/>
                <w:color w:val="auto"/>
                <w:kern w:val="0"/>
                <w:sz w:val="21"/>
                <w:szCs w:val="21"/>
                <w:lang w:val="en-US" w:eastAsia="zh-CN"/>
              </w:rPr>
              <w:t>90、G160~G162</w:t>
            </w:r>
            <w:r>
              <w:rPr>
                <w:rFonts w:hint="default" w:ascii="Times New Roman" w:hAnsi="Times New Roman" w:cs="Times New Roman"/>
                <w:bCs w:val="0"/>
                <w:color w:val="auto"/>
                <w:kern w:val="0"/>
                <w:sz w:val="21"/>
                <w:szCs w:val="21"/>
                <w:lang w:val="en-US" w:eastAsia="zh-CN"/>
              </w:rPr>
              <w:t>。</w:t>
            </w:r>
          </w:p>
        </w:tc>
      </w:tr>
    </w:tbl>
    <w:p>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监测结果表明：验收监测期间，项目破碎筛分出口颗粒物检测结果符合《砖瓦工业大气污染物排放标准》（GB 29620-2013）相关标准；</w:t>
      </w:r>
      <w:r>
        <w:rPr>
          <w:rFonts w:hint="default" w:ascii="Times New Roman" w:hAnsi="Times New Roman" w:eastAsia="宋体"/>
          <w:lang w:val="en-US" w:eastAsia="zh-CN"/>
        </w:rPr>
        <w:t>食堂油烟出口</w:t>
      </w:r>
      <w:r>
        <w:rPr>
          <w:rFonts w:hint="eastAsia" w:ascii="Times New Roman" w:hAnsi="Times New Roman" w:eastAsia="宋体"/>
          <w:lang w:val="en-US" w:eastAsia="zh-CN"/>
        </w:rPr>
        <w:t>检测结果符合《餐饮业大气污染物排放标准》（DB 50/859-2018）；隧道窑烟气出口结果符合执行《砖瓦工业大气污染物排放标准》（GB 29620-2013）及其修改单。</w:t>
      </w:r>
    </w:p>
    <w:p>
      <w:pPr>
        <w:pStyle w:val="4"/>
        <w:keepNext/>
        <w:keepLines/>
        <w:pageBreakBefore w:val="0"/>
        <w:widowControl/>
        <w:kinsoku/>
        <w:wordWrap/>
        <w:overflowPunct/>
        <w:topLinePunct w:val="0"/>
        <w:autoSpaceDE/>
        <w:autoSpaceDN/>
        <w:bidi w:val="0"/>
        <w:adjustRightInd w:val="0"/>
        <w:snapToGrid w:val="0"/>
        <w:textAlignment w:val="auto"/>
      </w:pPr>
      <w:r>
        <w:t>9.2.</w:t>
      </w:r>
      <w:r>
        <w:rPr>
          <w:rFonts w:hint="eastAsia"/>
          <w:lang w:val="en-US" w:eastAsia="zh-CN"/>
        </w:rPr>
        <w:t>3</w:t>
      </w:r>
      <w:r>
        <w:rPr>
          <w:rFonts w:hint="eastAsia"/>
        </w:rPr>
        <w:t>噪声监测结果及分析</w:t>
      </w:r>
    </w:p>
    <w:p>
      <w:pPr>
        <w:ind w:firstLine="480" w:firstLineChars="200"/>
      </w:pPr>
      <w:r>
        <w:t>噪声监测结果</w:t>
      </w:r>
      <w:r>
        <w:rPr>
          <w:rFonts w:hint="eastAsia"/>
        </w:rPr>
        <w:t>见下表</w:t>
      </w:r>
      <w:r>
        <w:t>9</w:t>
      </w:r>
      <w:r>
        <w:rPr>
          <w:rFonts w:hint="eastAsia"/>
        </w:rPr>
        <w:t>-</w:t>
      </w:r>
      <w:r>
        <w:rPr>
          <w:rFonts w:hint="eastAsia"/>
          <w:lang w:val="en-US" w:eastAsia="zh-CN"/>
        </w:rPr>
        <w:t>3</w:t>
      </w:r>
      <w:r>
        <w:rPr>
          <w:rFonts w:hint="eastAsia"/>
        </w:rPr>
        <w:t>。</w:t>
      </w:r>
    </w:p>
    <w:p>
      <w:pPr>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3</w:t>
      </w:r>
      <w:r>
        <w:rPr>
          <w:b/>
          <w:bCs/>
          <w:sz w:val="21"/>
          <w:szCs w:val="21"/>
        </w:rPr>
        <w:t xml:space="preserve"> 厂界噪声监测结果一览表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005"/>
        <w:gridCol w:w="2184"/>
        <w:gridCol w:w="1482"/>
        <w:gridCol w:w="1482"/>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jc w:val="center"/>
        </w:trPr>
        <w:tc>
          <w:tcPr>
            <w:tcW w:w="1324" w:type="pct"/>
            <w:gridSpan w:val="2"/>
            <w:tcBorders>
              <w:tl2br w:val="nil"/>
              <w:tr2bl w:val="nil"/>
            </w:tcBorders>
            <w:vAlign w:val="center"/>
          </w:tcPr>
          <w:p>
            <w:pPr>
              <w:pStyle w:val="9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val="0"/>
                <w:sz w:val="21"/>
                <w:szCs w:val="21"/>
              </w:rPr>
              <w:t>监测日期</w:t>
            </w:r>
          </w:p>
        </w:tc>
        <w:tc>
          <w:tcPr>
            <w:tcW w:w="1182" w:type="pct"/>
            <w:tcBorders>
              <w:tl2br w:val="nil"/>
              <w:tr2bl w:val="nil"/>
            </w:tcBorders>
            <w:vAlign w:val="center"/>
          </w:tcPr>
          <w:p>
            <w:pPr>
              <w:pStyle w:val="9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val="0"/>
                <w:sz w:val="21"/>
                <w:szCs w:val="21"/>
              </w:rPr>
              <w:t>监测点位</w:t>
            </w:r>
          </w:p>
        </w:tc>
        <w:tc>
          <w:tcPr>
            <w:tcW w:w="802" w:type="pct"/>
            <w:tcBorders>
              <w:tl2br w:val="nil"/>
              <w:tr2bl w:val="nil"/>
            </w:tcBorders>
            <w:vAlign w:val="center"/>
          </w:tcPr>
          <w:p>
            <w:pPr>
              <w:pStyle w:val="92"/>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监测结果</w:t>
            </w:r>
          </w:p>
          <w:p>
            <w:pPr>
              <w:pStyle w:val="92"/>
              <w:rPr>
                <w:rFonts w:hint="default" w:ascii="Times New Roman" w:hAnsi="Times New Roman" w:eastAsia="宋体" w:cs="Times New Roman"/>
                <w:b/>
                <w:bCs/>
                <w:sz w:val="21"/>
                <w:szCs w:val="21"/>
                <w:lang w:eastAsia="zh-CN"/>
              </w:rPr>
            </w:pPr>
            <w:r>
              <w:rPr>
                <w:rFonts w:hint="default" w:ascii="Times New Roman" w:hAnsi="Times New Roman" w:eastAsia="宋体" w:cs="Times New Roman"/>
                <w:bCs w:val="0"/>
                <w:sz w:val="21"/>
                <w:szCs w:val="21"/>
                <w:lang w:eastAsia="zh-CN"/>
              </w:rPr>
              <w:t xml:space="preserve"> (</w:t>
            </w:r>
            <w:r>
              <w:rPr>
                <w:rFonts w:hint="default" w:ascii="Times New Roman" w:hAnsi="Times New Roman" w:eastAsia="宋体" w:cs="Times New Roman"/>
                <w:bCs w:val="0"/>
                <w:sz w:val="21"/>
                <w:szCs w:val="21"/>
                <w:lang w:val="en-US" w:eastAsia="zh-CN"/>
              </w:rPr>
              <w:t xml:space="preserve"> </w:t>
            </w:r>
            <w:r>
              <w:rPr>
                <w:rFonts w:hint="default" w:ascii="Times New Roman" w:hAnsi="Times New Roman" w:eastAsia="宋体" w:cs="Times New Roman"/>
                <w:bCs w:val="0"/>
                <w:sz w:val="21"/>
                <w:szCs w:val="21"/>
                <w:lang w:eastAsia="zh-CN"/>
              </w:rPr>
              <w:t>dB（A）)</w:t>
            </w:r>
          </w:p>
        </w:tc>
        <w:tc>
          <w:tcPr>
            <w:tcW w:w="802" w:type="pct"/>
            <w:tcBorders>
              <w:tl2br w:val="nil"/>
              <w:tr2bl w:val="nil"/>
            </w:tcBorders>
            <w:vAlign w:val="center"/>
          </w:tcPr>
          <w:p>
            <w:pPr>
              <w:pStyle w:val="92"/>
              <w:rPr>
                <w:rFonts w:hint="eastAsia"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限值</w:t>
            </w:r>
          </w:p>
          <w:p>
            <w:pPr>
              <w:pStyle w:val="92"/>
              <w:rPr>
                <w:rFonts w:hint="eastAsia" w:ascii="Times New Roman" w:hAnsi="Times New Roman" w:cs="Times New Roman"/>
                <w:b/>
                <w:bCs w:val="0"/>
                <w:sz w:val="21"/>
                <w:szCs w:val="21"/>
                <w:lang w:val="en-US" w:eastAsia="zh-CN"/>
              </w:rPr>
            </w:pPr>
            <w:r>
              <w:rPr>
                <w:rFonts w:hint="default" w:ascii="Times New Roman" w:hAnsi="Times New Roman" w:eastAsia="宋体" w:cs="Times New Roman"/>
                <w:bCs w:val="0"/>
                <w:sz w:val="21"/>
                <w:szCs w:val="21"/>
                <w:lang w:eastAsia="zh-CN"/>
              </w:rPr>
              <w:t xml:space="preserve"> (</w:t>
            </w:r>
            <w:r>
              <w:rPr>
                <w:rFonts w:hint="default" w:ascii="Times New Roman" w:hAnsi="Times New Roman" w:eastAsia="宋体" w:cs="Times New Roman"/>
                <w:bCs w:val="0"/>
                <w:sz w:val="21"/>
                <w:szCs w:val="21"/>
                <w:lang w:val="en-US" w:eastAsia="zh-CN"/>
              </w:rPr>
              <w:t xml:space="preserve"> </w:t>
            </w:r>
            <w:r>
              <w:rPr>
                <w:rFonts w:hint="default" w:ascii="Times New Roman" w:hAnsi="Times New Roman" w:eastAsia="宋体" w:cs="Times New Roman"/>
                <w:bCs w:val="0"/>
                <w:sz w:val="21"/>
                <w:szCs w:val="21"/>
                <w:lang w:eastAsia="zh-CN"/>
              </w:rPr>
              <w:t>dB（A）)</w:t>
            </w:r>
          </w:p>
        </w:tc>
        <w:tc>
          <w:tcPr>
            <w:tcW w:w="889" w:type="pct"/>
            <w:tcBorders>
              <w:tl2br w:val="nil"/>
              <w:tr2bl w:val="nil"/>
            </w:tcBorders>
            <w:vAlign w:val="center"/>
          </w:tcPr>
          <w:p>
            <w:pPr>
              <w:pStyle w:val="9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restart"/>
            <w:vAlign w:val="center"/>
          </w:tcPr>
          <w:p>
            <w:pPr>
              <w:pStyle w:val="92"/>
              <w:adjustRightInd w:val="0"/>
              <w:snapToGrid w:val="0"/>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val="0"/>
                <w:color w:val="auto"/>
                <w:sz w:val="21"/>
                <w:szCs w:val="21"/>
                <w:lang w:val="en-US" w:eastAsia="zh-CN"/>
              </w:rPr>
              <w:t>2024.01.22</w:t>
            </w:r>
          </w:p>
        </w:tc>
        <w:tc>
          <w:tcPr>
            <w:tcW w:w="543" w:type="pct"/>
            <w:vMerge w:val="restart"/>
            <w:vAlign w:val="center"/>
          </w:tcPr>
          <w:p>
            <w:pPr>
              <w:pStyle w:val="92"/>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val="0"/>
                <w:color w:val="auto"/>
                <w:sz w:val="21"/>
                <w:szCs w:val="21"/>
                <w:lang w:val="en-US" w:eastAsia="zh-CN"/>
              </w:rPr>
              <w:t>昼间</w:t>
            </w: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N1（厂界东侧外1m）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56</w:t>
            </w:r>
          </w:p>
        </w:tc>
        <w:tc>
          <w:tcPr>
            <w:tcW w:w="802" w:type="pct"/>
            <w:vMerge w:val="restart"/>
            <w:vAlign w:val="center"/>
          </w:tcPr>
          <w:p>
            <w:pPr>
              <w:pStyle w:val="92"/>
              <w:rPr>
                <w:rFonts w:hint="default" w:ascii="Times New Roman" w:hAnsi="Times New Roman"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60</w:t>
            </w:r>
          </w:p>
        </w:tc>
        <w:tc>
          <w:tcPr>
            <w:tcW w:w="889" w:type="pct"/>
            <w:vMerge w:val="restart"/>
            <w:vAlign w:val="center"/>
          </w:tcPr>
          <w:p>
            <w:pPr>
              <w:pStyle w:val="92"/>
              <w:rPr>
                <w:rFonts w:hint="default" w:ascii="Times New Roman" w:hAnsi="Times New Roman" w:eastAsia="宋体" w:cs="Times New Roman"/>
                <w:bCs w:val="0"/>
                <w:color w:val="auto"/>
                <w:sz w:val="21"/>
                <w:szCs w:val="21"/>
                <w:lang w:eastAsia="zh-CN"/>
              </w:rPr>
            </w:pPr>
            <w:r>
              <w:rPr>
                <w:rFonts w:hint="default" w:ascii="Times New Roman" w:hAnsi="Times New Roman" w:eastAsia="宋体" w:cs="Times New Roman"/>
                <w:bCs w:val="0"/>
                <w:color w:val="auto"/>
                <w:sz w:val="21"/>
                <w:szCs w:val="21"/>
                <w:lang w:eastAsia="zh-CN"/>
              </w:rPr>
              <w:t>气象条件：</w:t>
            </w:r>
          </w:p>
          <w:p>
            <w:pPr>
              <w:pStyle w:val="92"/>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val="0"/>
                <w:color w:val="auto"/>
                <w:sz w:val="21"/>
                <w:szCs w:val="21"/>
                <w:lang w:eastAsia="zh-CN"/>
              </w:rPr>
              <w:t>晴，风速＜5m/s。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N2（厂界南侧外1m）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54</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rPr>
                <w:rFonts w:hint="default" w:ascii="Times New Roman" w:hAnsi="Times New Roman" w:eastAsia="宋体" w:cs="Times New Roman"/>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N3（厂界西侧外1m）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51</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rPr>
                <w:rFonts w:hint="default" w:ascii="Times New Roman" w:hAnsi="Times New Roman" w:eastAsia="宋体" w:cs="Times New Roman"/>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N4（厂界北侧外1m）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56</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rPr>
                <w:rFonts w:hint="default" w:ascii="Times New Roman" w:hAnsi="Times New Roman" w:eastAsia="宋体" w:cs="Times New Roman"/>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restart"/>
            <w:vAlign w:val="center"/>
          </w:tcPr>
          <w:p>
            <w:pPr>
              <w:pStyle w:val="92"/>
              <w:rPr>
                <w:rFonts w:hint="default" w:ascii="Times New Roman" w:hAnsi="Times New Roman" w:eastAsia="宋体" w:cs="Times New Roman"/>
                <w:bCs/>
                <w:color w:val="auto"/>
                <w:sz w:val="21"/>
                <w:szCs w:val="21"/>
              </w:rPr>
            </w:pPr>
            <w:r>
              <w:rPr>
                <w:rFonts w:hint="default" w:ascii="Times New Roman" w:hAnsi="Times New Roman" w:eastAsia="宋体" w:cs="Times New Roman"/>
                <w:bCs w:val="0"/>
                <w:color w:val="auto"/>
                <w:sz w:val="21"/>
                <w:szCs w:val="21"/>
                <w:lang w:val="en-US" w:eastAsia="zh-CN"/>
              </w:rPr>
              <w:t>夜间</w:t>
            </w: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N1（厂界东侧外1m）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47</w:t>
            </w:r>
          </w:p>
        </w:tc>
        <w:tc>
          <w:tcPr>
            <w:tcW w:w="802" w:type="pct"/>
            <w:vMerge w:val="restart"/>
            <w:vAlign w:val="center"/>
          </w:tcPr>
          <w:p>
            <w:pPr>
              <w:pStyle w:val="92"/>
              <w:rPr>
                <w:rFonts w:hint="default" w:ascii="Times New Roman" w:hAnsi="Times New Roman"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50</w:t>
            </w:r>
          </w:p>
        </w:tc>
        <w:tc>
          <w:tcPr>
            <w:tcW w:w="889" w:type="pct"/>
            <w:vMerge w:val="restart"/>
            <w:vAlign w:val="center"/>
          </w:tcPr>
          <w:p>
            <w:pPr>
              <w:pStyle w:val="92"/>
              <w:rPr>
                <w:rFonts w:hint="default" w:ascii="Times New Roman" w:hAnsi="Times New Roman" w:eastAsia="宋体" w:cs="Times New Roman"/>
                <w:bCs w:val="0"/>
                <w:color w:val="auto"/>
                <w:sz w:val="21"/>
                <w:szCs w:val="21"/>
                <w:lang w:eastAsia="zh-CN"/>
              </w:rPr>
            </w:pPr>
            <w:r>
              <w:rPr>
                <w:rFonts w:hint="default" w:ascii="Times New Roman" w:hAnsi="Times New Roman" w:eastAsia="宋体" w:cs="Times New Roman"/>
                <w:bCs w:val="0"/>
                <w:color w:val="auto"/>
                <w:sz w:val="21"/>
                <w:szCs w:val="21"/>
                <w:lang w:eastAsia="zh-CN"/>
              </w:rPr>
              <w:t>气象条件：</w:t>
            </w:r>
          </w:p>
          <w:p>
            <w:pPr>
              <w:pStyle w:val="92"/>
              <w:ind w:firstLine="0" w:firstLineChars="0"/>
              <w:rPr>
                <w:rFonts w:hint="default" w:ascii="Times New Roman" w:hAnsi="Times New Roman" w:eastAsia="宋体" w:cs="Times New Roman"/>
                <w:bCs w:val="0"/>
                <w:color w:val="auto"/>
                <w:sz w:val="21"/>
                <w:szCs w:val="21"/>
                <w:lang w:eastAsia="zh-CN"/>
              </w:rPr>
            </w:pPr>
            <w:r>
              <w:rPr>
                <w:rFonts w:hint="default" w:ascii="Times New Roman" w:hAnsi="Times New Roman" w:eastAsia="宋体" w:cs="Times New Roman"/>
                <w:bCs w:val="0"/>
                <w:color w:val="auto"/>
                <w:sz w:val="21"/>
                <w:szCs w:val="21"/>
                <w:lang w:eastAsia="zh-CN"/>
              </w:rPr>
              <w:t>晴，风速＜5m/s。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N2（厂界南侧外1m）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46</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ind w:firstLine="0" w:firstLineChars="0"/>
              <w:rPr>
                <w:rFonts w:hint="default" w:ascii="Times New Roman" w:hAnsi="Times New Roman" w:eastAsia="宋体" w:cs="Times New Roman"/>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N3（厂界西侧外1m）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47</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ind w:firstLine="0" w:firstLineChars="0"/>
              <w:rPr>
                <w:rFonts w:hint="default" w:ascii="Times New Roman" w:hAnsi="Times New Roman" w:eastAsia="宋体" w:cs="Times New Roman"/>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N4（厂界北侧外1m）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49</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ind w:firstLine="0" w:firstLineChars="0"/>
              <w:rPr>
                <w:rFonts w:hint="default" w:ascii="Times New Roman" w:hAnsi="Times New Roman" w:eastAsia="宋体" w:cs="Times New Roman"/>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restart"/>
            <w:vAlign w:val="center"/>
          </w:tcPr>
          <w:p>
            <w:pPr>
              <w:widowControl/>
              <w:spacing w:line="240" w:lineRule="auto"/>
              <w:ind w:firstLine="0" w:firstLineChars="0"/>
              <w:jc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val="0"/>
                <w:color w:val="auto"/>
                <w:sz w:val="21"/>
                <w:szCs w:val="21"/>
                <w:lang w:val="en-US" w:eastAsia="zh-CN"/>
              </w:rPr>
              <w:t>2024.01.23</w:t>
            </w:r>
          </w:p>
        </w:tc>
        <w:tc>
          <w:tcPr>
            <w:tcW w:w="543" w:type="pct"/>
            <w:vMerge w:val="restart"/>
            <w:vAlign w:val="center"/>
          </w:tcPr>
          <w:p>
            <w:pPr>
              <w:pStyle w:val="92"/>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val="0"/>
                <w:color w:val="auto"/>
                <w:sz w:val="21"/>
                <w:szCs w:val="21"/>
                <w:lang w:val="en-US" w:eastAsia="zh-CN"/>
              </w:rPr>
              <w:t>昼间</w:t>
            </w: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N1（厂界东侧外1m）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58</w:t>
            </w:r>
          </w:p>
        </w:tc>
        <w:tc>
          <w:tcPr>
            <w:tcW w:w="802" w:type="pct"/>
            <w:vMerge w:val="restart"/>
            <w:vAlign w:val="center"/>
          </w:tcPr>
          <w:p>
            <w:pPr>
              <w:pStyle w:val="92"/>
              <w:rPr>
                <w:rFonts w:hint="default" w:ascii="Times New Roman" w:hAnsi="Times New Roman"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60</w:t>
            </w:r>
          </w:p>
        </w:tc>
        <w:tc>
          <w:tcPr>
            <w:tcW w:w="889" w:type="pct"/>
            <w:vMerge w:val="restart"/>
            <w:vAlign w:val="center"/>
          </w:tcPr>
          <w:p>
            <w:pPr>
              <w:pStyle w:val="92"/>
              <w:ind w:firstLine="0" w:firstLineChars="0"/>
              <w:rPr>
                <w:rFonts w:hint="default" w:ascii="Times New Roman" w:hAnsi="Times New Roman" w:eastAsia="宋体" w:cs="Times New Roman"/>
                <w:bCs w:val="0"/>
                <w:color w:val="auto"/>
                <w:sz w:val="21"/>
                <w:szCs w:val="21"/>
                <w:lang w:eastAsia="zh-CN"/>
              </w:rPr>
            </w:pPr>
            <w:r>
              <w:rPr>
                <w:rFonts w:hint="default" w:ascii="Times New Roman" w:hAnsi="Times New Roman" w:eastAsia="宋体" w:cs="Times New Roman"/>
                <w:bCs w:val="0"/>
                <w:color w:val="auto"/>
                <w:sz w:val="21"/>
                <w:szCs w:val="21"/>
                <w:lang w:eastAsia="zh-CN"/>
              </w:rPr>
              <w:t>气象条件：</w:t>
            </w:r>
          </w:p>
          <w:p>
            <w:pPr>
              <w:pStyle w:val="92"/>
              <w:ind w:firstLine="0" w:firstLineChars="0"/>
              <w:rPr>
                <w:rFonts w:hint="default" w:ascii="Times New Roman" w:hAnsi="Times New Roman" w:eastAsia="宋体" w:cs="Times New Roman"/>
                <w:bCs w:val="0"/>
                <w:color w:val="auto"/>
                <w:sz w:val="21"/>
                <w:szCs w:val="21"/>
                <w:lang w:eastAsia="zh-CN"/>
              </w:rPr>
            </w:pPr>
            <w:r>
              <w:rPr>
                <w:rFonts w:hint="default" w:ascii="Times New Roman" w:hAnsi="Times New Roman" w:eastAsia="宋体" w:cs="Times New Roman"/>
                <w:bCs w:val="0"/>
                <w:color w:val="auto"/>
                <w:sz w:val="21"/>
                <w:szCs w:val="21"/>
                <w:lang w:val="en-US" w:eastAsia="zh-CN"/>
              </w:rPr>
              <w:t>晴</w:t>
            </w:r>
            <w:r>
              <w:rPr>
                <w:rFonts w:hint="default" w:ascii="Times New Roman" w:hAnsi="Times New Roman" w:eastAsia="宋体" w:cs="Times New Roman"/>
                <w:bCs w:val="0"/>
                <w:color w:val="auto"/>
                <w:sz w:val="21"/>
                <w:szCs w:val="21"/>
                <w:lang w:eastAsia="zh-CN"/>
              </w:rPr>
              <w:t>，风速＜5m/s。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N2（厂界南侧外1m）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58</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ind w:firstLine="0" w:firstLineChars="0"/>
              <w:rPr>
                <w:rFonts w:hint="default" w:ascii="Times New Roman" w:hAnsi="Times New Roman" w:eastAsia="宋体" w:cs="Times New Roman"/>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N3（厂界西侧外1m）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60</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ind w:firstLine="0" w:firstLineChars="0"/>
              <w:rPr>
                <w:rFonts w:hint="default" w:ascii="Times New Roman" w:hAnsi="Times New Roman" w:eastAsia="宋体" w:cs="Times New Roman"/>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N4（厂界北侧外1m）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58</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ind w:firstLine="0" w:firstLineChars="0"/>
              <w:rPr>
                <w:rFonts w:hint="default" w:ascii="Times New Roman" w:hAnsi="Times New Roman" w:eastAsia="宋体" w:cs="Times New Roman"/>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restart"/>
            <w:vAlign w:val="center"/>
          </w:tcPr>
          <w:p>
            <w:pPr>
              <w:pStyle w:val="92"/>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val="0"/>
                <w:color w:val="auto"/>
                <w:sz w:val="21"/>
                <w:szCs w:val="21"/>
                <w:lang w:val="en-US" w:eastAsia="zh-CN"/>
              </w:rPr>
              <w:t>夜间</w:t>
            </w: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N1（厂界东侧外1m）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46</w:t>
            </w:r>
          </w:p>
        </w:tc>
        <w:tc>
          <w:tcPr>
            <w:tcW w:w="802" w:type="pct"/>
            <w:vMerge w:val="restart"/>
            <w:vAlign w:val="center"/>
          </w:tcPr>
          <w:p>
            <w:pPr>
              <w:pStyle w:val="92"/>
              <w:rPr>
                <w:rFonts w:hint="default" w:ascii="Times New Roman" w:hAnsi="Times New Roman"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50</w:t>
            </w:r>
          </w:p>
        </w:tc>
        <w:tc>
          <w:tcPr>
            <w:tcW w:w="889" w:type="pct"/>
            <w:vMerge w:val="restart"/>
            <w:vAlign w:val="center"/>
          </w:tcPr>
          <w:p>
            <w:pPr>
              <w:pStyle w:val="92"/>
              <w:rPr>
                <w:rFonts w:hint="default" w:ascii="Times New Roman" w:hAnsi="Times New Roman" w:eastAsia="宋体" w:cs="Times New Roman"/>
                <w:bCs w:val="0"/>
                <w:color w:val="auto"/>
                <w:sz w:val="21"/>
                <w:szCs w:val="21"/>
                <w:lang w:eastAsia="zh-CN"/>
              </w:rPr>
            </w:pPr>
            <w:r>
              <w:rPr>
                <w:rFonts w:hint="default" w:ascii="Times New Roman" w:hAnsi="Times New Roman" w:eastAsia="宋体" w:cs="Times New Roman"/>
                <w:bCs w:val="0"/>
                <w:color w:val="auto"/>
                <w:sz w:val="21"/>
                <w:szCs w:val="21"/>
                <w:lang w:eastAsia="zh-CN"/>
              </w:rPr>
              <w:t>气象条件：</w:t>
            </w:r>
          </w:p>
          <w:p>
            <w:pPr>
              <w:pStyle w:val="92"/>
              <w:ind w:firstLine="0" w:firstLineChars="0"/>
              <w:rPr>
                <w:rFonts w:hint="default" w:ascii="Times New Roman" w:hAnsi="Times New Roman" w:eastAsia="宋体" w:cs="Times New Roman"/>
                <w:bCs w:val="0"/>
                <w:color w:val="auto"/>
                <w:sz w:val="21"/>
                <w:szCs w:val="21"/>
                <w:lang w:eastAsia="zh-CN"/>
              </w:rPr>
            </w:pPr>
            <w:r>
              <w:rPr>
                <w:rFonts w:hint="default" w:ascii="Times New Roman" w:hAnsi="Times New Roman" w:eastAsia="宋体" w:cs="Times New Roman"/>
                <w:bCs w:val="0"/>
                <w:color w:val="auto"/>
                <w:sz w:val="21"/>
                <w:szCs w:val="21"/>
                <w:lang w:eastAsia="zh-CN"/>
              </w:rPr>
              <w:t>晴，风速＜5m/s。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ind w:firstLine="0" w:firstLineChars="0"/>
              <w:rPr>
                <w:rFonts w:hint="default" w:ascii="Times New Roman" w:hAnsi="Times New Roman" w:eastAsia="宋体" w:cs="Times New Roman"/>
                <w:bCs w:val="0"/>
                <w:color w:val="auto"/>
                <w:sz w:val="21"/>
                <w:szCs w:val="21"/>
                <w:lang w:val="en-US" w:eastAsia="zh-CN"/>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N2（厂界南侧外1m）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46</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ind w:firstLine="0" w:firstLineChars="0"/>
              <w:rPr>
                <w:rFonts w:hint="default" w:ascii="Times New Roman" w:hAnsi="Times New Roman" w:eastAsia="宋体" w:cs="Times New Roman"/>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N3（厂界西侧外1m）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000000" w:themeColor="text1"/>
                <w:sz w:val="21"/>
                <w:szCs w:val="21"/>
                <w:lang w:val="en-US" w:eastAsia="zh-CN"/>
                <w14:textFill>
                  <w14:solidFill>
                    <w14:schemeClr w14:val="tx1"/>
                  </w14:solidFill>
                </w14:textFill>
              </w:rPr>
              <w:t>48</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ind w:firstLine="0" w:firstLineChars="0"/>
              <w:rPr>
                <w:rFonts w:hint="default" w:ascii="Times New Roman" w:hAnsi="Times New Roman" w:eastAsia="宋体" w:cs="Times New Roman"/>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pct"/>
            <w:vMerge w:val="continue"/>
            <w:vAlign w:val="center"/>
          </w:tcPr>
          <w:p>
            <w:pPr>
              <w:widowControl/>
              <w:spacing w:line="240" w:lineRule="auto"/>
              <w:ind w:firstLine="0" w:firstLineChars="0"/>
              <w:jc w:val="left"/>
              <w:rPr>
                <w:rFonts w:hint="default" w:ascii="Times New Roman" w:hAnsi="Times New Roman" w:eastAsia="宋体" w:cs="Times New Roman"/>
                <w:bCs/>
                <w:color w:val="auto"/>
                <w:sz w:val="21"/>
                <w:szCs w:val="21"/>
              </w:rPr>
            </w:pPr>
          </w:p>
        </w:tc>
        <w:tc>
          <w:tcPr>
            <w:tcW w:w="543" w:type="pct"/>
            <w:vMerge w:val="continue"/>
            <w:vAlign w:val="center"/>
          </w:tcPr>
          <w:p>
            <w:pPr>
              <w:pStyle w:val="92"/>
              <w:rPr>
                <w:rFonts w:hint="default" w:ascii="Times New Roman" w:hAnsi="Times New Roman" w:eastAsia="宋体" w:cs="Times New Roman"/>
                <w:bCs/>
                <w:color w:val="auto"/>
                <w:sz w:val="21"/>
                <w:szCs w:val="21"/>
              </w:rPr>
            </w:pPr>
          </w:p>
        </w:tc>
        <w:tc>
          <w:tcPr>
            <w:tcW w:w="118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default" w:ascii="Times New Roman" w:hAnsi="Times New Roman" w:eastAsia="宋体" w:cs="Times New Roman"/>
                <w:bCs/>
                <w:i w:val="0"/>
                <w:iCs w:val="0"/>
                <w:color w:val="auto"/>
                <w:kern w:val="0"/>
                <w:sz w:val="21"/>
                <w:szCs w:val="21"/>
                <w:u w:val="none"/>
                <w:lang w:val="en-US" w:eastAsia="zh-CN" w:bidi="ar"/>
              </w:rPr>
              <w:t>N4（厂界北侧外1m）</w:t>
            </w:r>
          </w:p>
        </w:tc>
        <w:tc>
          <w:tcPr>
            <w:tcW w:w="802" w:type="pct"/>
            <w:vAlign w:val="center"/>
          </w:tcPr>
          <w:p>
            <w:pPr>
              <w:pStyle w:val="92"/>
              <w:rPr>
                <w:rFonts w:hint="default" w:ascii="Times New Roman" w:hAnsi="Times New Roman" w:eastAsia="宋体" w:cs="Times New Roman"/>
                <w:bCs w:val="0"/>
                <w:color w:val="auto"/>
                <w:sz w:val="21"/>
                <w:szCs w:val="21"/>
                <w:lang w:val="en-US" w:eastAsia="zh-CN"/>
              </w:rPr>
            </w:pPr>
            <w:r>
              <w:rPr>
                <w:rFonts w:hint="eastAsia" w:ascii="Times New Roman" w:hAnsi="Times New Roman" w:cs="Times New Roman"/>
                <w:bCs w:val="0"/>
                <w:color w:val="auto"/>
                <w:sz w:val="21"/>
                <w:szCs w:val="21"/>
                <w:lang w:val="en-US" w:eastAsia="zh-CN"/>
              </w:rPr>
              <w:t>49</w:t>
            </w:r>
          </w:p>
        </w:tc>
        <w:tc>
          <w:tcPr>
            <w:tcW w:w="802" w:type="pct"/>
            <w:vMerge w:val="continue"/>
            <w:vAlign w:val="center"/>
          </w:tcPr>
          <w:p>
            <w:pPr>
              <w:pStyle w:val="92"/>
              <w:rPr>
                <w:rFonts w:hint="eastAsia" w:ascii="Times New Roman" w:hAnsi="Times New Roman" w:cs="Times New Roman"/>
                <w:bCs w:val="0"/>
                <w:color w:val="auto"/>
                <w:sz w:val="21"/>
                <w:szCs w:val="21"/>
                <w:lang w:val="en-US" w:eastAsia="zh-CN"/>
              </w:rPr>
            </w:pPr>
          </w:p>
        </w:tc>
        <w:tc>
          <w:tcPr>
            <w:tcW w:w="889" w:type="pct"/>
            <w:vMerge w:val="continue"/>
            <w:vAlign w:val="center"/>
          </w:tcPr>
          <w:p>
            <w:pPr>
              <w:pStyle w:val="92"/>
              <w:ind w:firstLine="0" w:firstLineChars="0"/>
              <w:rPr>
                <w:rFonts w:hint="default" w:ascii="Times New Roman" w:hAnsi="Times New Roman" w:eastAsia="宋体" w:cs="Times New Roman"/>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24" w:type="pct"/>
            <w:gridSpan w:val="2"/>
            <w:vAlign w:val="center"/>
          </w:tcPr>
          <w:p>
            <w:pPr>
              <w:pStyle w:val="92"/>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val="0"/>
                <w:color w:val="auto"/>
                <w:sz w:val="21"/>
                <w:szCs w:val="21"/>
                <w:lang w:val="en-US" w:eastAsia="zh-CN"/>
              </w:rPr>
              <w:t>限值依据</w:t>
            </w:r>
          </w:p>
        </w:tc>
        <w:tc>
          <w:tcPr>
            <w:tcW w:w="3675" w:type="pct"/>
            <w:gridSpan w:val="4"/>
            <w:vAlign w:val="center"/>
          </w:tcPr>
          <w:p>
            <w:pPr>
              <w:pStyle w:val="92"/>
              <w:ind w:firstLine="0" w:firstLineChars="0"/>
              <w:jc w:val="both"/>
              <w:rPr>
                <w:rFonts w:hint="default" w:ascii="Times New Roman" w:hAnsi="Times New Roman" w:eastAsia="宋体" w:cs="Times New Roman"/>
                <w:bCs w:val="0"/>
                <w:color w:val="auto"/>
                <w:sz w:val="21"/>
                <w:szCs w:val="21"/>
                <w:lang w:eastAsia="zh-CN"/>
              </w:rPr>
            </w:pPr>
            <w:r>
              <w:rPr>
                <w:rFonts w:hint="default" w:ascii="Times New Roman" w:hAnsi="Times New Roman" w:eastAsia="宋体" w:cs="Times New Roman"/>
                <w:bCs w:val="0"/>
                <w:color w:val="auto"/>
                <w:sz w:val="21"/>
                <w:szCs w:val="21"/>
              </w:rPr>
              <w:t>《工业企业厂界环境噪声排放标准》（GB12348-2008）中的2类区域标准</w:t>
            </w:r>
          </w:p>
        </w:tc>
      </w:tr>
    </w:tbl>
    <w:p>
      <w:pPr>
        <w:spacing w:line="240" w:lineRule="auto"/>
        <w:jc w:val="both"/>
        <w:rPr>
          <w:b/>
          <w:bCs/>
          <w:sz w:val="21"/>
          <w:szCs w:val="21"/>
        </w:rPr>
      </w:pPr>
    </w:p>
    <w:p>
      <w:pPr>
        <w:ind w:firstLine="480" w:firstLineChars="200"/>
      </w:pPr>
      <w:r>
        <w:rPr>
          <w:rFonts w:hint="eastAsia"/>
        </w:rPr>
        <w:t>根据</w:t>
      </w:r>
      <w:r>
        <w:t>噪声监测结果</w:t>
      </w:r>
      <w:r>
        <w:rPr>
          <w:rFonts w:hint="eastAsia"/>
        </w:rPr>
        <w:t>，项目东侧、</w:t>
      </w:r>
      <w:r>
        <w:rPr>
          <w:rFonts w:hint="eastAsia"/>
          <w:lang w:val="en-US" w:eastAsia="zh-CN"/>
        </w:rPr>
        <w:t>南侧、北侧、</w:t>
      </w:r>
      <w:r>
        <w:rPr>
          <w:rFonts w:hint="eastAsia"/>
        </w:rPr>
        <w:t>西侧厂界噪声监测值均满足《工业企业厂界环境噪声排放标准》（GB 12348-2008）表1的</w:t>
      </w:r>
      <w:r>
        <w:rPr>
          <w:rFonts w:hint="eastAsia"/>
          <w:lang w:val="en-US" w:eastAsia="zh-CN"/>
        </w:rPr>
        <w:t>2</w:t>
      </w:r>
      <w:r>
        <w:rPr>
          <w:rFonts w:hint="eastAsia"/>
        </w:rPr>
        <w:t>类标准限值要求。</w:t>
      </w:r>
    </w:p>
    <w:p>
      <w:pPr>
        <w:pStyle w:val="3"/>
      </w:pPr>
      <w:r>
        <w:rPr>
          <w:rFonts w:hint="eastAsia" w:ascii="Times New Roman" w:hAnsi="Times New Roman"/>
          <w:lang w:val="en-US" w:eastAsia="zh-CN"/>
        </w:rPr>
        <w:t>9.3  污染物总量控制</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实施污染物排放总量控制是污染控制的重要举措，污染物排放应在确保满足达标排放的前提下，同时满足区域的污染物排放总量控制目标</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本项目污染物总量控制指标，颗粒物：6.475t/a，SO</w:t>
      </w:r>
      <w:r>
        <w:rPr>
          <w:rFonts w:hint="eastAsia" w:ascii="Times New Roman" w:hAnsi="Times New Roman" w:cs="Times New Roman"/>
          <w:color w:val="000000" w:themeColor="text1"/>
          <w:kern w:val="0"/>
          <w:sz w:val="24"/>
          <w:szCs w:val="24"/>
          <w:highlight w:val="none"/>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：1.061t/a，氮氧化物：11.41t/a由验收实际监测数据可知，该项目总量控制指标实际排放量均在环保行政主管部门控制范围内，可以实现总量达标排放。</w:t>
      </w:r>
    </w:p>
    <w:p>
      <w:pPr>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pPr>
    </w:p>
    <w:p>
      <w:pPr>
        <w:pStyle w:val="2"/>
      </w:pPr>
      <w:bookmarkStart w:id="118" w:name="_Toc497833633"/>
      <w:bookmarkStart w:id="119" w:name="_Toc13970"/>
      <w:r>
        <w:rPr>
          <w:rFonts w:hint="eastAsia"/>
        </w:rPr>
        <w:t>10验收监测结论</w:t>
      </w:r>
      <w:bookmarkEnd w:id="118"/>
      <w:bookmarkEnd w:id="119"/>
    </w:p>
    <w:p>
      <w:pPr>
        <w:pStyle w:val="3"/>
      </w:pPr>
      <w:bookmarkStart w:id="120" w:name="_Toc497833634"/>
      <w:bookmarkStart w:id="121" w:name="_Toc17965"/>
      <w:r>
        <w:t>10.1 环境保护设施调试效果</w:t>
      </w:r>
      <w:bookmarkEnd w:id="120"/>
      <w:bookmarkEnd w:id="121"/>
    </w:p>
    <w:p>
      <w:pPr>
        <w:pStyle w:val="4"/>
        <w:rPr>
          <w:rFonts w:ascii="Times New Roman" w:hAnsi="Times New Roman" w:eastAsia="宋体" w:cstheme="minorBidi"/>
          <w:b w:val="0"/>
          <w:sz w:val="24"/>
          <w:szCs w:val="22"/>
          <w:lang w:val="en-US" w:eastAsia="zh-CN" w:bidi="ar-SA"/>
        </w:rPr>
      </w:pPr>
      <w:bookmarkStart w:id="122" w:name="_Toc497833635"/>
      <w:r>
        <w:t>10.1.1 废气</w:t>
      </w:r>
    </w:p>
    <w:p>
      <w:pPr>
        <w:keepNext w:val="0"/>
        <w:keepLines w:val="0"/>
        <w:pageBreakBefore w:val="0"/>
        <w:widowControl/>
        <w:kinsoku/>
        <w:wordWrap w:val="0"/>
        <w:overflowPunct/>
        <w:topLinePunct w:val="0"/>
        <w:autoSpaceDE/>
        <w:autoSpaceDN/>
        <w:bidi w:val="0"/>
        <w:adjustRightInd w:val="0"/>
        <w:snapToGrid w:val="0"/>
        <w:ind w:firstLine="480" w:firstLineChars="200"/>
        <w:textAlignment w:val="auto"/>
        <w:rPr>
          <w:rFonts w:ascii="Times New Roman" w:hAnsi="Times New Roman" w:eastAsia="宋体" w:cstheme="minorBidi"/>
          <w:b w:val="0"/>
          <w:sz w:val="24"/>
          <w:szCs w:val="22"/>
          <w:lang w:val="en-US" w:eastAsia="zh-CN" w:bidi="ar-SA"/>
        </w:rPr>
      </w:pPr>
      <w:r>
        <w:rPr>
          <w:rFonts w:hint="eastAsia" w:ascii="Times New Roman" w:hAnsi="Times New Roman" w:eastAsia="宋体" w:cstheme="minorBidi"/>
          <w:b w:val="0"/>
          <w:sz w:val="24"/>
          <w:szCs w:val="22"/>
          <w:lang w:val="en-US" w:eastAsia="zh-CN" w:bidi="ar-SA"/>
        </w:rPr>
        <w:t>监</w:t>
      </w:r>
      <w:r>
        <w:rPr>
          <w:rFonts w:ascii="Times New Roman" w:hAnsi="Times New Roman" w:eastAsia="宋体" w:cstheme="minorBidi"/>
          <w:b w:val="0"/>
          <w:sz w:val="24"/>
          <w:szCs w:val="22"/>
          <w:lang w:val="en-US" w:eastAsia="zh-CN" w:bidi="ar-SA"/>
        </w:rPr>
        <w:t>测结果表明：验收监测期间，</w:t>
      </w:r>
      <w:r>
        <w:rPr>
          <w:rFonts w:hint="eastAsia" w:ascii="Times New Roman" w:hAnsi="Times New Roman" w:eastAsia="宋体" w:cstheme="minorBidi"/>
          <w:b w:val="0"/>
          <w:sz w:val="24"/>
          <w:szCs w:val="22"/>
          <w:lang w:val="en-US" w:eastAsia="zh-CN" w:bidi="ar-SA"/>
        </w:rPr>
        <w:t>项目破碎筛分出口颗粒物检测结果符合《砖瓦工业大气污染物排放标准》（GB 29620-2013）相关标准；食堂油烟出口检测结果符合《餐饮业大气污染物排放标准》（DB 50/859-2018）；隧道窑烟气出口结果符合执行《砖瓦工业大气污染物排放标准》（GB 29620-2013）及其修改单</w:t>
      </w:r>
      <w:r>
        <w:rPr>
          <w:rFonts w:hint="eastAsia" w:cstheme="minorBidi"/>
          <w:b w:val="0"/>
          <w:sz w:val="24"/>
          <w:szCs w:val="22"/>
          <w:lang w:val="en-US" w:eastAsia="zh-CN" w:bidi="ar-SA"/>
        </w:rPr>
        <w:t>。</w:t>
      </w:r>
      <w:r>
        <w:rPr>
          <w:rFonts w:hint="eastAsia" w:ascii="Times New Roman" w:hAnsi="Times New Roman" w:eastAsia="宋体" w:cstheme="minorBidi"/>
          <w:b w:val="0"/>
          <w:sz w:val="24"/>
          <w:szCs w:val="22"/>
          <w:lang w:val="en-US" w:eastAsia="zh-CN" w:bidi="ar-SA"/>
        </w:rPr>
        <w:t>项目的厂界无组织废气颗粒物、氟化物、二氧化硫检测结果符合《砖瓦工业大气污染物排放标准》（GB 29620-2013），厂区无组织废气氨、硫化氢、臭气浓度检测结果符合《恶臭污染物排放标准》（GB/T 14554-1993）表1二级新建。</w:t>
      </w:r>
    </w:p>
    <w:p>
      <w:pPr>
        <w:pStyle w:val="4"/>
      </w:pPr>
      <w:r>
        <w:t xml:space="preserve">10.1.2 </w:t>
      </w:r>
      <w:bookmarkEnd w:id="122"/>
      <w:bookmarkStart w:id="123" w:name="_Toc497833636"/>
      <w:r>
        <w:t xml:space="preserve"> 噪声</w:t>
      </w:r>
      <w:bookmarkEnd w:id="123"/>
    </w:p>
    <w:p>
      <w:pPr>
        <w:ind w:firstLine="480" w:firstLineChars="200"/>
        <w:rPr>
          <w:lang w:val="zh-CN"/>
        </w:rPr>
      </w:pPr>
      <w:r>
        <w:rPr>
          <w:lang w:val="zh-CN"/>
        </w:rPr>
        <w:t>监测结果表明，</w:t>
      </w:r>
      <w:r>
        <w:rPr>
          <w:rFonts w:hint="eastAsia"/>
          <w:lang w:val="zh-CN"/>
        </w:rPr>
        <w:t>项目东侧、南侧、北侧、西侧厂界噪声监测值均满足《工业企业厂界环境噪声排放标准》（GB 12348-2008）表1的2类标准限值要求</w:t>
      </w:r>
      <w:r>
        <w:rPr>
          <w:lang w:val="zh-CN"/>
        </w:rPr>
        <w:t>。</w:t>
      </w:r>
    </w:p>
    <w:p>
      <w:pPr>
        <w:pStyle w:val="4"/>
        <w:rPr>
          <w:rFonts w:hint="eastAsia" w:eastAsia="宋体"/>
          <w:lang w:val="zh-CN" w:eastAsia="zh-CN"/>
        </w:rPr>
      </w:pPr>
      <w:r>
        <w:t>10.1.</w:t>
      </w:r>
      <w:r>
        <w:rPr>
          <w:rFonts w:hint="eastAsia"/>
          <w:lang w:val="en-US" w:eastAsia="zh-CN"/>
        </w:rPr>
        <w:t>3</w:t>
      </w:r>
      <w:r>
        <w:t xml:space="preserve">  </w:t>
      </w:r>
      <w:r>
        <w:rPr>
          <w:rFonts w:hint="eastAsia"/>
          <w:lang w:eastAsia="zh-CN"/>
        </w:rPr>
        <w:t>固废</w:t>
      </w:r>
    </w:p>
    <w:p>
      <w:pPr>
        <w:ind w:firstLine="480" w:firstLineChars="200"/>
        <w:rPr>
          <w:rFonts w:hint="eastAsia"/>
          <w:lang w:val="en-US" w:eastAsia="zh-CN"/>
        </w:rPr>
      </w:pPr>
      <w:r>
        <w:rPr>
          <w:rFonts w:hint="eastAsia"/>
          <w:lang w:val="en-US" w:eastAsia="zh-CN"/>
        </w:rPr>
        <w:t>（1）项目危险废物主要包括含油废棉纱、废机油、废油桶。</w:t>
      </w:r>
    </w:p>
    <w:p>
      <w:pPr>
        <w:ind w:firstLine="480" w:firstLineChars="200"/>
        <w:rPr>
          <w:rFonts w:hint="eastAsia"/>
          <w:lang w:val="en-US" w:eastAsia="zh-CN"/>
        </w:rPr>
      </w:pPr>
      <w:r>
        <w:rPr>
          <w:rFonts w:hint="eastAsia"/>
          <w:lang w:val="en-US" w:eastAsia="zh-CN"/>
        </w:rPr>
        <w:t>统一收集后暂存于危废间，定期交给有相应资质的单位处理。危废暂存库房地面进行防渗防腐处理，其防渗层按照《危险废物贮存污染控制标准》（GB18597-2023）的要求设置，防止各种液体类危险废物漫流或泄漏；各种危险废物分类存放，并有相应的记录。</w:t>
      </w:r>
    </w:p>
    <w:p>
      <w:pPr>
        <w:ind w:firstLine="480" w:firstLineChars="200"/>
        <w:rPr>
          <w:rFonts w:hint="eastAsia"/>
          <w:lang w:val="en-US" w:eastAsia="zh-CN"/>
        </w:rPr>
      </w:pPr>
      <w:r>
        <w:rPr>
          <w:rFonts w:hint="eastAsia"/>
          <w:lang w:val="en-US" w:eastAsia="zh-CN"/>
        </w:rPr>
        <w:t>（2）一般固废</w:t>
      </w:r>
    </w:p>
    <w:p>
      <w:pPr>
        <w:ind w:firstLine="480" w:firstLineChars="200"/>
        <w:rPr>
          <w:rFonts w:hint="eastAsia"/>
          <w:lang w:val="en-US" w:eastAsia="zh-CN"/>
        </w:rPr>
      </w:pPr>
      <w:r>
        <w:rPr>
          <w:rFonts w:hint="eastAsia"/>
          <w:lang w:val="en-US" w:eastAsia="zh-CN"/>
        </w:rPr>
        <w:t>项目一般固废主要为废砖坯、不合格产品、破碎筛分沉降尘灰和脱硫石膏。</w:t>
      </w:r>
    </w:p>
    <w:p>
      <w:pPr>
        <w:ind w:firstLine="480" w:firstLineChars="200"/>
        <w:rPr>
          <w:rFonts w:hint="eastAsia"/>
          <w:lang w:val="en-US" w:eastAsia="zh-CN"/>
        </w:rPr>
      </w:pPr>
      <w:r>
        <w:rPr>
          <w:rFonts w:hint="eastAsia"/>
          <w:lang w:val="en-US" w:eastAsia="zh-CN"/>
        </w:rPr>
        <w:t>废砖坯、不合格产品、破碎筛分沉降尘灰定期清理后回用于生产制砖。脱硫石膏定期清理后外售综合利用。</w:t>
      </w:r>
    </w:p>
    <w:p>
      <w:pPr>
        <w:ind w:firstLine="480" w:firstLineChars="200"/>
        <w:rPr>
          <w:rFonts w:hint="eastAsia"/>
          <w:lang w:val="en-US" w:eastAsia="zh-CN"/>
        </w:rPr>
      </w:pPr>
      <w:r>
        <w:rPr>
          <w:rFonts w:hint="eastAsia"/>
          <w:lang w:val="en-US" w:eastAsia="zh-CN"/>
        </w:rPr>
        <w:t>（3）生活垃圾</w:t>
      </w:r>
    </w:p>
    <w:p>
      <w:pPr>
        <w:ind w:firstLine="480" w:firstLineChars="200"/>
        <w:rPr>
          <w:rFonts w:hint="eastAsia"/>
          <w:lang w:val="en-US" w:eastAsia="zh-CN"/>
        </w:rPr>
      </w:pPr>
      <w:r>
        <w:rPr>
          <w:rFonts w:hint="eastAsia"/>
          <w:lang w:val="en-US" w:eastAsia="zh-CN"/>
        </w:rPr>
        <w:t>生活垃圾在厂内收集后，由当地环卫系统清运。</w:t>
      </w:r>
    </w:p>
    <w:p>
      <w:pPr>
        <w:pStyle w:val="4"/>
        <w:rPr>
          <w:rFonts w:hint="eastAsia" w:eastAsia="宋体"/>
          <w:lang w:val="zh-CN" w:eastAsia="zh-CN"/>
        </w:rPr>
      </w:pPr>
      <w:r>
        <w:t>10.1.</w:t>
      </w:r>
      <w:r>
        <w:rPr>
          <w:rFonts w:hint="eastAsia"/>
          <w:lang w:val="en-US" w:eastAsia="zh-CN"/>
        </w:rPr>
        <w:t>4</w:t>
      </w:r>
      <w:r>
        <w:t xml:space="preserve">  </w:t>
      </w:r>
      <w:r>
        <w:rPr>
          <w:rFonts w:hint="eastAsia"/>
          <w:lang w:eastAsia="zh-CN"/>
        </w:rPr>
        <w:t>其他</w:t>
      </w:r>
    </w:p>
    <w:p>
      <w:pPr>
        <w:adjustRightInd w:val="0"/>
        <w:snapToGrid w:val="0"/>
        <w:spacing w:line="360" w:lineRule="auto"/>
        <w:ind w:firstLine="480" w:firstLineChars="200"/>
        <w:jc w:val="both"/>
        <w:rPr>
          <w:rFonts w:hint="eastAsia"/>
          <w:color w:val="0000FF"/>
          <w:lang w:val="en-US" w:eastAsia="zh-CN"/>
        </w:rPr>
      </w:pPr>
      <w:r>
        <w:rPr>
          <w:rFonts w:hint="eastAsia" w:ascii="Times New Roman" w:hAnsi="Times New Roman" w:eastAsia="宋体" w:cs="Times New Roman"/>
          <w:color w:val="000000"/>
          <w:sz w:val="24"/>
          <w:szCs w:val="24"/>
          <w:lang w:val="en-US" w:eastAsia="zh-CN" w:bidi="ar-SA"/>
        </w:rPr>
        <w:t>该项目主要从事</w:t>
      </w:r>
      <w:r>
        <w:rPr>
          <w:rFonts w:hint="eastAsia" w:cs="Times New Roman"/>
          <w:color w:val="000000"/>
          <w:sz w:val="24"/>
          <w:szCs w:val="24"/>
          <w:lang w:val="en-US" w:eastAsia="zh-CN" w:bidi="ar-SA"/>
        </w:rPr>
        <w:t>烧结砖生产</w:t>
      </w:r>
      <w:r>
        <w:rPr>
          <w:rFonts w:hint="eastAsia" w:ascii="Times New Roman" w:hAnsi="Times New Roman" w:eastAsia="宋体" w:cs="Times New Roman"/>
          <w:color w:val="000000"/>
          <w:sz w:val="24"/>
          <w:szCs w:val="24"/>
          <w:lang w:val="en-US" w:eastAsia="zh-CN" w:bidi="ar-SA"/>
        </w:rPr>
        <w:t>，行业划分属于</w:t>
      </w:r>
      <w:r>
        <w:rPr>
          <w:rFonts w:hint="eastAsia" w:eastAsia="宋体" w:cs="Times New Roman"/>
          <w:color w:val="000000" w:themeColor="text1"/>
          <w:kern w:val="2"/>
          <w:sz w:val="24"/>
          <w:szCs w:val="24"/>
          <w:lang w:val="en-US" w:eastAsia="zh-CN" w:bidi="ar-SA"/>
          <w14:textFill>
            <w14:solidFill>
              <w14:schemeClr w14:val="tx1"/>
            </w14:solidFill>
          </w14:textFill>
        </w:rPr>
        <w:t>粘土砖瓦及建筑砌块制造</w:t>
      </w:r>
      <w:r>
        <w:rPr>
          <w:rFonts w:hint="eastAsia" w:ascii="Times New Roman" w:hAnsi="Times New Roman" w:eastAsia="宋体" w:cs="Times New Roman"/>
          <w:color w:val="000000"/>
          <w:sz w:val="24"/>
          <w:szCs w:val="24"/>
          <w:lang w:val="en-US" w:eastAsia="zh-CN" w:bidi="ar-SA"/>
        </w:rPr>
        <w:t>，根据固定污染源排污许可证分类管理名录（2019 年版）的相关要求，属于</w:t>
      </w:r>
      <w:r>
        <w:rPr>
          <w:rFonts w:hint="eastAsia"/>
          <w:color w:val="000000" w:themeColor="text1"/>
          <w:lang w:val="en-US" w:eastAsia="zh-CN"/>
          <w14:textFill>
            <w14:solidFill>
              <w14:schemeClr w14:val="tx1"/>
            </w14:solidFill>
          </w14:textFill>
        </w:rPr>
        <w:t>重点管理</w:t>
      </w:r>
      <w:r>
        <w:rPr>
          <w:rFonts w:hint="eastAsia" w:ascii="Times New Roman" w:hAnsi="Times New Roman" w:eastAsia="宋体" w:cs="Times New Roman"/>
          <w:color w:val="000000"/>
          <w:sz w:val="24"/>
          <w:szCs w:val="24"/>
          <w:lang w:val="en-US" w:eastAsia="zh-CN" w:bidi="ar-SA"/>
        </w:rPr>
        <w:t>，需要在全国排污许可证信息管理平台上填报排污</w:t>
      </w:r>
      <w:r>
        <w:rPr>
          <w:rFonts w:hint="eastAsia" w:ascii="Times New Roman" w:hAnsi="Times New Roman" w:cs="Times New Roman"/>
          <w:color w:val="000000"/>
          <w:sz w:val="24"/>
          <w:szCs w:val="24"/>
          <w:lang w:val="en-US" w:eastAsia="zh-CN" w:bidi="ar-SA"/>
        </w:rPr>
        <w:t>许可证</w:t>
      </w:r>
      <w:r>
        <w:rPr>
          <w:rFonts w:hint="eastAsia" w:ascii="Times New Roman" w:hAnsi="Times New Roman" w:eastAsia="宋体" w:cs="Times New Roman"/>
          <w:color w:val="000000"/>
          <w:sz w:val="24"/>
          <w:szCs w:val="24"/>
          <w:lang w:val="en-US" w:eastAsia="zh-CN" w:bidi="ar-SA"/>
        </w:rPr>
        <w:t>，企业于202</w:t>
      </w:r>
      <w:r>
        <w:rPr>
          <w:rFonts w:hint="eastAsia" w:cs="Times New Roman"/>
          <w:color w:val="000000"/>
          <w:sz w:val="24"/>
          <w:szCs w:val="24"/>
          <w:lang w:val="en-US" w:eastAsia="zh-CN" w:bidi="ar-SA"/>
        </w:rPr>
        <w:t>0</w:t>
      </w:r>
      <w:r>
        <w:rPr>
          <w:rFonts w:hint="eastAsia" w:ascii="Times New Roman" w:hAnsi="Times New Roman" w:eastAsia="宋体" w:cs="Times New Roman"/>
          <w:color w:val="000000"/>
          <w:sz w:val="24"/>
          <w:szCs w:val="24"/>
          <w:lang w:val="en-US" w:eastAsia="zh-CN" w:bidi="ar-SA"/>
        </w:rPr>
        <w:t>年</w:t>
      </w:r>
      <w:r>
        <w:rPr>
          <w:rFonts w:hint="eastAsia" w:cs="Times New Roman"/>
          <w:color w:val="000000"/>
          <w:sz w:val="24"/>
          <w:szCs w:val="24"/>
          <w:lang w:val="en-US" w:eastAsia="zh-CN" w:bidi="ar-SA"/>
        </w:rPr>
        <w:t>7</w:t>
      </w:r>
      <w:r>
        <w:rPr>
          <w:rFonts w:hint="eastAsia" w:ascii="Times New Roman" w:hAnsi="Times New Roman" w:eastAsia="宋体" w:cs="Times New Roman"/>
          <w:color w:val="000000"/>
          <w:sz w:val="24"/>
          <w:szCs w:val="24"/>
          <w:lang w:val="en-US" w:eastAsia="zh-CN" w:bidi="ar-SA"/>
        </w:rPr>
        <w:t>月</w:t>
      </w:r>
      <w:r>
        <w:rPr>
          <w:rFonts w:hint="eastAsia"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0日审批通过排污许可证</w:t>
      </w:r>
      <w:r>
        <w:rPr>
          <w:rFonts w:hint="eastAsia" w:cs="Times New Roman"/>
          <w:color w:val="000000"/>
          <w:sz w:val="24"/>
          <w:szCs w:val="24"/>
          <w:lang w:val="en-US" w:eastAsia="zh-CN" w:bidi="ar-SA"/>
        </w:rPr>
        <w:t>，2023年6月通过排污许可证延续</w:t>
      </w:r>
      <w:r>
        <w:rPr>
          <w:rFonts w:hint="eastAsia" w:ascii="Times New Roman" w:hAnsi="Times New Roman" w:eastAsia="宋体" w:cs="Times New Roman"/>
          <w:color w:val="000000"/>
          <w:sz w:val="24"/>
          <w:szCs w:val="24"/>
          <w:lang w:val="en-US" w:eastAsia="zh-CN" w:bidi="ar-SA"/>
        </w:rPr>
        <w:t>。许可证编号：91500238563485582G001V。项目在建设及试生产期间没有居民投诉。</w:t>
      </w:r>
    </w:p>
    <w:p>
      <w:pPr>
        <w:pStyle w:val="3"/>
      </w:pPr>
      <w:bookmarkStart w:id="124" w:name="_Toc6447"/>
      <w:bookmarkStart w:id="125" w:name="_Toc497833639"/>
      <w:bookmarkStart w:id="126" w:name="_Toc25859"/>
      <w:r>
        <w:t>10.2</w:t>
      </w:r>
      <w:bookmarkEnd w:id="124"/>
      <w:bookmarkEnd w:id="125"/>
      <w:bookmarkStart w:id="127" w:name="_Toc13610"/>
      <w:bookmarkStart w:id="128" w:name="_Toc497833640"/>
      <w:bookmarkStart w:id="129" w:name="_Toc13754664"/>
      <w:bookmarkStart w:id="130" w:name="_Toc497833641"/>
      <w:bookmarkStart w:id="131" w:name="_Toc3746"/>
      <w:r>
        <w:t>环境管理检查</w:t>
      </w:r>
      <w:bookmarkEnd w:id="126"/>
      <w:bookmarkEnd w:id="127"/>
      <w:bookmarkEnd w:id="128"/>
      <w:bookmarkEnd w:id="129"/>
    </w:p>
    <w:p>
      <w:pPr>
        <w:ind w:firstLine="480" w:firstLineChars="200"/>
        <w:rPr>
          <w:rFonts w:hint="eastAsia"/>
        </w:rPr>
      </w:pPr>
      <w:r>
        <w:rPr>
          <w:rFonts w:hint="eastAsia"/>
        </w:rPr>
        <w:t>与项目有关的各项环保档案资料（例如：环评报告</w:t>
      </w:r>
      <w:r>
        <w:rPr>
          <w:rFonts w:hint="eastAsia"/>
          <w:lang w:eastAsia="zh-CN"/>
        </w:rPr>
        <w:t>表</w:t>
      </w:r>
      <w:r>
        <w:rPr>
          <w:rFonts w:hint="eastAsia"/>
        </w:rPr>
        <w:t>、环评批复、执行标准等批复和文件）齐备，均由办公室归档保管，符合环保要求。</w:t>
      </w:r>
    </w:p>
    <w:p>
      <w:pPr>
        <w:pStyle w:val="3"/>
      </w:pPr>
      <w:bookmarkStart w:id="132" w:name="_Toc28928"/>
      <w:r>
        <w:t>10.</w:t>
      </w:r>
      <w:r>
        <w:rPr>
          <w:rFonts w:hint="eastAsia"/>
          <w:lang w:val="en-US" w:eastAsia="zh-CN"/>
        </w:rPr>
        <w:t>3</w:t>
      </w:r>
      <w:r>
        <w:t xml:space="preserve"> 综合结论</w:t>
      </w:r>
      <w:bookmarkEnd w:id="130"/>
      <w:bookmarkEnd w:id="131"/>
      <w:bookmarkEnd w:id="132"/>
    </w:p>
    <w:p>
      <w:pPr>
        <w:pStyle w:val="12"/>
        <w:ind w:firstLine="472" w:firstLineChars="200"/>
      </w:pPr>
      <w:r>
        <w:rPr>
          <w:rFonts w:hint="eastAsia"/>
          <w:lang w:eastAsia="zh-CN"/>
        </w:rPr>
        <w:t>巫溪县华安墙材有限公司页岩砖加工技改项目</w:t>
      </w:r>
      <w:r>
        <w:t>环保手续齐全，经现场检查已基本按环评及其批复要求落实了各项污染治理设施。</w:t>
      </w:r>
      <w:r>
        <w:rPr>
          <w:rFonts w:hint="eastAsia"/>
          <w:lang w:val="en-US" w:eastAsia="zh-CN"/>
        </w:rPr>
        <w:t>工程建设期间与调试运行过程中，未发生重大污染和环保投诉事件。现有环保设施能符合运营期污染物排放及处置要求，满足竣工环保验收条件。</w:t>
      </w:r>
      <w:r>
        <w:t>本次竣工环保验收经过为期2天的现场验收监测，各项监测指标均能满足相应标准要求。综上所述，</w:t>
      </w:r>
      <w:r>
        <w:rPr>
          <w:rFonts w:hint="eastAsia"/>
          <w:lang w:eastAsia="zh-CN"/>
        </w:rPr>
        <w:t>巫溪县华安墙材有限公司页岩砖加工技改项目</w:t>
      </w:r>
      <w:r>
        <w:t>符合竣工环保验收要求，建议通过环保竣工验收。</w:t>
      </w:r>
    </w:p>
    <w:p>
      <w:pPr>
        <w:pStyle w:val="3"/>
      </w:pPr>
      <w:bookmarkStart w:id="133" w:name="_Toc7985"/>
      <w:bookmarkStart w:id="134" w:name="_Toc497833642"/>
      <w:bookmarkStart w:id="135" w:name="_Toc24378"/>
      <w:r>
        <w:t>10.</w:t>
      </w:r>
      <w:r>
        <w:rPr>
          <w:rFonts w:hint="eastAsia"/>
          <w:lang w:val="en-US" w:eastAsia="zh-CN"/>
        </w:rPr>
        <w:t>4</w:t>
      </w:r>
      <w:r>
        <w:t xml:space="preserve"> 建议</w:t>
      </w:r>
      <w:bookmarkEnd w:id="133"/>
      <w:bookmarkEnd w:id="134"/>
      <w:r>
        <w:t>与要求</w:t>
      </w:r>
      <w:bookmarkEnd w:id="135"/>
    </w:p>
    <w:p>
      <w:pPr>
        <w:numPr>
          <w:ilvl w:val="0"/>
          <w:numId w:val="7"/>
        </w:numPr>
        <w:ind w:left="0" w:leftChars="0" w:firstLine="480" w:firstLineChars="200"/>
        <w:rPr>
          <w:bCs/>
          <w:color w:val="000000"/>
        </w:rPr>
      </w:pPr>
      <w:bookmarkStart w:id="136" w:name="_Toc16519460"/>
      <w:bookmarkStart w:id="137" w:name="_Toc27817"/>
      <w:bookmarkStart w:id="138" w:name="_Toc17100877"/>
      <w:r>
        <w:rPr>
          <w:rFonts w:hint="eastAsia" w:ascii="Times New Roman" w:hAnsi="Times New Roman" w:eastAsia="宋体"/>
          <w:kern w:val="2"/>
          <w:sz w:val="24"/>
          <w:szCs w:val="24"/>
        </w:rPr>
        <w:t>提高企业管理人员及全体员工的环保意识，加强环境管理。不断完善各项环境管理规章制度，减</w:t>
      </w:r>
      <w:r>
        <w:rPr>
          <w:rFonts w:hint="eastAsia"/>
          <w:kern w:val="2"/>
          <w:sz w:val="24"/>
          <w:szCs w:val="24"/>
          <w:lang w:eastAsia="zh-CN"/>
        </w:rPr>
        <w:t>少各生产环节</w:t>
      </w:r>
      <w:r>
        <w:rPr>
          <w:rFonts w:hint="eastAsia" w:ascii="Times New Roman" w:hAnsi="Times New Roman" w:eastAsia="宋体"/>
          <w:kern w:val="2"/>
          <w:sz w:val="24"/>
          <w:szCs w:val="24"/>
        </w:rPr>
        <w:t>的跑、冒、滴、漏。加强生产各环节管理</w:t>
      </w:r>
      <w:r>
        <w:rPr>
          <w:rFonts w:hint="eastAsia" w:ascii="Times New Roman" w:hAnsi="Times New Roman" w:eastAsia="宋体"/>
          <w:kern w:val="2"/>
          <w:sz w:val="24"/>
          <w:szCs w:val="24"/>
          <w:lang w:eastAsia="zh-CN"/>
        </w:rPr>
        <w:t>。</w:t>
      </w:r>
    </w:p>
    <w:p>
      <w:pPr>
        <w:numPr>
          <w:ilvl w:val="0"/>
          <w:numId w:val="7"/>
        </w:numPr>
        <w:ind w:left="0" w:leftChars="0" w:firstLine="464" w:firstLineChars="200"/>
      </w:pPr>
      <w:r>
        <w:rPr>
          <w:rFonts w:hint="eastAsia" w:ascii="Times New Roman" w:hAnsi="宋体" w:eastAsia="宋体"/>
          <w:spacing w:val="-4"/>
          <w:sz w:val="24"/>
          <w:szCs w:val="24"/>
        </w:rPr>
        <w:t>加强环保设施的运行管理和维护，确保环保设施处于良好运行状态，以保证污染治理设施的处理效果</w:t>
      </w:r>
      <w:r>
        <w:rPr>
          <w:bCs/>
          <w:color w:val="000000"/>
        </w:rPr>
        <w:t>。</w:t>
      </w:r>
    </w:p>
    <w:p>
      <w:pPr>
        <w:pStyle w:val="30"/>
        <w:rPr>
          <w:rFonts w:hint="eastAsia"/>
          <w:lang w:val="en-US" w:eastAsia="zh-CN"/>
        </w:rPr>
      </w:pPr>
    </w:p>
    <w:bookmarkEnd w:id="136"/>
    <w:bookmarkEnd w:id="137"/>
    <w:bookmarkEnd w:id="138"/>
    <w:p>
      <w:pPr>
        <w:pStyle w:val="2"/>
        <w:keepNext/>
        <w:keepLines/>
        <w:pageBreakBefore/>
        <w:widowControl/>
        <w:kinsoku/>
        <w:wordWrap/>
        <w:overflowPunct/>
        <w:topLinePunct w:val="0"/>
        <w:autoSpaceDE/>
        <w:autoSpaceDN/>
        <w:bidi w:val="0"/>
        <w:adjustRightInd w:val="0"/>
        <w:snapToGrid w:val="0"/>
        <w:textAlignment w:val="auto"/>
      </w:pPr>
      <w:bookmarkStart w:id="139" w:name="_Toc15077"/>
      <w:bookmarkStart w:id="140" w:name="_Toc28981"/>
      <w:r>
        <w:rPr>
          <w:rFonts w:hint="eastAsia"/>
        </w:rPr>
        <w:t>1</w:t>
      </w:r>
      <w:r>
        <w:rPr>
          <w:rFonts w:hint="eastAsia"/>
          <w:lang w:val="en-US" w:eastAsia="zh-CN"/>
        </w:rPr>
        <w:t xml:space="preserve">1 </w:t>
      </w:r>
      <w:r>
        <w:t>附图附件</w:t>
      </w:r>
      <w:bookmarkEnd w:id="139"/>
      <w:bookmarkEnd w:id="140"/>
    </w:p>
    <w:p>
      <w:pPr>
        <w:pStyle w:val="3"/>
        <w:rPr>
          <w:rFonts w:hint="eastAsia" w:eastAsia="宋体"/>
          <w:lang w:eastAsia="zh-CN"/>
        </w:rPr>
      </w:pPr>
      <w:bookmarkStart w:id="141" w:name="_Toc15208"/>
      <w:bookmarkStart w:id="142" w:name="_Toc24074"/>
      <w:r>
        <w:rPr>
          <w:rFonts w:hint="eastAsia"/>
        </w:rPr>
        <w:t>1</w:t>
      </w:r>
      <w:r>
        <w:rPr>
          <w:rFonts w:hint="eastAsia"/>
          <w:lang w:val="en-US" w:eastAsia="zh-CN"/>
        </w:rPr>
        <w:t>1</w:t>
      </w:r>
      <w:r>
        <w:t>.1附图</w:t>
      </w:r>
      <w:bookmarkEnd w:id="141"/>
      <w:bookmarkEnd w:id="142"/>
      <w:r>
        <w:rPr>
          <w:rFonts w:hint="eastAsia"/>
          <w:lang w:eastAsia="zh-CN"/>
        </w:rPr>
        <w:t>：</w:t>
      </w:r>
    </w:p>
    <w:p>
      <w:pPr>
        <w:tabs>
          <w:tab w:val="left" w:pos="1455"/>
        </w:tabs>
        <w:spacing w:line="460" w:lineRule="atLeast"/>
        <w:ind w:firstLine="720" w:firstLineChars="300"/>
        <w:jc w:val="left"/>
        <w:rPr>
          <w:rFonts w:ascii="Times New Roman" w:hAnsi="Times New Roman" w:eastAsia="宋体"/>
          <w:color w:val="000000"/>
          <w:sz w:val="24"/>
          <w:szCs w:val="24"/>
        </w:rPr>
      </w:pPr>
      <w:r>
        <w:rPr>
          <w:rFonts w:ascii="Times New Roman" w:hAnsi="Times New Roman" w:eastAsia="宋体"/>
          <w:color w:val="000000"/>
          <w:sz w:val="24"/>
          <w:szCs w:val="24"/>
        </w:rPr>
        <w:t>附图1</w:t>
      </w:r>
      <w:r>
        <w:rPr>
          <w:rFonts w:hint="eastAsia" w:ascii="Times New Roman" w:hAnsi="Times New Roman" w:eastAsia="宋体"/>
          <w:color w:val="000000"/>
          <w:sz w:val="24"/>
          <w:szCs w:val="24"/>
          <w:lang w:val="en-US" w:eastAsia="zh-CN"/>
        </w:rPr>
        <w:t xml:space="preserve">  </w:t>
      </w:r>
      <w:r>
        <w:rPr>
          <w:rFonts w:ascii="Times New Roman" w:hAnsi="Times New Roman" w:eastAsia="宋体"/>
          <w:color w:val="000000"/>
          <w:sz w:val="24"/>
          <w:szCs w:val="24"/>
        </w:rPr>
        <w:t>项目地理位置图</w:t>
      </w:r>
      <w:r>
        <w:rPr>
          <w:rFonts w:ascii="Times New Roman" w:hAnsi="Times New Roman" w:eastAsia="宋体"/>
          <w:color w:val="000000"/>
          <w:sz w:val="24"/>
          <w:szCs w:val="24"/>
        </w:rPr>
        <w:tab/>
      </w:r>
    </w:p>
    <w:p>
      <w:pPr>
        <w:tabs>
          <w:tab w:val="left" w:pos="1455"/>
        </w:tabs>
        <w:spacing w:line="460" w:lineRule="atLeast"/>
        <w:ind w:firstLine="720" w:firstLineChars="300"/>
        <w:jc w:val="left"/>
        <w:rPr>
          <w:rFonts w:ascii="Times New Roman" w:hAnsi="Times New Roman" w:eastAsia="宋体"/>
          <w:color w:val="000000"/>
          <w:sz w:val="24"/>
          <w:szCs w:val="24"/>
        </w:rPr>
      </w:pPr>
      <w:r>
        <w:rPr>
          <w:rFonts w:hint="eastAsia" w:ascii="Times New Roman" w:hAnsi="Times New Roman" w:eastAsia="宋体"/>
          <w:color w:val="000000"/>
          <w:sz w:val="24"/>
          <w:szCs w:val="24"/>
        </w:rPr>
        <w:t>附图2  厂区</w:t>
      </w:r>
      <w:r>
        <w:rPr>
          <w:rFonts w:hint="eastAsia" w:ascii="Times New Roman" w:hAnsi="Times New Roman" w:eastAsia="宋体"/>
          <w:color w:val="000000"/>
          <w:sz w:val="24"/>
          <w:szCs w:val="24"/>
          <w:lang w:eastAsia="zh-CN"/>
        </w:rPr>
        <w:t>总</w:t>
      </w:r>
      <w:r>
        <w:rPr>
          <w:rFonts w:hint="eastAsia" w:ascii="Times New Roman" w:hAnsi="Times New Roman" w:eastAsia="宋体"/>
          <w:color w:val="000000"/>
          <w:sz w:val="24"/>
          <w:szCs w:val="24"/>
        </w:rPr>
        <w:t>平面布置图</w:t>
      </w:r>
    </w:p>
    <w:p>
      <w:pPr>
        <w:pStyle w:val="30"/>
        <w:rPr>
          <w:rFonts w:hint="eastAsia"/>
          <w:lang w:val="en-US" w:eastAsia="zh-CN"/>
        </w:rPr>
      </w:pPr>
    </w:p>
    <w:p>
      <w:pPr>
        <w:pStyle w:val="30"/>
        <w:rPr>
          <w:rFonts w:hint="default"/>
          <w:lang w:val="en-US" w:eastAsia="zh-CN"/>
        </w:rPr>
      </w:pPr>
    </w:p>
    <w:p>
      <w:pPr>
        <w:pStyle w:val="3"/>
        <w:rPr>
          <w:rFonts w:hint="eastAsia" w:eastAsia="宋体"/>
          <w:lang w:eastAsia="zh-CN"/>
        </w:rPr>
      </w:pPr>
      <w:bookmarkStart w:id="143" w:name="_Toc9016"/>
      <w:bookmarkStart w:id="144" w:name="_Toc31141"/>
      <w:r>
        <w:rPr>
          <w:rFonts w:hint="eastAsia"/>
        </w:rPr>
        <w:t>1</w:t>
      </w:r>
      <w:r>
        <w:rPr>
          <w:rFonts w:hint="eastAsia"/>
          <w:lang w:val="en-US" w:eastAsia="zh-CN"/>
        </w:rPr>
        <w:t>1</w:t>
      </w:r>
      <w:r>
        <w:t>.2附件</w:t>
      </w:r>
      <w:bookmarkEnd w:id="143"/>
      <w:bookmarkEnd w:id="144"/>
      <w:r>
        <w:rPr>
          <w:rFonts w:hint="eastAsia"/>
          <w:lang w:eastAsia="zh-CN"/>
        </w:rPr>
        <w:t>：</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附件1</w:t>
      </w:r>
      <w:r>
        <w:rPr>
          <w:rFonts w:hint="eastAsia" w:ascii="Times New Roman" w:hAnsi="Times New Roman"/>
          <w:color w:val="000000"/>
          <w:sz w:val="24"/>
          <w:szCs w:val="24"/>
          <w:lang w:val="en-US" w:eastAsia="zh-CN"/>
        </w:rPr>
        <w:t xml:space="preserve">  </w:t>
      </w:r>
      <w:r>
        <w:rPr>
          <w:rFonts w:hint="eastAsia" w:ascii="Times New Roman" w:hAnsi="Times New Roman"/>
          <w:color w:val="000000"/>
          <w:sz w:val="24"/>
          <w:szCs w:val="24"/>
          <w:lang w:eastAsia="zh-CN"/>
        </w:rPr>
        <w:t>环评</w:t>
      </w:r>
      <w:r>
        <w:rPr>
          <w:rFonts w:hint="eastAsia"/>
          <w:color w:val="000000"/>
          <w:sz w:val="24"/>
          <w:szCs w:val="24"/>
          <w:lang w:val="en-US" w:eastAsia="zh-CN"/>
        </w:rPr>
        <w:t>批准书</w:t>
      </w:r>
    </w:p>
    <w:p>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eastAsia="zh-CN"/>
        </w:rPr>
        <w:t>附件</w:t>
      </w:r>
      <w:r>
        <w:rPr>
          <w:rFonts w:hint="eastAsia" w:ascii="Times New Roman" w:hAnsi="Times New Roman"/>
          <w:color w:val="000000"/>
          <w:sz w:val="24"/>
          <w:szCs w:val="24"/>
          <w:lang w:val="en-US" w:eastAsia="zh-CN"/>
        </w:rPr>
        <w:t>2  竣工验收监测报告</w:t>
      </w:r>
      <w:r>
        <w:rPr>
          <w:rFonts w:hint="eastAsia"/>
          <w:color w:val="000000"/>
          <w:sz w:val="24"/>
          <w:szCs w:val="24"/>
          <w:lang w:val="en-US" w:eastAsia="zh-CN"/>
        </w:rPr>
        <w:t>（</w:t>
      </w:r>
      <w:bookmarkStart w:id="145" w:name="_GoBack"/>
      <w:bookmarkEnd w:id="145"/>
      <w:r>
        <w:rPr>
          <w:rFonts w:hint="eastAsia"/>
          <w:color w:val="000000"/>
          <w:sz w:val="24"/>
          <w:szCs w:val="24"/>
          <w:lang w:val="en-US" w:eastAsia="zh-CN"/>
        </w:rPr>
        <w:t>YFA24010801）</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附件3  危废协议</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附件4  排污许可证</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 xml:space="preserve">附件5 </w:t>
      </w:r>
      <w:r>
        <w:rPr>
          <w:rFonts w:hint="eastAsia"/>
          <w:color w:val="000000"/>
          <w:sz w:val="24"/>
          <w:szCs w:val="24"/>
          <w:lang w:val="en-US" w:eastAsia="zh-CN"/>
        </w:rPr>
        <w:t>还田协议</w:t>
      </w:r>
    </w:p>
    <w:p>
      <w:pPr>
        <w:tabs>
          <w:tab w:val="left" w:pos="1455"/>
        </w:tabs>
        <w:spacing w:line="460" w:lineRule="atLeast"/>
        <w:ind w:firstLine="720" w:firstLineChars="300"/>
        <w:jc w:val="left"/>
        <w:rPr>
          <w:rFonts w:hint="default" w:ascii="Times New Roman" w:hAnsi="Times New Roman"/>
          <w:color w:val="000000"/>
          <w:sz w:val="24"/>
          <w:szCs w:val="24"/>
          <w:lang w:val="en-US" w:eastAsia="zh-CN"/>
        </w:rPr>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pPr>
      <w:r>
        <w:rPr>
          <w:rFonts w:hint="eastAsia" w:ascii="Times New Roman" w:hAnsi="Times New Roman"/>
          <w:color w:val="000000"/>
          <w:sz w:val="24"/>
          <w:szCs w:val="24"/>
          <w:lang w:val="en-US" w:eastAsia="zh-CN"/>
        </w:rPr>
        <w:t>附件6 专家意见及签到表</w:t>
      </w:r>
    </w:p>
    <w:p>
      <w:pPr>
        <w:spacing w:after="0" w:line="360" w:lineRule="auto"/>
        <w:jc w:val="center"/>
        <w:rPr>
          <w:rFonts w:eastAsia="黑体"/>
          <w:b/>
          <w:sz w:val="21"/>
          <w:szCs w:val="21"/>
        </w:rPr>
      </w:pPr>
      <w:r>
        <w:rPr>
          <w:rFonts w:eastAsia="黑体"/>
          <w:b/>
          <w:sz w:val="21"/>
          <w:szCs w:val="21"/>
        </w:rPr>
        <w:t>建设项目工程竣工环境保护“三同时”验收登记表</w:t>
      </w:r>
    </w:p>
    <w:p>
      <w:pPr>
        <w:spacing w:after="0" w:line="240" w:lineRule="auto"/>
        <w:ind w:firstLine="103" w:firstLineChars="49"/>
        <w:rPr>
          <w:rFonts w:ascii="宋体" w:hAnsi="宋体" w:eastAsia="宋体"/>
          <w:b/>
          <w:sz w:val="21"/>
          <w:szCs w:val="21"/>
        </w:rPr>
      </w:pPr>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w:t>
      </w:r>
      <w:r>
        <w:rPr>
          <w:rFonts w:hint="eastAsia" w:ascii="宋体" w:hAnsi="宋体" w:eastAsia="宋体"/>
          <w:b/>
          <w:sz w:val="21"/>
          <w:szCs w:val="21"/>
        </w:rPr>
        <w:t xml:space="preserve">                      </w:t>
      </w:r>
      <w:r>
        <w:rPr>
          <w:rFonts w:ascii="宋体" w:hAnsi="宋体" w:eastAsia="宋体"/>
          <w:b/>
          <w:sz w:val="21"/>
          <w:szCs w:val="21"/>
        </w:rPr>
        <w:t xml:space="preserve">   填表人（签字）：         </w:t>
      </w:r>
      <w:r>
        <w:rPr>
          <w:rFonts w:hint="eastAsia" w:ascii="宋体" w:hAnsi="宋体" w:eastAsia="宋体"/>
          <w:b/>
          <w:sz w:val="21"/>
          <w:szCs w:val="21"/>
        </w:rPr>
        <w:t xml:space="preserve">    </w:t>
      </w:r>
      <w:r>
        <w:rPr>
          <w:rFonts w:ascii="宋体" w:hAnsi="宋体" w:eastAsia="宋体"/>
          <w:b/>
          <w:sz w:val="21"/>
          <w:szCs w:val="21"/>
        </w:rPr>
        <w:t xml:space="preserve">                     项目经办人（签字）：</w:t>
      </w:r>
    </w:p>
    <w:tbl>
      <w:tblPr>
        <w:tblStyle w:val="23"/>
        <w:tblW w:w="15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649"/>
        <w:gridCol w:w="780"/>
        <w:gridCol w:w="1125"/>
        <w:gridCol w:w="211"/>
        <w:gridCol w:w="660"/>
        <w:gridCol w:w="254"/>
        <w:gridCol w:w="765"/>
        <w:gridCol w:w="150"/>
        <w:gridCol w:w="285"/>
        <w:gridCol w:w="814"/>
        <w:gridCol w:w="911"/>
        <w:gridCol w:w="244"/>
        <w:gridCol w:w="1166"/>
        <w:gridCol w:w="496"/>
        <w:gridCol w:w="854"/>
        <w:gridCol w:w="969"/>
        <w:gridCol w:w="816"/>
        <w:gridCol w:w="180"/>
        <w:gridCol w:w="345"/>
        <w:gridCol w:w="781"/>
        <w:gridCol w:w="424"/>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restart"/>
            <w:noWrap w:val="0"/>
            <w:textDirection w:val="tbRlV"/>
            <w:vAlign w:val="center"/>
          </w:tcPr>
          <w:p>
            <w:pPr>
              <w:spacing w:after="0" w:line="240" w:lineRule="auto"/>
              <w:ind w:firstLine="1801" w:firstLineChars="1200"/>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建设项目</w:t>
            </w: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项目名称</w:t>
            </w:r>
          </w:p>
        </w:tc>
        <w:tc>
          <w:tcPr>
            <w:tcW w:w="4230" w:type="dxa"/>
            <w:gridSpan w:val="8"/>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巫溪县华安墙材有限公司</w:t>
            </w:r>
            <w:r>
              <w:rPr>
                <w:rFonts w:hint="eastAsia" w:ascii="Tahoma" w:hAnsi="Tahoma" w:eastAsia="微软雅黑" w:cs="Times New Roman"/>
                <w:kern w:val="2"/>
                <w:sz w:val="15"/>
                <w:szCs w:val="15"/>
              </w:rPr>
              <w:t xml:space="preserve"> </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项目代码</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2308-500238-07-02-116316</w:t>
            </w:r>
          </w:p>
        </w:tc>
        <w:tc>
          <w:tcPr>
            <w:tcW w:w="969" w:type="dxa"/>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建设地点</w:t>
            </w:r>
          </w:p>
        </w:tc>
        <w:tc>
          <w:tcPr>
            <w:tcW w:w="2971" w:type="dxa"/>
            <w:gridSpan w:val="6"/>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巫溪县上磺镇上磺村一社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行业类别（分类管理名录）</w:t>
            </w:r>
          </w:p>
        </w:tc>
        <w:tc>
          <w:tcPr>
            <w:tcW w:w="4230" w:type="dxa"/>
            <w:gridSpan w:val="8"/>
            <w:noWrap w:val="0"/>
            <w:vAlign w:val="center"/>
          </w:tcPr>
          <w:p>
            <w:pPr>
              <w:spacing w:after="0" w:line="240" w:lineRule="auto"/>
              <w:rPr>
                <w:rFonts w:hint="eastAsia" w:ascii="Tahoma" w:hAnsi="Tahoma" w:eastAsia="微软雅黑" w:cs="Times New Roman"/>
                <w:b/>
                <w:kern w:val="2"/>
                <w:sz w:val="15"/>
                <w:szCs w:val="15"/>
                <w:lang w:eastAsia="zh-CN"/>
              </w:rPr>
            </w:pPr>
            <w:r>
              <w:rPr>
                <w:rFonts w:hint="eastAsia" w:ascii="Tahoma" w:hAnsi="Tahoma" w:eastAsia="微软雅黑" w:cs="Times New Roman"/>
                <w:b w:val="0"/>
                <w:bCs/>
                <w:kern w:val="2"/>
                <w:sz w:val="15"/>
                <w:szCs w:val="15"/>
                <w:lang w:val="en-US" w:eastAsia="zh-CN"/>
              </w:rPr>
              <w:t>N7723 固体废物治理</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建设性质</w:t>
            </w:r>
          </w:p>
        </w:tc>
        <w:tc>
          <w:tcPr>
            <w:tcW w:w="6700" w:type="dxa"/>
            <w:gridSpan w:val="11"/>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□新建  □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设计生产能力</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val="en-US" w:eastAsia="zh-CN"/>
              </w:rPr>
              <w:t>本项目在保持砖厂生产工艺和生产规模不变的前提下，依托砖厂现有年产3500万匹标砖生产线，拟在现有页岩砖生产线上增加生活污泥给料入口，利用生活污泥代替部分页岩作为原料生产页岩空心砖</w:t>
            </w:r>
          </w:p>
        </w:tc>
        <w:tc>
          <w:tcPr>
            <w:tcW w:w="1725" w:type="dxa"/>
            <w:gridSpan w:val="2"/>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实际生产能力</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依托砖厂现有年产3500万匹标砖生产线，在现有页岩砖生产线上增加生活污泥给料入口，利用生活污泥代替部分页岩作为原料生产页岩空心砖</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环评单位</w:t>
            </w:r>
          </w:p>
        </w:tc>
        <w:tc>
          <w:tcPr>
            <w:tcW w:w="2155" w:type="dxa"/>
            <w:gridSpan w:val="5"/>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val="en-US" w:eastAsia="zh-CN"/>
              </w:rPr>
              <w:t>重庆绿丰环保科技有限公司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环评文件审批机关</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巫溪县生态环境保护局</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审批文号</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渝（巫溪 ）环准〔2024〕2号</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环评文件类型</w:t>
            </w:r>
          </w:p>
        </w:tc>
        <w:tc>
          <w:tcPr>
            <w:tcW w:w="2155" w:type="dxa"/>
            <w:gridSpan w:val="5"/>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环境影响报告</w:t>
            </w:r>
            <w:r>
              <w:rPr>
                <w:rFonts w:hint="eastAsia" w:ascii="Tahoma" w:hAnsi="Tahoma" w:eastAsia="微软雅黑" w:cs="Times New Roman"/>
                <w:kern w:val="2"/>
                <w:sz w:val="15"/>
                <w:szCs w:val="15"/>
                <w:lang w:eastAsia="zh-CN"/>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开工日期</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20</w:t>
            </w:r>
            <w:r>
              <w:rPr>
                <w:rFonts w:hint="eastAsia" w:ascii="Tahoma" w:hAnsi="Tahoma" w:eastAsia="微软雅黑" w:cs="Times New Roman"/>
                <w:kern w:val="2"/>
                <w:sz w:val="15"/>
                <w:szCs w:val="15"/>
                <w:lang w:val="en-US" w:eastAsia="zh-CN"/>
              </w:rPr>
              <w:t>24</w:t>
            </w:r>
            <w:r>
              <w:rPr>
                <w:rFonts w:hint="eastAsia" w:ascii="Tahoma" w:hAnsi="Tahoma" w:eastAsia="微软雅黑" w:cs="Times New Roman"/>
                <w:kern w:val="2"/>
                <w:sz w:val="15"/>
                <w:szCs w:val="15"/>
                <w:lang w:eastAsia="zh-CN"/>
              </w:rPr>
              <w:t>.</w:t>
            </w:r>
            <w:r>
              <w:rPr>
                <w:rFonts w:hint="eastAsia" w:ascii="Tahoma" w:hAnsi="Tahoma" w:eastAsia="微软雅黑" w:cs="Times New Roman"/>
                <w:kern w:val="2"/>
                <w:sz w:val="15"/>
                <w:szCs w:val="15"/>
                <w:lang w:val="en-US" w:eastAsia="zh-CN"/>
              </w:rPr>
              <w:t>1</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竣工日期</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24</w:t>
            </w:r>
            <w:r>
              <w:rPr>
                <w:rFonts w:hint="eastAsia" w:ascii="Tahoma" w:hAnsi="Tahoma" w:eastAsia="微软雅黑" w:cs="Times New Roman"/>
                <w:kern w:val="2"/>
                <w:sz w:val="15"/>
                <w:szCs w:val="15"/>
              </w:rPr>
              <w:t>.</w:t>
            </w:r>
            <w:r>
              <w:rPr>
                <w:rFonts w:hint="eastAsia" w:ascii="Tahoma" w:hAnsi="Tahoma" w:eastAsia="微软雅黑" w:cs="Times New Roman"/>
                <w:kern w:val="2"/>
                <w:sz w:val="15"/>
                <w:szCs w:val="15"/>
                <w:lang w:val="en-US" w:eastAsia="zh-CN"/>
              </w:rPr>
              <w:t>2</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排污许可证申领时间</w:t>
            </w:r>
          </w:p>
        </w:tc>
        <w:tc>
          <w:tcPr>
            <w:tcW w:w="2155" w:type="dxa"/>
            <w:gridSpan w:val="5"/>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环保设施设计单位</w:t>
            </w:r>
          </w:p>
        </w:tc>
        <w:tc>
          <w:tcPr>
            <w:tcW w:w="4230" w:type="dxa"/>
            <w:gridSpan w:val="8"/>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巫溪县华安墙材有限公司</w:t>
            </w:r>
            <w:r>
              <w:rPr>
                <w:rFonts w:hint="eastAsia" w:ascii="Tahoma" w:hAnsi="Tahoma" w:eastAsia="微软雅黑" w:cs="Times New Roman"/>
                <w:kern w:val="2"/>
                <w:sz w:val="15"/>
                <w:szCs w:val="15"/>
              </w:rPr>
              <w:t xml:space="preserve"> </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环保设施施工单位</w:t>
            </w:r>
          </w:p>
        </w:tc>
        <w:tc>
          <w:tcPr>
            <w:tcW w:w="2760" w:type="dxa"/>
            <w:gridSpan w:val="4"/>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巫溪县华安墙材有限公司</w:t>
            </w:r>
            <w:r>
              <w:rPr>
                <w:rFonts w:hint="eastAsia" w:ascii="Tahoma" w:hAnsi="Tahoma" w:eastAsia="微软雅黑" w:cs="Times New Roman"/>
                <w:kern w:val="2"/>
                <w:sz w:val="15"/>
                <w:szCs w:val="15"/>
              </w:rPr>
              <w:t xml:space="preserve"> </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本工程排污许可证编号</w:t>
            </w:r>
          </w:p>
        </w:tc>
        <w:tc>
          <w:tcPr>
            <w:tcW w:w="2155" w:type="dxa"/>
            <w:gridSpan w:val="5"/>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验收单位</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重庆万世缘环保科技有限公司</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环保设施监测单位</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重庆渝法检测技术服务有限公司</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验收监测时工况</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投资总概算（万元）</w:t>
            </w:r>
          </w:p>
        </w:tc>
        <w:tc>
          <w:tcPr>
            <w:tcW w:w="4230" w:type="dxa"/>
            <w:gridSpan w:val="8"/>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1300</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环保投资总概算（万元）</w:t>
            </w:r>
          </w:p>
        </w:tc>
        <w:tc>
          <w:tcPr>
            <w:tcW w:w="2760"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35</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实际总投资</w:t>
            </w:r>
          </w:p>
        </w:tc>
        <w:tc>
          <w:tcPr>
            <w:tcW w:w="4230" w:type="dxa"/>
            <w:gridSpan w:val="8"/>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1300</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实际环保投资（万元）</w:t>
            </w:r>
          </w:p>
        </w:tc>
        <w:tc>
          <w:tcPr>
            <w:tcW w:w="2760"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40</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废水治理（万元）</w:t>
            </w:r>
          </w:p>
        </w:tc>
        <w:tc>
          <w:tcPr>
            <w:tcW w:w="780" w:type="dxa"/>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4</w:t>
            </w:r>
          </w:p>
        </w:tc>
        <w:tc>
          <w:tcPr>
            <w:tcW w:w="1336" w:type="dxa"/>
            <w:gridSpan w:val="2"/>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rPr>
              <w:t>废气治理（万元）</w:t>
            </w:r>
          </w:p>
        </w:tc>
        <w:tc>
          <w:tcPr>
            <w:tcW w:w="660" w:type="dxa"/>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17</w:t>
            </w:r>
          </w:p>
        </w:tc>
        <w:tc>
          <w:tcPr>
            <w:tcW w:w="1454"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b/>
                <w:bCs/>
                <w:kern w:val="2"/>
                <w:sz w:val="15"/>
                <w:szCs w:val="15"/>
              </w:rPr>
              <w:t>噪声治理（万元）</w:t>
            </w:r>
          </w:p>
        </w:tc>
        <w:tc>
          <w:tcPr>
            <w:tcW w:w="1725" w:type="dxa"/>
            <w:gridSpan w:val="2"/>
            <w:noWrap w:val="0"/>
            <w:vAlign w:val="center"/>
          </w:tcPr>
          <w:p>
            <w:pPr>
              <w:spacing w:after="0" w:line="240" w:lineRule="auto"/>
              <w:rPr>
                <w:rFonts w:hint="default" w:ascii="Tahoma" w:hAnsi="Tahoma" w:eastAsia="微软雅黑" w:cs="Times New Roman"/>
                <w:kern w:val="2"/>
                <w:sz w:val="15"/>
                <w:szCs w:val="15"/>
                <w:lang w:val="en-US"/>
              </w:rPr>
            </w:pPr>
            <w:r>
              <w:rPr>
                <w:rFonts w:hint="eastAsia" w:ascii="Tahoma" w:hAnsi="Tahoma" w:eastAsia="微软雅黑" w:cs="Times New Roman"/>
                <w:kern w:val="2"/>
                <w:sz w:val="15"/>
                <w:szCs w:val="15"/>
                <w:lang w:val="en-US" w:eastAsia="zh-CN"/>
              </w:rPr>
              <w:t>10</w:t>
            </w:r>
          </w:p>
        </w:tc>
        <w:tc>
          <w:tcPr>
            <w:tcW w:w="1906" w:type="dxa"/>
            <w:gridSpan w:val="3"/>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固体废物治理（万元）</w:t>
            </w:r>
          </w:p>
        </w:tc>
        <w:tc>
          <w:tcPr>
            <w:tcW w:w="854" w:type="dxa"/>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4</w:t>
            </w:r>
          </w:p>
        </w:tc>
        <w:tc>
          <w:tcPr>
            <w:tcW w:w="1785" w:type="dxa"/>
            <w:gridSpan w:val="2"/>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b/>
                <w:bCs/>
                <w:kern w:val="2"/>
                <w:sz w:val="15"/>
                <w:szCs w:val="15"/>
              </w:rPr>
              <w:t>绿化及生态（万元）</w:t>
            </w:r>
          </w:p>
        </w:tc>
        <w:tc>
          <w:tcPr>
            <w:tcW w:w="525" w:type="dxa"/>
            <w:gridSpan w:val="2"/>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0</w:t>
            </w:r>
          </w:p>
        </w:tc>
        <w:tc>
          <w:tcPr>
            <w:tcW w:w="1205" w:type="dxa"/>
            <w:gridSpan w:val="2"/>
            <w:noWrap w:val="0"/>
            <w:vAlign w:val="center"/>
          </w:tcPr>
          <w:p>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bCs/>
                <w:kern w:val="2"/>
                <w:sz w:val="15"/>
                <w:szCs w:val="15"/>
              </w:rPr>
              <w:t>其他（万元）</w:t>
            </w:r>
          </w:p>
        </w:tc>
        <w:tc>
          <w:tcPr>
            <w:tcW w:w="425" w:type="dxa"/>
            <w:noWrap w:val="0"/>
            <w:vAlign w:val="center"/>
          </w:tcPr>
          <w:p>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val="0"/>
                <w:bCs w:val="0"/>
                <w:kern w:val="2"/>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rPr>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新增废水处理设施能力</w:t>
            </w:r>
          </w:p>
        </w:tc>
        <w:tc>
          <w:tcPr>
            <w:tcW w:w="4230" w:type="dxa"/>
            <w:gridSpan w:val="8"/>
            <w:noWrap w:val="0"/>
            <w:vAlign w:val="center"/>
          </w:tcPr>
          <w:p>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kern w:val="2"/>
                <w:sz w:val="15"/>
                <w:szCs w:val="15"/>
                <w:lang w:val="en-US" w:eastAsia="zh-CN"/>
              </w:rPr>
              <w:t>/</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新增废气处理设施能力</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年平均工作时</w:t>
            </w:r>
          </w:p>
        </w:tc>
        <w:tc>
          <w:tcPr>
            <w:tcW w:w="2155" w:type="dxa"/>
            <w:gridSpan w:val="5"/>
            <w:noWrap w:val="0"/>
            <w:vAlign w:val="center"/>
          </w:tcPr>
          <w:p>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val="0"/>
                <w:bCs/>
                <w:kern w:val="2"/>
                <w:sz w:val="15"/>
                <w:szCs w:val="15"/>
                <w:lang w:val="en-US" w:eastAsia="zh-CN"/>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392" w:type="dxa"/>
            <w:gridSpan w:val="4"/>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运营单位</w:t>
            </w:r>
          </w:p>
        </w:tc>
        <w:tc>
          <w:tcPr>
            <w:tcW w:w="3795" w:type="dxa"/>
            <w:gridSpan w:val="6"/>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巫溪县华安墙材有限公司</w:t>
            </w:r>
          </w:p>
        </w:tc>
        <w:tc>
          <w:tcPr>
            <w:tcW w:w="2160" w:type="dxa"/>
            <w:gridSpan w:val="4"/>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lang w:eastAsia="zh-CN"/>
              </w:rPr>
              <w:t>运营单位社会统一信用代码</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91500238563485582G</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验收时间</w:t>
            </w:r>
          </w:p>
        </w:tc>
        <w:tc>
          <w:tcPr>
            <w:tcW w:w="2155" w:type="dxa"/>
            <w:gridSpan w:val="5"/>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24</w:t>
            </w:r>
            <w:r>
              <w:rPr>
                <w:rFonts w:hint="eastAsia" w:ascii="Tahoma" w:hAnsi="Tahoma" w:eastAsia="微软雅黑" w:cs="Times New Roman"/>
                <w:kern w:val="2"/>
                <w:sz w:val="15"/>
                <w:szCs w:val="15"/>
              </w:rPr>
              <w:t>.</w:t>
            </w:r>
            <w:r>
              <w:rPr>
                <w:rFonts w:hint="eastAsia" w:ascii="Tahoma" w:hAnsi="Tahoma" w:eastAsia="微软雅黑" w:cs="Times New Roman"/>
                <w:kern w:val="2"/>
                <w:sz w:val="15"/>
                <w:szCs w:val="15"/>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4" w:type="dxa"/>
            <w:gridSpan w:val="2"/>
            <w:vMerge w:val="restart"/>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物排</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放达</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标与</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总量</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控制（工</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业建</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设项</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目详填）</w:t>
            </w: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污染物</w:t>
            </w:r>
          </w:p>
        </w:tc>
        <w:tc>
          <w:tcPr>
            <w:tcW w:w="780"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原有排</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放量(1)</w:t>
            </w:r>
          </w:p>
        </w:tc>
        <w:tc>
          <w:tcPr>
            <w:tcW w:w="1125"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本期工程实际排放浓度(2)</w:t>
            </w:r>
          </w:p>
        </w:tc>
        <w:tc>
          <w:tcPr>
            <w:tcW w:w="1125"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本期工程允许排放浓度(3)</w:t>
            </w:r>
          </w:p>
        </w:tc>
        <w:tc>
          <w:tcPr>
            <w:tcW w:w="91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本期工程产生量(4)</w:t>
            </w:r>
          </w:p>
        </w:tc>
        <w:tc>
          <w:tcPr>
            <w:tcW w:w="1099"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本期工程自身削减量(5)</w:t>
            </w:r>
          </w:p>
        </w:tc>
        <w:tc>
          <w:tcPr>
            <w:tcW w:w="115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本期工程实际排放量(6)</w:t>
            </w:r>
          </w:p>
        </w:tc>
        <w:tc>
          <w:tcPr>
            <w:tcW w:w="1166"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本期工程核定排放总量(7)</w:t>
            </w:r>
          </w:p>
        </w:tc>
        <w:tc>
          <w:tcPr>
            <w:tcW w:w="1350"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本期工程“以新带老”削减量(8)</w:t>
            </w:r>
          </w:p>
        </w:tc>
        <w:tc>
          <w:tcPr>
            <w:tcW w:w="969"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全厂实际排放总量(9)</w:t>
            </w:r>
          </w:p>
        </w:tc>
        <w:tc>
          <w:tcPr>
            <w:tcW w:w="996"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全厂核定排放总量(10)</w:t>
            </w:r>
          </w:p>
        </w:tc>
        <w:tc>
          <w:tcPr>
            <w:tcW w:w="1126"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区域平衡替代削减量(11)</w:t>
            </w:r>
          </w:p>
        </w:tc>
        <w:tc>
          <w:tcPr>
            <w:tcW w:w="849"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化学需氧量</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氨氮</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石油类</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废气</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二氧化硫</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烟尘</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工业粉尘</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氮氧化物</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工业固体废物</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129" w:type="dxa"/>
            <w:vMerge w:val="restart"/>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与项目有关其他特征污染物</w:t>
            </w:r>
          </w:p>
        </w:tc>
        <w:tc>
          <w:tcPr>
            <w:tcW w:w="649" w:type="dxa"/>
            <w:noWrap w:val="0"/>
            <w:vAlign w:val="center"/>
          </w:tcPr>
          <w:p>
            <w:pPr>
              <w:spacing w:after="0" w:line="240" w:lineRule="auto"/>
              <w:rPr>
                <w:rFonts w:hint="eastAsia" w:ascii="Tahoma" w:hAnsi="Tahoma" w:eastAsia="微软雅黑" w:cs="Times New Roman"/>
                <w:b/>
                <w:kern w:val="2"/>
                <w:sz w:val="15"/>
                <w:szCs w:val="15"/>
              </w:rPr>
            </w:pP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129"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649" w:type="dxa"/>
            <w:noWrap w:val="0"/>
            <w:vAlign w:val="center"/>
          </w:tcPr>
          <w:p>
            <w:pPr>
              <w:spacing w:after="0" w:line="240" w:lineRule="auto"/>
              <w:rPr>
                <w:rFonts w:hint="eastAsia" w:ascii="Tahoma" w:hAnsi="Tahoma" w:eastAsia="微软雅黑" w:cs="Times New Roman"/>
                <w:b/>
                <w:kern w:val="2"/>
                <w:sz w:val="15"/>
                <w:szCs w:val="15"/>
              </w:rPr>
            </w:pP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bl>
    <w:p>
      <w:pPr>
        <w:spacing w:after="0"/>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sectPr>
      <w:footerReference r:id="rId15" w:type="default"/>
      <w:pgSz w:w="16838" w:h="11906" w:orient="landscape"/>
      <w:pgMar w:top="1134" w:right="1440" w:bottom="1797" w:left="56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Times New Roman”“">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38"/>
      </w:rPr>
    </w:pPr>
    <w:r>
      <w:fldChar w:fldCharType="begin"/>
    </w:r>
    <w:r>
      <w:rPr>
        <w:rStyle w:val="38"/>
      </w:rPr>
      <w:instrText xml:space="preserve">PAGE  </w:instrText>
    </w:r>
    <w:r>
      <w:fldChar w:fldCharType="separate"/>
    </w:r>
    <w:r>
      <w:rPr>
        <w:rStyle w:val="38"/>
      </w:rPr>
      <w:t>36</w: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before="120"/>
      <w:ind w:firstLine="520"/>
      <w:jc w:val="center"/>
    </w:pPr>
  </w:p>
  <w:p>
    <w:pPr>
      <w:tabs>
        <w:tab w:val="center" w:pos="4153"/>
        <w:tab w:val="right" w:pos="8306"/>
      </w:tabs>
      <w:ind w:firstLine="5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rStyle w:val="26"/>
        <w:rFonts w:hint="eastAsia" w:eastAsia="宋体"/>
        <w:szCs w:val="21"/>
        <w:lang w:eastAsia="zh-CN"/>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jc w:val="cente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53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5SrA0AgAAZg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UqwNAIAAGY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jc w:val="cente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53</w:t>
                    </w:r>
                    <w:r>
                      <w:rPr>
                        <w:sz w:val="21"/>
                        <w:szCs w:val="21"/>
                      </w:rPr>
                      <w:fldChar w:fldCharType="end"/>
                    </w:r>
                  </w:p>
                </w:txbxContent>
              </v:textbox>
            </v:shape>
          </w:pict>
        </mc:Fallback>
      </mc:AlternateContent>
    </w:r>
    <w:r>
      <w:rPr>
        <w:rFonts w:hint="eastAsia"/>
        <w:lang w:eastAsia="zh-CN"/>
      </w:rPr>
      <w:t>巫溪县华安墙材有限公司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rStyle w:val="26"/>
        <w:rFonts w:hint="eastAsia" w:eastAsia="宋体"/>
        <w:szCs w:val="21"/>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spacing w:line="240" w:lineRule="auto"/>
      <w:jc w:val="center"/>
      <w:rPr>
        <w:rFonts w:hint="default"/>
        <w:sz w:val="21"/>
        <w:szCs w:val="21"/>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页岩砖加工技改项目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E4F87"/>
    <w:multiLevelType w:val="multilevel"/>
    <w:tmpl w:val="B45E4F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DF65F463"/>
    <w:multiLevelType w:val="singleLevel"/>
    <w:tmpl w:val="DF65F463"/>
    <w:lvl w:ilvl="0" w:tentative="0">
      <w:start w:val="2"/>
      <w:numFmt w:val="decimal"/>
      <w:suff w:val="nothing"/>
      <w:lvlText w:val="（%1）"/>
      <w:lvlJc w:val="left"/>
    </w:lvl>
  </w:abstractNum>
  <w:abstractNum w:abstractNumId="2">
    <w:nsid w:val="DFA05CB8"/>
    <w:multiLevelType w:val="singleLevel"/>
    <w:tmpl w:val="DFA05CB8"/>
    <w:lvl w:ilvl="0" w:tentative="0">
      <w:start w:val="2"/>
      <w:numFmt w:val="decimal"/>
      <w:suff w:val="nothing"/>
      <w:lvlText w:val="（%1）"/>
      <w:lvlJc w:val="left"/>
    </w:lvl>
  </w:abstractNum>
  <w:abstractNum w:abstractNumId="3">
    <w:nsid w:val="EDC16E59"/>
    <w:multiLevelType w:val="singleLevel"/>
    <w:tmpl w:val="EDC16E59"/>
    <w:lvl w:ilvl="0" w:tentative="0">
      <w:start w:val="1"/>
      <w:numFmt w:val="decimal"/>
      <w:suff w:val="nothing"/>
      <w:lvlText w:val="（%1）"/>
      <w:lvlJc w:val="left"/>
    </w:lvl>
  </w:abstractNum>
  <w:abstractNum w:abstractNumId="4">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pStyle w:val="5"/>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5">
    <w:nsid w:val="22622605"/>
    <w:multiLevelType w:val="singleLevel"/>
    <w:tmpl w:val="22622605"/>
    <w:lvl w:ilvl="0" w:tentative="0">
      <w:start w:val="1"/>
      <w:numFmt w:val="decimal"/>
      <w:suff w:val="nothing"/>
      <w:lvlText w:val="（%1）"/>
      <w:lvlJc w:val="left"/>
    </w:lvl>
  </w:abstractNum>
  <w:abstractNum w:abstractNumId="6">
    <w:nsid w:val="73DDCEE1"/>
    <w:multiLevelType w:val="singleLevel"/>
    <w:tmpl w:val="73DDCEE1"/>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4"/>
  </w:num>
  <w:num w:numId="2">
    <w:abstractNumId w:val="6"/>
  </w:num>
  <w:num w:numId="3">
    <w:abstractNumId w:val="0"/>
  </w:num>
  <w:num w:numId="4">
    <w:abstractNumId w:val="5"/>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jZjM5M2FmNTBlYmZkZTU2MTk1ZDlhZWM5OWE2YjgifQ=="/>
  </w:docVars>
  <w:rsids>
    <w:rsidRoot w:val="6A8C6B19"/>
    <w:rsid w:val="00034320"/>
    <w:rsid w:val="00050C34"/>
    <w:rsid w:val="00056734"/>
    <w:rsid w:val="000657CA"/>
    <w:rsid w:val="00097837"/>
    <w:rsid w:val="000A4BED"/>
    <w:rsid w:val="000B2A65"/>
    <w:rsid w:val="000C04E8"/>
    <w:rsid w:val="000E1F98"/>
    <w:rsid w:val="000F7E86"/>
    <w:rsid w:val="0010718E"/>
    <w:rsid w:val="0012160E"/>
    <w:rsid w:val="00121DFF"/>
    <w:rsid w:val="001234D6"/>
    <w:rsid w:val="00124F9C"/>
    <w:rsid w:val="0012584F"/>
    <w:rsid w:val="001575F9"/>
    <w:rsid w:val="001731EF"/>
    <w:rsid w:val="00194FA9"/>
    <w:rsid w:val="001B3AD0"/>
    <w:rsid w:val="001E0AA8"/>
    <w:rsid w:val="00224259"/>
    <w:rsid w:val="0023432C"/>
    <w:rsid w:val="00264C4C"/>
    <w:rsid w:val="00281054"/>
    <w:rsid w:val="002C32A5"/>
    <w:rsid w:val="002D40AB"/>
    <w:rsid w:val="002E384F"/>
    <w:rsid w:val="003004A2"/>
    <w:rsid w:val="00303AD2"/>
    <w:rsid w:val="00340315"/>
    <w:rsid w:val="00346FA2"/>
    <w:rsid w:val="00353ABB"/>
    <w:rsid w:val="0036026E"/>
    <w:rsid w:val="003629BC"/>
    <w:rsid w:val="003669B5"/>
    <w:rsid w:val="00370B63"/>
    <w:rsid w:val="00391130"/>
    <w:rsid w:val="003C40C3"/>
    <w:rsid w:val="003D3DF3"/>
    <w:rsid w:val="003E1A15"/>
    <w:rsid w:val="003F1BA3"/>
    <w:rsid w:val="003F34BB"/>
    <w:rsid w:val="004246F1"/>
    <w:rsid w:val="0042794A"/>
    <w:rsid w:val="00433220"/>
    <w:rsid w:val="00454318"/>
    <w:rsid w:val="004A6743"/>
    <w:rsid w:val="004B3225"/>
    <w:rsid w:val="004B39E5"/>
    <w:rsid w:val="004C4627"/>
    <w:rsid w:val="004D3F74"/>
    <w:rsid w:val="004D74DD"/>
    <w:rsid w:val="004E7D2D"/>
    <w:rsid w:val="004F1C50"/>
    <w:rsid w:val="004F3DB5"/>
    <w:rsid w:val="005011CB"/>
    <w:rsid w:val="00541CAE"/>
    <w:rsid w:val="00576F25"/>
    <w:rsid w:val="005A5C85"/>
    <w:rsid w:val="005B68C8"/>
    <w:rsid w:val="005C1D8B"/>
    <w:rsid w:val="005F4A1A"/>
    <w:rsid w:val="005F7033"/>
    <w:rsid w:val="006068B4"/>
    <w:rsid w:val="0061251C"/>
    <w:rsid w:val="00624BC0"/>
    <w:rsid w:val="00635ED8"/>
    <w:rsid w:val="00660205"/>
    <w:rsid w:val="00670C3D"/>
    <w:rsid w:val="00670DB8"/>
    <w:rsid w:val="006763FE"/>
    <w:rsid w:val="0068092B"/>
    <w:rsid w:val="00685C67"/>
    <w:rsid w:val="00687F85"/>
    <w:rsid w:val="006A330D"/>
    <w:rsid w:val="006B2B67"/>
    <w:rsid w:val="006F2C9B"/>
    <w:rsid w:val="00712749"/>
    <w:rsid w:val="00713794"/>
    <w:rsid w:val="00715B2C"/>
    <w:rsid w:val="007855CB"/>
    <w:rsid w:val="00787D7C"/>
    <w:rsid w:val="007B778B"/>
    <w:rsid w:val="007C3BBD"/>
    <w:rsid w:val="007C3D92"/>
    <w:rsid w:val="007D1742"/>
    <w:rsid w:val="007D3984"/>
    <w:rsid w:val="007E3501"/>
    <w:rsid w:val="007F58B5"/>
    <w:rsid w:val="00825CF5"/>
    <w:rsid w:val="00843A0E"/>
    <w:rsid w:val="00850570"/>
    <w:rsid w:val="00885FBD"/>
    <w:rsid w:val="0089454D"/>
    <w:rsid w:val="00894696"/>
    <w:rsid w:val="008A0A71"/>
    <w:rsid w:val="008B10EF"/>
    <w:rsid w:val="008E0E51"/>
    <w:rsid w:val="008E6CD4"/>
    <w:rsid w:val="008E75EF"/>
    <w:rsid w:val="009366C1"/>
    <w:rsid w:val="00937388"/>
    <w:rsid w:val="00946150"/>
    <w:rsid w:val="00985279"/>
    <w:rsid w:val="009C2510"/>
    <w:rsid w:val="009F4475"/>
    <w:rsid w:val="00A25548"/>
    <w:rsid w:val="00A34D4C"/>
    <w:rsid w:val="00A4098F"/>
    <w:rsid w:val="00A533E3"/>
    <w:rsid w:val="00A80172"/>
    <w:rsid w:val="00A94B7D"/>
    <w:rsid w:val="00AC44B5"/>
    <w:rsid w:val="00AC705A"/>
    <w:rsid w:val="00AD343E"/>
    <w:rsid w:val="00AD66E8"/>
    <w:rsid w:val="00B14654"/>
    <w:rsid w:val="00B14E37"/>
    <w:rsid w:val="00B35FA6"/>
    <w:rsid w:val="00B46396"/>
    <w:rsid w:val="00B51644"/>
    <w:rsid w:val="00B64ADC"/>
    <w:rsid w:val="00B70569"/>
    <w:rsid w:val="00B7473B"/>
    <w:rsid w:val="00B85EC4"/>
    <w:rsid w:val="00B868DC"/>
    <w:rsid w:val="00B9549C"/>
    <w:rsid w:val="00BB01A2"/>
    <w:rsid w:val="00BB1405"/>
    <w:rsid w:val="00BB2029"/>
    <w:rsid w:val="00BB7100"/>
    <w:rsid w:val="00BD2570"/>
    <w:rsid w:val="00BE08E1"/>
    <w:rsid w:val="00BE723F"/>
    <w:rsid w:val="00C2272F"/>
    <w:rsid w:val="00C22BDC"/>
    <w:rsid w:val="00C47C5B"/>
    <w:rsid w:val="00C7130D"/>
    <w:rsid w:val="00C85052"/>
    <w:rsid w:val="00CB59A6"/>
    <w:rsid w:val="00CC27AA"/>
    <w:rsid w:val="00CC3467"/>
    <w:rsid w:val="00CD0FF7"/>
    <w:rsid w:val="00CD59AE"/>
    <w:rsid w:val="00D038B6"/>
    <w:rsid w:val="00D110B1"/>
    <w:rsid w:val="00D21D16"/>
    <w:rsid w:val="00D34F3D"/>
    <w:rsid w:val="00D904EC"/>
    <w:rsid w:val="00D90914"/>
    <w:rsid w:val="00D91C72"/>
    <w:rsid w:val="00DA4FE6"/>
    <w:rsid w:val="00DB003E"/>
    <w:rsid w:val="00DB4AB8"/>
    <w:rsid w:val="00DB6B83"/>
    <w:rsid w:val="00DC11FA"/>
    <w:rsid w:val="00DD49DE"/>
    <w:rsid w:val="00DE1FA5"/>
    <w:rsid w:val="00DF2A94"/>
    <w:rsid w:val="00E04CFA"/>
    <w:rsid w:val="00E04E50"/>
    <w:rsid w:val="00E31C44"/>
    <w:rsid w:val="00E47B20"/>
    <w:rsid w:val="00E541E8"/>
    <w:rsid w:val="00E761D3"/>
    <w:rsid w:val="00E85679"/>
    <w:rsid w:val="00EC33CC"/>
    <w:rsid w:val="00EE10BD"/>
    <w:rsid w:val="00EE22B2"/>
    <w:rsid w:val="00EE4AD3"/>
    <w:rsid w:val="00EE797F"/>
    <w:rsid w:val="00EF0B0F"/>
    <w:rsid w:val="00EF47DC"/>
    <w:rsid w:val="00F03557"/>
    <w:rsid w:val="00F062CD"/>
    <w:rsid w:val="00F1339B"/>
    <w:rsid w:val="00F20A61"/>
    <w:rsid w:val="00F531EC"/>
    <w:rsid w:val="00F631E2"/>
    <w:rsid w:val="00F80BA1"/>
    <w:rsid w:val="00F811B2"/>
    <w:rsid w:val="00F855A1"/>
    <w:rsid w:val="00F96BB0"/>
    <w:rsid w:val="00FD2C47"/>
    <w:rsid w:val="00FD3858"/>
    <w:rsid w:val="00FD6645"/>
    <w:rsid w:val="00FF10D6"/>
    <w:rsid w:val="00FF2D10"/>
    <w:rsid w:val="00FF727F"/>
    <w:rsid w:val="01331C81"/>
    <w:rsid w:val="01526522"/>
    <w:rsid w:val="01CF6C4A"/>
    <w:rsid w:val="01E8034C"/>
    <w:rsid w:val="024708C4"/>
    <w:rsid w:val="027D11F8"/>
    <w:rsid w:val="02A47C12"/>
    <w:rsid w:val="031156D4"/>
    <w:rsid w:val="032A2CC5"/>
    <w:rsid w:val="0339727C"/>
    <w:rsid w:val="035B78A4"/>
    <w:rsid w:val="039303A1"/>
    <w:rsid w:val="03AB77BD"/>
    <w:rsid w:val="03B66DBB"/>
    <w:rsid w:val="03C95D69"/>
    <w:rsid w:val="03F630F7"/>
    <w:rsid w:val="03F64C51"/>
    <w:rsid w:val="042571A6"/>
    <w:rsid w:val="04371C26"/>
    <w:rsid w:val="045F748A"/>
    <w:rsid w:val="046D1B5D"/>
    <w:rsid w:val="04731F39"/>
    <w:rsid w:val="048A17F8"/>
    <w:rsid w:val="04905B8A"/>
    <w:rsid w:val="04B916B8"/>
    <w:rsid w:val="04CD36FF"/>
    <w:rsid w:val="04F119E5"/>
    <w:rsid w:val="04F23C64"/>
    <w:rsid w:val="04F94195"/>
    <w:rsid w:val="0590764F"/>
    <w:rsid w:val="05A23342"/>
    <w:rsid w:val="05A743C6"/>
    <w:rsid w:val="05B54982"/>
    <w:rsid w:val="0627031F"/>
    <w:rsid w:val="0667369C"/>
    <w:rsid w:val="06B268E6"/>
    <w:rsid w:val="06B72CC9"/>
    <w:rsid w:val="06DA3E6D"/>
    <w:rsid w:val="06F47F3C"/>
    <w:rsid w:val="07765EBE"/>
    <w:rsid w:val="07A77539"/>
    <w:rsid w:val="07CA6357"/>
    <w:rsid w:val="08021DBF"/>
    <w:rsid w:val="080268EB"/>
    <w:rsid w:val="08275F0C"/>
    <w:rsid w:val="083A0718"/>
    <w:rsid w:val="08560F6B"/>
    <w:rsid w:val="08853A17"/>
    <w:rsid w:val="089433F0"/>
    <w:rsid w:val="08E832F6"/>
    <w:rsid w:val="08ED5089"/>
    <w:rsid w:val="091374D3"/>
    <w:rsid w:val="096A2B9D"/>
    <w:rsid w:val="0983556A"/>
    <w:rsid w:val="09D05346"/>
    <w:rsid w:val="09DB240D"/>
    <w:rsid w:val="09E36E59"/>
    <w:rsid w:val="0A187E23"/>
    <w:rsid w:val="0A271715"/>
    <w:rsid w:val="0A7F27E3"/>
    <w:rsid w:val="0A9E7496"/>
    <w:rsid w:val="0B7D7164"/>
    <w:rsid w:val="0B9608C0"/>
    <w:rsid w:val="0BA56B58"/>
    <w:rsid w:val="0BAE38DD"/>
    <w:rsid w:val="0BBE3187"/>
    <w:rsid w:val="0BC47B0A"/>
    <w:rsid w:val="0C1050D5"/>
    <w:rsid w:val="0C426263"/>
    <w:rsid w:val="0C6A437E"/>
    <w:rsid w:val="0C8239E2"/>
    <w:rsid w:val="0CA86BB6"/>
    <w:rsid w:val="0CBD481A"/>
    <w:rsid w:val="0CE8698D"/>
    <w:rsid w:val="0DA71941"/>
    <w:rsid w:val="0DD13F4A"/>
    <w:rsid w:val="0DE4177D"/>
    <w:rsid w:val="0DF21979"/>
    <w:rsid w:val="0EB46C19"/>
    <w:rsid w:val="0EBB009A"/>
    <w:rsid w:val="0F5F0BE0"/>
    <w:rsid w:val="0F8B0743"/>
    <w:rsid w:val="0FE1712C"/>
    <w:rsid w:val="103F0874"/>
    <w:rsid w:val="10416587"/>
    <w:rsid w:val="10750CA0"/>
    <w:rsid w:val="109072EA"/>
    <w:rsid w:val="10E037A1"/>
    <w:rsid w:val="1171758C"/>
    <w:rsid w:val="11D02D23"/>
    <w:rsid w:val="11D24132"/>
    <w:rsid w:val="11F74600"/>
    <w:rsid w:val="12053B00"/>
    <w:rsid w:val="12226FFD"/>
    <w:rsid w:val="126A33B4"/>
    <w:rsid w:val="127C2AC4"/>
    <w:rsid w:val="12AD4026"/>
    <w:rsid w:val="130D16DD"/>
    <w:rsid w:val="132D011C"/>
    <w:rsid w:val="13395BF1"/>
    <w:rsid w:val="133F3A40"/>
    <w:rsid w:val="13456CBD"/>
    <w:rsid w:val="134D675D"/>
    <w:rsid w:val="135A3FB5"/>
    <w:rsid w:val="13661ADB"/>
    <w:rsid w:val="13814C45"/>
    <w:rsid w:val="13AE7D2D"/>
    <w:rsid w:val="13D65EA0"/>
    <w:rsid w:val="14056C1F"/>
    <w:rsid w:val="14183FD9"/>
    <w:rsid w:val="142E1332"/>
    <w:rsid w:val="144D67C7"/>
    <w:rsid w:val="14C37AA1"/>
    <w:rsid w:val="150A70C4"/>
    <w:rsid w:val="152D3536"/>
    <w:rsid w:val="157271EC"/>
    <w:rsid w:val="15967861"/>
    <w:rsid w:val="15BB7B15"/>
    <w:rsid w:val="15E57B99"/>
    <w:rsid w:val="16046724"/>
    <w:rsid w:val="168141CE"/>
    <w:rsid w:val="168A3200"/>
    <w:rsid w:val="17367F15"/>
    <w:rsid w:val="176B165F"/>
    <w:rsid w:val="179E2CFE"/>
    <w:rsid w:val="17B17961"/>
    <w:rsid w:val="180238A1"/>
    <w:rsid w:val="186E1F1C"/>
    <w:rsid w:val="190265CA"/>
    <w:rsid w:val="19B972D0"/>
    <w:rsid w:val="19C604C4"/>
    <w:rsid w:val="19EB1173"/>
    <w:rsid w:val="1A0103F5"/>
    <w:rsid w:val="1AAB5F7A"/>
    <w:rsid w:val="1AFC4CEC"/>
    <w:rsid w:val="1B0A4371"/>
    <w:rsid w:val="1B233F15"/>
    <w:rsid w:val="1B7455B7"/>
    <w:rsid w:val="1BB10CAF"/>
    <w:rsid w:val="1BD77542"/>
    <w:rsid w:val="1BF76289"/>
    <w:rsid w:val="1C114030"/>
    <w:rsid w:val="1C8D3F32"/>
    <w:rsid w:val="1CB26044"/>
    <w:rsid w:val="1CE96EA4"/>
    <w:rsid w:val="1D016366"/>
    <w:rsid w:val="1D080412"/>
    <w:rsid w:val="1D08086F"/>
    <w:rsid w:val="1D2A1171"/>
    <w:rsid w:val="1D632114"/>
    <w:rsid w:val="1D6A023C"/>
    <w:rsid w:val="1D9803AF"/>
    <w:rsid w:val="1DC679C1"/>
    <w:rsid w:val="1DD9126D"/>
    <w:rsid w:val="1E3D2F4F"/>
    <w:rsid w:val="1E817713"/>
    <w:rsid w:val="1E8B51F6"/>
    <w:rsid w:val="1E9013B4"/>
    <w:rsid w:val="1E901AAD"/>
    <w:rsid w:val="1EBC290B"/>
    <w:rsid w:val="1EC35CFA"/>
    <w:rsid w:val="1ECD3794"/>
    <w:rsid w:val="1ECF54EC"/>
    <w:rsid w:val="1ED81D36"/>
    <w:rsid w:val="1F1B2467"/>
    <w:rsid w:val="1F62201B"/>
    <w:rsid w:val="1F7F237F"/>
    <w:rsid w:val="1FC532EB"/>
    <w:rsid w:val="1FE33E45"/>
    <w:rsid w:val="1FEA05A2"/>
    <w:rsid w:val="2010676A"/>
    <w:rsid w:val="2049458E"/>
    <w:rsid w:val="208C1759"/>
    <w:rsid w:val="208F2033"/>
    <w:rsid w:val="20E06834"/>
    <w:rsid w:val="20F86365"/>
    <w:rsid w:val="21316CAE"/>
    <w:rsid w:val="216C24A0"/>
    <w:rsid w:val="2246299A"/>
    <w:rsid w:val="22583A06"/>
    <w:rsid w:val="22721464"/>
    <w:rsid w:val="227B7A91"/>
    <w:rsid w:val="22981694"/>
    <w:rsid w:val="22AF0805"/>
    <w:rsid w:val="237D201D"/>
    <w:rsid w:val="23AA6AFD"/>
    <w:rsid w:val="23DB6515"/>
    <w:rsid w:val="23E82294"/>
    <w:rsid w:val="23EC24BE"/>
    <w:rsid w:val="241528AD"/>
    <w:rsid w:val="24582AAB"/>
    <w:rsid w:val="245918E6"/>
    <w:rsid w:val="2481344E"/>
    <w:rsid w:val="24C23F96"/>
    <w:rsid w:val="24CE5ADE"/>
    <w:rsid w:val="252466B1"/>
    <w:rsid w:val="25381017"/>
    <w:rsid w:val="25421AFB"/>
    <w:rsid w:val="257D5A30"/>
    <w:rsid w:val="258B26CE"/>
    <w:rsid w:val="25B413A7"/>
    <w:rsid w:val="25D93676"/>
    <w:rsid w:val="25E65AEA"/>
    <w:rsid w:val="25FA4B70"/>
    <w:rsid w:val="267E3E43"/>
    <w:rsid w:val="26920D65"/>
    <w:rsid w:val="26CF55A5"/>
    <w:rsid w:val="276C7FA4"/>
    <w:rsid w:val="27C53483"/>
    <w:rsid w:val="27F357C2"/>
    <w:rsid w:val="27F9396B"/>
    <w:rsid w:val="288275CD"/>
    <w:rsid w:val="289D232A"/>
    <w:rsid w:val="291B225C"/>
    <w:rsid w:val="294A3B5B"/>
    <w:rsid w:val="29772727"/>
    <w:rsid w:val="297A029F"/>
    <w:rsid w:val="29AF6635"/>
    <w:rsid w:val="2A6D114D"/>
    <w:rsid w:val="2AA64AFB"/>
    <w:rsid w:val="2ACD0D36"/>
    <w:rsid w:val="2ADC20EA"/>
    <w:rsid w:val="2B2A34B0"/>
    <w:rsid w:val="2B4816C1"/>
    <w:rsid w:val="2C54363D"/>
    <w:rsid w:val="2C560423"/>
    <w:rsid w:val="2C6E04FD"/>
    <w:rsid w:val="2C8F6E47"/>
    <w:rsid w:val="2C9A0EE3"/>
    <w:rsid w:val="2CDE04A7"/>
    <w:rsid w:val="2D013A1E"/>
    <w:rsid w:val="2D194BC2"/>
    <w:rsid w:val="2D2813E7"/>
    <w:rsid w:val="2D4A3D6A"/>
    <w:rsid w:val="2D613AE4"/>
    <w:rsid w:val="2DCC0829"/>
    <w:rsid w:val="2DEB30E2"/>
    <w:rsid w:val="2E6E12C8"/>
    <w:rsid w:val="2E945A61"/>
    <w:rsid w:val="2E977E6D"/>
    <w:rsid w:val="2EB15ED7"/>
    <w:rsid w:val="2F9972E0"/>
    <w:rsid w:val="2FA02041"/>
    <w:rsid w:val="2FB1533B"/>
    <w:rsid w:val="300476C7"/>
    <w:rsid w:val="30263A95"/>
    <w:rsid w:val="30273F20"/>
    <w:rsid w:val="30565D21"/>
    <w:rsid w:val="30584E05"/>
    <w:rsid w:val="306F244D"/>
    <w:rsid w:val="30A1459E"/>
    <w:rsid w:val="30EA335D"/>
    <w:rsid w:val="311C08A9"/>
    <w:rsid w:val="311E17FA"/>
    <w:rsid w:val="312F3BE1"/>
    <w:rsid w:val="314E571E"/>
    <w:rsid w:val="31BF2BE0"/>
    <w:rsid w:val="31EB7BC6"/>
    <w:rsid w:val="320D6599"/>
    <w:rsid w:val="32514FC3"/>
    <w:rsid w:val="32814A12"/>
    <w:rsid w:val="32DF7AF0"/>
    <w:rsid w:val="32E35080"/>
    <w:rsid w:val="32FC6DFD"/>
    <w:rsid w:val="332F4419"/>
    <w:rsid w:val="339521A4"/>
    <w:rsid w:val="33C37581"/>
    <w:rsid w:val="33C453CA"/>
    <w:rsid w:val="33FA42B7"/>
    <w:rsid w:val="340236BB"/>
    <w:rsid w:val="34A55824"/>
    <w:rsid w:val="34A55FD1"/>
    <w:rsid w:val="34D8279F"/>
    <w:rsid w:val="35060910"/>
    <w:rsid w:val="358B5653"/>
    <w:rsid w:val="35BF4F60"/>
    <w:rsid w:val="35E50231"/>
    <w:rsid w:val="36047784"/>
    <w:rsid w:val="36A111CF"/>
    <w:rsid w:val="36D21D41"/>
    <w:rsid w:val="36E566E0"/>
    <w:rsid w:val="36F971B1"/>
    <w:rsid w:val="373B6AF8"/>
    <w:rsid w:val="37627E58"/>
    <w:rsid w:val="37EF7D82"/>
    <w:rsid w:val="37F662C9"/>
    <w:rsid w:val="38B5309B"/>
    <w:rsid w:val="38C834F0"/>
    <w:rsid w:val="38E6506B"/>
    <w:rsid w:val="392F00D9"/>
    <w:rsid w:val="39AE3CFE"/>
    <w:rsid w:val="39FC639A"/>
    <w:rsid w:val="3A111F1C"/>
    <w:rsid w:val="3AC86342"/>
    <w:rsid w:val="3B375E37"/>
    <w:rsid w:val="3B3F348C"/>
    <w:rsid w:val="3B4130A6"/>
    <w:rsid w:val="3B5D442F"/>
    <w:rsid w:val="3B8636FC"/>
    <w:rsid w:val="3BD760D5"/>
    <w:rsid w:val="3BFA7896"/>
    <w:rsid w:val="3C0F6D83"/>
    <w:rsid w:val="3C1F3AC1"/>
    <w:rsid w:val="3C794E0D"/>
    <w:rsid w:val="3C9B240F"/>
    <w:rsid w:val="3CA109F6"/>
    <w:rsid w:val="3CD820AD"/>
    <w:rsid w:val="3CF64299"/>
    <w:rsid w:val="3D166C28"/>
    <w:rsid w:val="3D191EBD"/>
    <w:rsid w:val="3D3C0E60"/>
    <w:rsid w:val="3D690DCA"/>
    <w:rsid w:val="3D744A85"/>
    <w:rsid w:val="3DA0429D"/>
    <w:rsid w:val="3DA351F2"/>
    <w:rsid w:val="3DB66C5D"/>
    <w:rsid w:val="3DCF5EB9"/>
    <w:rsid w:val="3DEA3FE0"/>
    <w:rsid w:val="3E007DAF"/>
    <w:rsid w:val="3ECD79B3"/>
    <w:rsid w:val="3F157615"/>
    <w:rsid w:val="3F246D01"/>
    <w:rsid w:val="3F383F9C"/>
    <w:rsid w:val="3F4B550C"/>
    <w:rsid w:val="3F506CC9"/>
    <w:rsid w:val="3F5964F8"/>
    <w:rsid w:val="3F740E51"/>
    <w:rsid w:val="3F7C77CB"/>
    <w:rsid w:val="3F9A4B2C"/>
    <w:rsid w:val="3FBA06F6"/>
    <w:rsid w:val="40343D71"/>
    <w:rsid w:val="404C382A"/>
    <w:rsid w:val="406F19D7"/>
    <w:rsid w:val="40B013D3"/>
    <w:rsid w:val="40FE3EF6"/>
    <w:rsid w:val="412610EA"/>
    <w:rsid w:val="4161544B"/>
    <w:rsid w:val="41697754"/>
    <w:rsid w:val="41A64BA4"/>
    <w:rsid w:val="41AB751D"/>
    <w:rsid w:val="41DA3187"/>
    <w:rsid w:val="41F37D7C"/>
    <w:rsid w:val="422E62C2"/>
    <w:rsid w:val="425751D9"/>
    <w:rsid w:val="427C16A9"/>
    <w:rsid w:val="42AA3695"/>
    <w:rsid w:val="42F004F3"/>
    <w:rsid w:val="43422597"/>
    <w:rsid w:val="438E451F"/>
    <w:rsid w:val="43A63334"/>
    <w:rsid w:val="43A65A39"/>
    <w:rsid w:val="43E628F2"/>
    <w:rsid w:val="43EA755B"/>
    <w:rsid w:val="43EB7AFB"/>
    <w:rsid w:val="43F07E6B"/>
    <w:rsid w:val="43FB4D75"/>
    <w:rsid w:val="445361BF"/>
    <w:rsid w:val="4486770D"/>
    <w:rsid w:val="44BB1862"/>
    <w:rsid w:val="45141826"/>
    <w:rsid w:val="456E2D3D"/>
    <w:rsid w:val="46080D77"/>
    <w:rsid w:val="46154BC6"/>
    <w:rsid w:val="46765817"/>
    <w:rsid w:val="46B36F40"/>
    <w:rsid w:val="46B6476D"/>
    <w:rsid w:val="477471F7"/>
    <w:rsid w:val="478B5AFD"/>
    <w:rsid w:val="47E2067E"/>
    <w:rsid w:val="47ED0C36"/>
    <w:rsid w:val="47F83E7B"/>
    <w:rsid w:val="48313B85"/>
    <w:rsid w:val="48390B1D"/>
    <w:rsid w:val="488859FB"/>
    <w:rsid w:val="48A27529"/>
    <w:rsid w:val="48AF39D0"/>
    <w:rsid w:val="48C071CD"/>
    <w:rsid w:val="48C63718"/>
    <w:rsid w:val="48F43E99"/>
    <w:rsid w:val="48FA7EDF"/>
    <w:rsid w:val="49045D12"/>
    <w:rsid w:val="492072CA"/>
    <w:rsid w:val="49887FC1"/>
    <w:rsid w:val="49AA1E60"/>
    <w:rsid w:val="49B33F47"/>
    <w:rsid w:val="49BB4B10"/>
    <w:rsid w:val="49E14099"/>
    <w:rsid w:val="4A3161ED"/>
    <w:rsid w:val="4A4E6313"/>
    <w:rsid w:val="4A640D69"/>
    <w:rsid w:val="4AB84E72"/>
    <w:rsid w:val="4AC537B7"/>
    <w:rsid w:val="4AE97C1F"/>
    <w:rsid w:val="4AF71804"/>
    <w:rsid w:val="4B052AB6"/>
    <w:rsid w:val="4B235DE5"/>
    <w:rsid w:val="4B29263E"/>
    <w:rsid w:val="4B4F66EA"/>
    <w:rsid w:val="4BAC1C07"/>
    <w:rsid w:val="4BCD0EC1"/>
    <w:rsid w:val="4C260519"/>
    <w:rsid w:val="4C42103E"/>
    <w:rsid w:val="4CC2308A"/>
    <w:rsid w:val="4CC8273D"/>
    <w:rsid w:val="4CCA42E5"/>
    <w:rsid w:val="4CE103A8"/>
    <w:rsid w:val="4D094286"/>
    <w:rsid w:val="4D415110"/>
    <w:rsid w:val="4D7712FD"/>
    <w:rsid w:val="4DD329E0"/>
    <w:rsid w:val="4DF025FC"/>
    <w:rsid w:val="4E0679D6"/>
    <w:rsid w:val="4E4101BE"/>
    <w:rsid w:val="4E481196"/>
    <w:rsid w:val="4E7D1B40"/>
    <w:rsid w:val="4E894E48"/>
    <w:rsid w:val="4EA96D59"/>
    <w:rsid w:val="4EF131D3"/>
    <w:rsid w:val="4EF242C4"/>
    <w:rsid w:val="4EF54A41"/>
    <w:rsid w:val="4F066929"/>
    <w:rsid w:val="4F0D108F"/>
    <w:rsid w:val="4F152018"/>
    <w:rsid w:val="4F505DC7"/>
    <w:rsid w:val="4F68065C"/>
    <w:rsid w:val="4FBE33CD"/>
    <w:rsid w:val="4FD040A0"/>
    <w:rsid w:val="4FF9279F"/>
    <w:rsid w:val="5009470C"/>
    <w:rsid w:val="501C6CBB"/>
    <w:rsid w:val="502830BF"/>
    <w:rsid w:val="503F087B"/>
    <w:rsid w:val="50440A3E"/>
    <w:rsid w:val="50450B9D"/>
    <w:rsid w:val="50630C74"/>
    <w:rsid w:val="50886B10"/>
    <w:rsid w:val="50A83D23"/>
    <w:rsid w:val="5184017C"/>
    <w:rsid w:val="51A95C89"/>
    <w:rsid w:val="520376A3"/>
    <w:rsid w:val="521D05AC"/>
    <w:rsid w:val="5230313E"/>
    <w:rsid w:val="52592377"/>
    <w:rsid w:val="525A32F0"/>
    <w:rsid w:val="52C60894"/>
    <w:rsid w:val="52CA3970"/>
    <w:rsid w:val="52E31529"/>
    <w:rsid w:val="5348325B"/>
    <w:rsid w:val="53B51C0C"/>
    <w:rsid w:val="541F7EF1"/>
    <w:rsid w:val="55486203"/>
    <w:rsid w:val="55685505"/>
    <w:rsid w:val="557F4FEE"/>
    <w:rsid w:val="55AB575C"/>
    <w:rsid w:val="55AD0C72"/>
    <w:rsid w:val="56012821"/>
    <w:rsid w:val="56286B6D"/>
    <w:rsid w:val="5646409D"/>
    <w:rsid w:val="565C44BC"/>
    <w:rsid w:val="569C79DB"/>
    <w:rsid w:val="569E194D"/>
    <w:rsid w:val="56B15DEB"/>
    <w:rsid w:val="56D114E7"/>
    <w:rsid w:val="56D76AC3"/>
    <w:rsid w:val="573B7734"/>
    <w:rsid w:val="57AA60A4"/>
    <w:rsid w:val="57B307B8"/>
    <w:rsid w:val="57CB2772"/>
    <w:rsid w:val="57FF7D01"/>
    <w:rsid w:val="58477D48"/>
    <w:rsid w:val="58607B3C"/>
    <w:rsid w:val="58867A28"/>
    <w:rsid w:val="58994606"/>
    <w:rsid w:val="589E7E84"/>
    <w:rsid w:val="589F3000"/>
    <w:rsid w:val="58BD0C6F"/>
    <w:rsid w:val="58F66D60"/>
    <w:rsid w:val="59B634CD"/>
    <w:rsid w:val="5A107AF6"/>
    <w:rsid w:val="5A5B1AC2"/>
    <w:rsid w:val="5A670914"/>
    <w:rsid w:val="5A8B1203"/>
    <w:rsid w:val="5ACB320D"/>
    <w:rsid w:val="5AE2105E"/>
    <w:rsid w:val="5AFE69E6"/>
    <w:rsid w:val="5B126296"/>
    <w:rsid w:val="5B1749E2"/>
    <w:rsid w:val="5BAD4E9C"/>
    <w:rsid w:val="5BCE6206"/>
    <w:rsid w:val="5BD96904"/>
    <w:rsid w:val="5C3D7264"/>
    <w:rsid w:val="5C4559A2"/>
    <w:rsid w:val="5C5C4508"/>
    <w:rsid w:val="5C795CCA"/>
    <w:rsid w:val="5C8752FC"/>
    <w:rsid w:val="5C910D46"/>
    <w:rsid w:val="5C930C12"/>
    <w:rsid w:val="5CC54BA8"/>
    <w:rsid w:val="5CC7715C"/>
    <w:rsid w:val="5CCF71B5"/>
    <w:rsid w:val="5D0E0843"/>
    <w:rsid w:val="5D131F93"/>
    <w:rsid w:val="5D1C4ADB"/>
    <w:rsid w:val="5D954237"/>
    <w:rsid w:val="5E100F81"/>
    <w:rsid w:val="5E4755BA"/>
    <w:rsid w:val="5E7B2C2D"/>
    <w:rsid w:val="5EC013F2"/>
    <w:rsid w:val="5F1B764F"/>
    <w:rsid w:val="5F1D30CA"/>
    <w:rsid w:val="5F9206A9"/>
    <w:rsid w:val="5FA026CC"/>
    <w:rsid w:val="5FBB673B"/>
    <w:rsid w:val="5FCD72AD"/>
    <w:rsid w:val="601954DE"/>
    <w:rsid w:val="604C0C84"/>
    <w:rsid w:val="608B6A7B"/>
    <w:rsid w:val="60BB4FB2"/>
    <w:rsid w:val="60DF2BFB"/>
    <w:rsid w:val="60F30A64"/>
    <w:rsid w:val="611265C4"/>
    <w:rsid w:val="61384A0A"/>
    <w:rsid w:val="61641086"/>
    <w:rsid w:val="616B793B"/>
    <w:rsid w:val="6184421F"/>
    <w:rsid w:val="61C01E1C"/>
    <w:rsid w:val="61CF0E01"/>
    <w:rsid w:val="62116619"/>
    <w:rsid w:val="621970BF"/>
    <w:rsid w:val="625D03BC"/>
    <w:rsid w:val="62763D2F"/>
    <w:rsid w:val="62C01B71"/>
    <w:rsid w:val="62D228D0"/>
    <w:rsid w:val="62E56E06"/>
    <w:rsid w:val="62EB6259"/>
    <w:rsid w:val="62F32570"/>
    <w:rsid w:val="630617C4"/>
    <w:rsid w:val="630B6DE6"/>
    <w:rsid w:val="63141482"/>
    <w:rsid w:val="635E3F7F"/>
    <w:rsid w:val="63C23956"/>
    <w:rsid w:val="63EF27D4"/>
    <w:rsid w:val="63FB6077"/>
    <w:rsid w:val="646F579F"/>
    <w:rsid w:val="650013D7"/>
    <w:rsid w:val="65433540"/>
    <w:rsid w:val="654D6439"/>
    <w:rsid w:val="655E54C2"/>
    <w:rsid w:val="65885141"/>
    <w:rsid w:val="65B35B99"/>
    <w:rsid w:val="65BB3C4B"/>
    <w:rsid w:val="660B335F"/>
    <w:rsid w:val="67032B17"/>
    <w:rsid w:val="67760B74"/>
    <w:rsid w:val="67D84A08"/>
    <w:rsid w:val="68063A92"/>
    <w:rsid w:val="683F1354"/>
    <w:rsid w:val="6866197D"/>
    <w:rsid w:val="68694F49"/>
    <w:rsid w:val="68C0224A"/>
    <w:rsid w:val="68C124DE"/>
    <w:rsid w:val="68DE1D98"/>
    <w:rsid w:val="68FE6154"/>
    <w:rsid w:val="69DD2B0E"/>
    <w:rsid w:val="69DF1DD3"/>
    <w:rsid w:val="69F05568"/>
    <w:rsid w:val="6A0F3B85"/>
    <w:rsid w:val="6A4D163E"/>
    <w:rsid w:val="6A8C6B19"/>
    <w:rsid w:val="6AF2373B"/>
    <w:rsid w:val="6B367A63"/>
    <w:rsid w:val="6B5871D6"/>
    <w:rsid w:val="6B8E47C7"/>
    <w:rsid w:val="6BCB5EFA"/>
    <w:rsid w:val="6BDE06EC"/>
    <w:rsid w:val="6C144BF0"/>
    <w:rsid w:val="6C4D6437"/>
    <w:rsid w:val="6C9304FE"/>
    <w:rsid w:val="6CA36525"/>
    <w:rsid w:val="6CD416A9"/>
    <w:rsid w:val="6CDF57DC"/>
    <w:rsid w:val="6E391797"/>
    <w:rsid w:val="6E513D4E"/>
    <w:rsid w:val="6E9B2131"/>
    <w:rsid w:val="6ED633CC"/>
    <w:rsid w:val="6EDD38DE"/>
    <w:rsid w:val="6EE57196"/>
    <w:rsid w:val="6EF66D91"/>
    <w:rsid w:val="6EFD3207"/>
    <w:rsid w:val="6F1748FB"/>
    <w:rsid w:val="6F2C03FD"/>
    <w:rsid w:val="6F4253F4"/>
    <w:rsid w:val="6F437AF8"/>
    <w:rsid w:val="6FBA2403"/>
    <w:rsid w:val="6FF44496"/>
    <w:rsid w:val="6FF80CBC"/>
    <w:rsid w:val="70183E19"/>
    <w:rsid w:val="702029A9"/>
    <w:rsid w:val="70461C2B"/>
    <w:rsid w:val="709B3F75"/>
    <w:rsid w:val="70C1488E"/>
    <w:rsid w:val="70D358B4"/>
    <w:rsid w:val="70D85F9B"/>
    <w:rsid w:val="70DB15B1"/>
    <w:rsid w:val="70E26CF1"/>
    <w:rsid w:val="70E93029"/>
    <w:rsid w:val="71CB3AC6"/>
    <w:rsid w:val="71F46ABC"/>
    <w:rsid w:val="71F672E5"/>
    <w:rsid w:val="72783FFE"/>
    <w:rsid w:val="729F2122"/>
    <w:rsid w:val="72D674C1"/>
    <w:rsid w:val="72EE5331"/>
    <w:rsid w:val="73AC4BE6"/>
    <w:rsid w:val="73D4169F"/>
    <w:rsid w:val="746B28A2"/>
    <w:rsid w:val="749964BF"/>
    <w:rsid w:val="749C05EB"/>
    <w:rsid w:val="74FB2290"/>
    <w:rsid w:val="75305C68"/>
    <w:rsid w:val="7554101F"/>
    <w:rsid w:val="75A45C2E"/>
    <w:rsid w:val="75C22EDB"/>
    <w:rsid w:val="75D01965"/>
    <w:rsid w:val="75E84C97"/>
    <w:rsid w:val="75EC47DD"/>
    <w:rsid w:val="76125E26"/>
    <w:rsid w:val="763C4EAA"/>
    <w:rsid w:val="763F4074"/>
    <w:rsid w:val="7697627D"/>
    <w:rsid w:val="76AC37F0"/>
    <w:rsid w:val="76C171CA"/>
    <w:rsid w:val="77095D26"/>
    <w:rsid w:val="773C5543"/>
    <w:rsid w:val="77680380"/>
    <w:rsid w:val="77C23E38"/>
    <w:rsid w:val="77C90159"/>
    <w:rsid w:val="7831723E"/>
    <w:rsid w:val="78510525"/>
    <w:rsid w:val="788A3B42"/>
    <w:rsid w:val="78CF4594"/>
    <w:rsid w:val="79393FA7"/>
    <w:rsid w:val="796857F0"/>
    <w:rsid w:val="79940979"/>
    <w:rsid w:val="79BE2EB7"/>
    <w:rsid w:val="79C94977"/>
    <w:rsid w:val="79FF10D8"/>
    <w:rsid w:val="7A2C1258"/>
    <w:rsid w:val="7AA96CD3"/>
    <w:rsid w:val="7AAD335A"/>
    <w:rsid w:val="7ADD5F87"/>
    <w:rsid w:val="7B1D3565"/>
    <w:rsid w:val="7B6A08C6"/>
    <w:rsid w:val="7B6E672A"/>
    <w:rsid w:val="7B9A6366"/>
    <w:rsid w:val="7BEE18EF"/>
    <w:rsid w:val="7C3518B1"/>
    <w:rsid w:val="7C3B10D3"/>
    <w:rsid w:val="7C475D5D"/>
    <w:rsid w:val="7C6C4E03"/>
    <w:rsid w:val="7C746E51"/>
    <w:rsid w:val="7C976514"/>
    <w:rsid w:val="7CD30E81"/>
    <w:rsid w:val="7CF53687"/>
    <w:rsid w:val="7E024E93"/>
    <w:rsid w:val="7E3644BD"/>
    <w:rsid w:val="7E6E3701"/>
    <w:rsid w:val="7EAE7885"/>
    <w:rsid w:val="7EB10BA2"/>
    <w:rsid w:val="7EC01CB4"/>
    <w:rsid w:val="7ECB117E"/>
    <w:rsid w:val="7ED60F5E"/>
    <w:rsid w:val="7F0D0736"/>
    <w:rsid w:val="7F63424F"/>
    <w:rsid w:val="7FAC1137"/>
    <w:rsid w:val="7FEB78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imes New Roman" w:hAnsi="Times New Roman" w:eastAsia="宋体" w:cstheme="minorBidi"/>
      <w:sz w:val="24"/>
      <w:szCs w:val="22"/>
      <w:lang w:val="en-US" w:eastAsia="zh-CN" w:bidi="ar-SA"/>
    </w:rPr>
  </w:style>
  <w:style w:type="paragraph" w:styleId="2">
    <w:name w:val="heading 1"/>
    <w:basedOn w:val="1"/>
    <w:next w:val="1"/>
    <w:qFormat/>
    <w:uiPriority w:val="9"/>
    <w:pPr>
      <w:keepNext/>
      <w:keepLines/>
      <w:tabs>
        <w:tab w:val="left" w:pos="371"/>
        <w:tab w:val="left" w:pos="432"/>
      </w:tabs>
      <w:spacing w:before="120"/>
      <w:jc w:val="center"/>
      <w:outlineLvl w:val="0"/>
    </w:pPr>
    <w:rPr>
      <w:rFonts w:ascii="黑体" w:hAnsi="黑体"/>
      <w:b/>
      <w:kern w:val="44"/>
      <w:sz w:val="32"/>
    </w:rPr>
  </w:style>
  <w:style w:type="paragraph" w:styleId="3">
    <w:name w:val="heading 2"/>
    <w:basedOn w:val="1"/>
    <w:next w:val="1"/>
    <w:qFormat/>
    <w:uiPriority w:val="9"/>
    <w:pPr>
      <w:keepNext/>
      <w:keepLines/>
      <w:tabs>
        <w:tab w:val="left" w:pos="541"/>
        <w:tab w:val="left" w:pos="576"/>
      </w:tabs>
      <w:spacing w:before="120"/>
      <w:outlineLvl w:val="1"/>
    </w:pPr>
    <w:rPr>
      <w:b/>
      <w:sz w:val="28"/>
      <w:szCs w:val="26"/>
    </w:rPr>
  </w:style>
  <w:style w:type="paragraph" w:styleId="4">
    <w:name w:val="heading 3"/>
    <w:basedOn w:val="1"/>
    <w:next w:val="1"/>
    <w:qFormat/>
    <w:uiPriority w:val="0"/>
    <w:pPr>
      <w:keepNext/>
      <w:keepLines/>
      <w:tabs>
        <w:tab w:val="left" w:pos="0"/>
        <w:tab w:val="left" w:pos="91"/>
        <w:tab w:val="left" w:pos="132"/>
        <w:tab w:val="left" w:pos="377"/>
        <w:tab w:val="left" w:pos="479"/>
        <w:tab w:val="left" w:pos="561"/>
        <w:tab w:val="left" w:pos="582"/>
        <w:tab w:val="left" w:pos="643"/>
      </w:tabs>
      <w:outlineLvl w:val="2"/>
    </w:pPr>
    <w:rPr>
      <w:b/>
      <w:szCs w:val="26"/>
    </w:rPr>
  </w:style>
  <w:style w:type="paragraph" w:styleId="5">
    <w:name w:val="heading 4"/>
    <w:basedOn w:val="1"/>
    <w:next w:val="1"/>
    <w:qFormat/>
    <w:uiPriority w:val="0"/>
    <w:pPr>
      <w:keepNext/>
      <w:keepLines/>
      <w:numPr>
        <w:ilvl w:val="3"/>
        <w:numId w:val="1"/>
      </w:numPr>
      <w:spacing w:before="280" w:after="290" w:line="376" w:lineRule="atLeast"/>
      <w:textAlignment w:val="baseline"/>
      <w:outlineLvl w:val="3"/>
    </w:pPr>
    <w:rPr>
      <w:rFonts w:ascii="Arial" w:hAnsi="Arial" w:eastAsia="黑体"/>
      <w:b/>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List 3"/>
    <w:basedOn w:val="1"/>
    <w:next w:val="1"/>
    <w:qFormat/>
    <w:uiPriority w:val="0"/>
    <w:pPr>
      <w:ind w:left="100" w:leftChars="400" w:hanging="200" w:hangingChars="200"/>
      <w:contextualSpacing/>
    </w:pPr>
    <w:rPr>
      <w:szCs w:val="24"/>
    </w:rPr>
  </w:style>
  <w:style w:type="paragraph" w:styleId="7">
    <w:name w:val="Normal Indent"/>
    <w:basedOn w:val="1"/>
    <w:next w:val="1"/>
    <w:unhideWhenUsed/>
    <w:qFormat/>
    <w:uiPriority w:val="0"/>
    <w:pPr>
      <w:ind w:firstLine="420"/>
    </w:pPr>
    <w:rPr>
      <w:rFonts w:ascii="Calibri" w:hAnsi="Calibri"/>
    </w:rPr>
  </w:style>
  <w:style w:type="paragraph" w:styleId="8">
    <w:name w:val="annotation text"/>
    <w:basedOn w:val="1"/>
    <w:link w:val="51"/>
    <w:qFormat/>
    <w:uiPriority w:val="0"/>
  </w:style>
  <w:style w:type="paragraph" w:styleId="9">
    <w:name w:val="Body Text"/>
    <w:basedOn w:val="1"/>
    <w:next w:val="10"/>
    <w:qFormat/>
    <w:uiPriority w:val="0"/>
    <w:pPr>
      <w:spacing w:line="460" w:lineRule="atLeast"/>
      <w:outlineLvl w:val="0"/>
    </w:pPr>
    <w:rPr>
      <w:color w:val="000000"/>
    </w:rPr>
  </w:style>
  <w:style w:type="paragraph" w:styleId="10">
    <w:name w:val="List Bullet 5"/>
    <w:basedOn w:val="1"/>
    <w:qFormat/>
    <w:uiPriority w:val="0"/>
    <w:pPr>
      <w:numPr>
        <w:ilvl w:val="0"/>
        <w:numId w:val="2"/>
      </w:numPr>
    </w:pPr>
  </w:style>
  <w:style w:type="paragraph" w:styleId="11">
    <w:name w:val="Body Text Indent"/>
    <w:basedOn w:val="1"/>
    <w:qFormat/>
    <w:uiPriority w:val="0"/>
    <w:pPr>
      <w:ind w:firstLine="480"/>
    </w:pPr>
    <w:rPr>
      <w:rFonts w:ascii="楷体_GB2312" w:eastAsia="楷体_GB2312"/>
      <w:snapToGrid w:val="0"/>
      <w:sz w:val="28"/>
    </w:rPr>
  </w:style>
  <w:style w:type="paragraph" w:styleId="12">
    <w:name w:val="Block Text"/>
    <w:basedOn w:val="1"/>
    <w:qFormat/>
    <w:uiPriority w:val="0"/>
    <w:pPr>
      <w:textAlignment w:val="baseline"/>
    </w:pPr>
    <w:rPr>
      <w:spacing w:val="-2"/>
    </w:r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Balloon Text"/>
    <w:basedOn w:val="1"/>
    <w:link w:val="53"/>
    <w:qFormat/>
    <w:uiPriority w:val="0"/>
    <w:rPr>
      <w:sz w:val="18"/>
      <w:szCs w:val="18"/>
    </w:rPr>
  </w:style>
  <w:style w:type="paragraph" w:styleId="16">
    <w:name w:val="footer"/>
    <w:basedOn w:val="1"/>
    <w:qFormat/>
    <w:uiPriority w:val="0"/>
    <w:pPr>
      <w:tabs>
        <w:tab w:val="center" w:pos="4153"/>
        <w:tab w:val="right" w:pos="8306"/>
      </w:tabs>
    </w:pPr>
    <w:rPr>
      <w:sz w:val="18"/>
      <w:szCs w:val="18"/>
    </w:rPr>
  </w:style>
  <w:style w:type="paragraph" w:styleId="17">
    <w:name w:val="header"/>
    <w:basedOn w:val="1"/>
    <w:qFormat/>
    <w:uiPriority w:val="99"/>
    <w:pPr>
      <w:pBdr>
        <w:bottom w:val="single" w:color="auto" w:sz="6" w:space="1"/>
      </w:pBdr>
      <w:tabs>
        <w:tab w:val="center" w:pos="4153"/>
        <w:tab w:val="right" w:pos="8306"/>
      </w:tabs>
      <w:jc w:val="right"/>
    </w:pPr>
    <w:rPr>
      <w:rFonts w:hint="eastAsia" w:ascii="宋体" w:hAnsi="宋体" w:cs="宋体"/>
      <w:sz w:val="18"/>
      <w:szCs w:val="18"/>
    </w:rPr>
  </w:style>
  <w:style w:type="paragraph" w:styleId="18">
    <w:name w:val="toc 1"/>
    <w:basedOn w:val="1"/>
    <w:next w:val="1"/>
    <w:qFormat/>
    <w:uiPriority w:val="39"/>
    <w:rPr>
      <w:rFonts w:ascii="黑体" w:hAnsi="黑体" w:eastAsia="黑体"/>
    </w:rPr>
  </w:style>
  <w:style w:type="paragraph" w:styleId="19">
    <w:name w:val="toc 2"/>
    <w:basedOn w:val="1"/>
    <w:next w:val="1"/>
    <w:qFormat/>
    <w:uiPriority w:val="39"/>
    <w:pPr>
      <w:ind w:left="420" w:leftChars="200"/>
    </w:pPr>
  </w:style>
  <w:style w:type="paragraph" w:styleId="20">
    <w:name w:val="Normal (Web)"/>
    <w:basedOn w:val="1"/>
    <w:qFormat/>
    <w:uiPriority w:val="0"/>
    <w:pPr>
      <w:spacing w:before="100" w:beforeAutospacing="1" w:after="100" w:afterAutospacing="1"/>
    </w:pPr>
    <w:rPr>
      <w:rFonts w:ascii="宋体" w:hAnsi="宋体" w:cs="宋体"/>
      <w:szCs w:val="24"/>
    </w:rPr>
  </w:style>
  <w:style w:type="paragraph" w:styleId="21">
    <w:name w:val="annotation subject"/>
    <w:basedOn w:val="8"/>
    <w:next w:val="8"/>
    <w:link w:val="52"/>
    <w:qFormat/>
    <w:uiPriority w:val="0"/>
    <w:rPr>
      <w:b/>
      <w:bCs/>
    </w:rPr>
  </w:style>
  <w:style w:type="paragraph" w:styleId="22">
    <w:name w:val="Body Text First Indent 2"/>
    <w:basedOn w:val="11"/>
    <w:qFormat/>
    <w:uiPriority w:val="0"/>
    <w:pPr>
      <w:spacing w:after="120" w:line="240" w:lineRule="auto"/>
      <w:ind w:left="420" w:leftChars="200" w:firstLine="420" w:firstLineChars="200"/>
    </w:pPr>
    <w:rPr>
      <w:rFonts w:eastAsia="宋体"/>
      <w:kern w:val="2"/>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FollowedHyperlink"/>
    <w:basedOn w:val="25"/>
    <w:qFormat/>
    <w:uiPriority w:val="0"/>
    <w:rPr>
      <w:color w:val="185ECF"/>
      <w:u w:val="none"/>
    </w:rPr>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annotation reference"/>
    <w:basedOn w:val="25"/>
    <w:qFormat/>
    <w:uiPriority w:val="0"/>
    <w:rPr>
      <w:sz w:val="21"/>
      <w:szCs w:val="21"/>
    </w:rPr>
  </w:style>
  <w:style w:type="paragraph" w:customStyle="1" w:styleId="30">
    <w:name w:val="Default"/>
    <w:basedOn w:val="31"/>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1">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2">
    <w:name w:val="正文 首行缩进:  2 字符"/>
    <w:basedOn w:val="1"/>
    <w:qFormat/>
    <w:uiPriority w:val="0"/>
    <w:rPr>
      <w:rFonts w:ascii="Calibri" w:hAnsi="Calibri" w:cs="宋体"/>
      <w:szCs w:val="20"/>
    </w:rPr>
  </w:style>
  <w:style w:type="character" w:customStyle="1" w:styleId="33">
    <w:name w:val="标题 3 Char"/>
    <w:basedOn w:val="25"/>
    <w:qFormat/>
    <w:uiPriority w:val="0"/>
    <w:rPr>
      <w:rFonts w:ascii="Times New Roman" w:hAnsi="Times New Roman" w:eastAsia="黑体"/>
      <w:b/>
      <w:sz w:val="26"/>
      <w:szCs w:val="26"/>
    </w:rPr>
  </w:style>
  <w:style w:type="paragraph" w:customStyle="1" w:styleId="34">
    <w:name w:val="正文文本缩进 21"/>
    <w:basedOn w:val="1"/>
    <w:qFormat/>
    <w:uiPriority w:val="0"/>
    <w:pPr>
      <w:widowControl w:val="0"/>
      <w:snapToGrid/>
      <w:spacing w:line="312" w:lineRule="atLeast"/>
      <w:ind w:firstLine="570"/>
      <w:jc w:val="distribute"/>
      <w:textAlignment w:val="baseline"/>
    </w:pPr>
    <w:rPr>
      <w:rFonts w:eastAsia="仿宋_GB2312" w:cs="Times New Roman"/>
      <w:sz w:val="28"/>
      <w:szCs w:val="20"/>
    </w:rPr>
  </w:style>
  <w:style w:type="paragraph" w:customStyle="1" w:styleId="35">
    <w:name w:val="正文文本缩进1"/>
    <w:basedOn w:val="1"/>
    <w:qFormat/>
    <w:uiPriority w:val="0"/>
    <w:pPr>
      <w:widowControl w:val="0"/>
      <w:snapToGrid/>
      <w:spacing w:line="233" w:lineRule="auto"/>
      <w:ind w:firstLine="570"/>
      <w:jc w:val="both"/>
      <w:textAlignment w:val="baseline"/>
    </w:pPr>
    <w:rPr>
      <w:rFonts w:ascii="仿宋_GB2312" w:eastAsia="仿宋_GB2312" w:cs="Times New Roman"/>
      <w:sz w:val="28"/>
      <w:szCs w:val="20"/>
    </w:rPr>
  </w:style>
  <w:style w:type="paragraph" w:customStyle="1" w:styleId="36">
    <w:name w:val="普通(网站)1"/>
    <w:basedOn w:val="1"/>
    <w:qFormat/>
    <w:uiPriority w:val="0"/>
    <w:pPr>
      <w:adjustRightInd/>
      <w:snapToGrid/>
      <w:spacing w:before="100" w:beforeAutospacing="1" w:after="100" w:afterAutospacing="1"/>
    </w:pPr>
    <w:rPr>
      <w:rFonts w:ascii="宋体" w:hAnsi="宋体" w:cs="宋体"/>
      <w:szCs w:val="24"/>
    </w:rPr>
  </w:style>
  <w:style w:type="paragraph" w:customStyle="1" w:styleId="37">
    <w:name w:val="纯文本1"/>
    <w:basedOn w:val="1"/>
    <w:qFormat/>
    <w:uiPriority w:val="0"/>
    <w:pPr>
      <w:widowControl w:val="0"/>
      <w:adjustRightInd/>
      <w:snapToGrid/>
      <w:jc w:val="both"/>
    </w:pPr>
    <w:rPr>
      <w:rFonts w:ascii="宋体" w:hAnsi="Courier New" w:cs="Times New Roman"/>
      <w:kern w:val="2"/>
      <w:sz w:val="21"/>
      <w:szCs w:val="20"/>
    </w:rPr>
  </w:style>
  <w:style w:type="character" w:customStyle="1" w:styleId="38">
    <w:name w:val="页码1"/>
    <w:basedOn w:val="25"/>
    <w:qFormat/>
    <w:uiPriority w:val="0"/>
  </w:style>
  <w:style w:type="paragraph" w:customStyle="1" w:styleId="39">
    <w:name w:val="正文01"/>
    <w:basedOn w:val="1"/>
    <w:qFormat/>
    <w:uiPriority w:val="0"/>
    <w:pPr>
      <w:spacing w:before="60" w:line="460" w:lineRule="exact"/>
      <w:ind w:firstLine="200" w:firstLineChars="200"/>
    </w:pPr>
    <w:rPr>
      <w:bCs/>
    </w:rPr>
  </w:style>
  <w:style w:type="paragraph" w:customStyle="1" w:styleId="40">
    <w:name w:val="表格"/>
    <w:basedOn w:val="1"/>
    <w:next w:val="1"/>
    <w:qFormat/>
    <w:uiPriority w:val="0"/>
    <w:pPr>
      <w:autoSpaceDE w:val="0"/>
      <w:autoSpaceDN w:val="0"/>
      <w:spacing w:before="60" w:after="40"/>
      <w:jc w:val="center"/>
    </w:pPr>
  </w:style>
  <w:style w:type="paragraph" w:customStyle="1" w:styleId="41">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paragraph" w:customStyle="1" w:styleId="42">
    <w:name w:val="表格222"/>
    <w:basedOn w:val="1"/>
    <w:qFormat/>
    <w:uiPriority w:val="0"/>
    <w:pPr>
      <w:spacing w:line="320" w:lineRule="exact"/>
      <w:jc w:val="center"/>
    </w:pPr>
    <w:rPr>
      <w:kern w:val="10"/>
    </w:rPr>
  </w:style>
  <w:style w:type="character" w:customStyle="1" w:styleId="43">
    <w:name w:val="样式 宋体 小三"/>
    <w:qFormat/>
    <w:uiPriority w:val="0"/>
    <w:rPr>
      <w:rFonts w:ascii="宋体"/>
      <w:sz w:val="28"/>
    </w:rPr>
  </w:style>
  <w:style w:type="paragraph" w:customStyle="1" w:styleId="44">
    <w:name w:val="样式 样式 正文首行缩进 2 + 四号 首行缩进:  2 字符 + 首行缩进:  2 字符"/>
    <w:basedOn w:val="1"/>
    <w:qFormat/>
    <w:uiPriority w:val="0"/>
    <w:pPr>
      <w:ind w:firstLine="480" w:firstLineChars="200"/>
    </w:pPr>
    <w:rPr>
      <w:rFonts w:cs="宋体"/>
      <w:szCs w:val="24"/>
    </w:rPr>
  </w:style>
  <w:style w:type="paragraph" w:customStyle="1" w:styleId="45">
    <w:name w:val="xl24"/>
    <w:basedOn w:val="1"/>
    <w:qFormat/>
    <w:uiPriority w:val="0"/>
    <w:pPr>
      <w:spacing w:before="100" w:beforeAutospacing="1" w:after="100" w:afterAutospacing="1"/>
      <w:jc w:val="center"/>
      <w:textAlignment w:val="center"/>
    </w:pPr>
    <w:rPr>
      <w:rFonts w:ascii="Arial Unicode MS" w:hAnsi="Arial Unicode MS" w:eastAsia="Arial Unicode MS"/>
    </w:rPr>
  </w:style>
  <w:style w:type="paragraph" w:customStyle="1" w:styleId="46">
    <w:name w:val="样式11"/>
    <w:basedOn w:val="47"/>
    <w:qFormat/>
    <w:uiPriority w:val="0"/>
    <w:pPr>
      <w:keepNext w:val="0"/>
      <w:keepLines w:val="0"/>
      <w:adjustRightInd w:val="0"/>
      <w:spacing w:line="480" w:lineRule="exact"/>
      <w:ind w:firstLine="200" w:firstLineChars="200"/>
      <w:outlineLvl w:val="9"/>
    </w:pPr>
    <w:rPr>
      <w:rFonts w:ascii="宋体" w:hAnsi="宋体" w:eastAsia="宋体"/>
      <w:b w:val="0"/>
      <w:bCs w:val="0"/>
      <w:color w:val="000000"/>
      <w:spacing w:val="0"/>
      <w:sz w:val="26"/>
      <w:szCs w:val="26"/>
    </w:rPr>
  </w:style>
  <w:style w:type="paragraph" w:customStyle="1" w:styleId="47">
    <w:name w:val="样式4"/>
    <w:basedOn w:val="5"/>
    <w:qFormat/>
    <w:uiPriority w:val="0"/>
    <w:pPr>
      <w:numPr>
        <w:numId w:val="0"/>
      </w:numPr>
      <w:adjustRightInd/>
      <w:spacing w:before="0" w:after="0" w:line="540" w:lineRule="exact"/>
      <w:ind w:firstLine="578"/>
      <w:textAlignment w:val="auto"/>
    </w:pPr>
    <w:rPr>
      <w:bCs/>
      <w:spacing w:val="8"/>
      <w:kern w:val="2"/>
      <w:szCs w:val="28"/>
    </w:rPr>
  </w:style>
  <w:style w:type="paragraph" w:customStyle="1" w:styleId="48">
    <w:name w:val="样式2"/>
    <w:basedOn w:val="49"/>
    <w:qFormat/>
    <w:uiPriority w:val="0"/>
    <w:pPr>
      <w:spacing w:beforeLines="50"/>
      <w:ind w:firstLine="0"/>
      <w:jc w:val="center"/>
      <w:outlineLvl w:val="4"/>
    </w:pPr>
    <w:rPr>
      <w:rFonts w:ascii="宋体"/>
    </w:rPr>
  </w:style>
  <w:style w:type="paragraph" w:customStyle="1" w:styleId="49">
    <w:name w:val="样式1"/>
    <w:basedOn w:val="1"/>
    <w:qFormat/>
    <w:uiPriority w:val="0"/>
    <w:pPr>
      <w:spacing w:line="480" w:lineRule="exact"/>
      <w:ind w:firstLine="520"/>
    </w:pPr>
    <w:rPr>
      <w:rFonts w:hAnsi="宋体" w:cs="宋体"/>
      <w:kern w:val="2"/>
      <w:sz w:val="26"/>
      <w:szCs w:val="26"/>
    </w:rPr>
  </w:style>
  <w:style w:type="character" w:customStyle="1" w:styleId="50">
    <w:name w:val="font01"/>
    <w:basedOn w:val="25"/>
    <w:qFormat/>
    <w:uiPriority w:val="0"/>
    <w:rPr>
      <w:rFonts w:hint="eastAsia" w:ascii="宋体" w:hAnsi="宋体" w:eastAsia="宋体"/>
      <w:color w:val="000000"/>
      <w:sz w:val="22"/>
      <w:szCs w:val="22"/>
      <w:u w:val="none"/>
    </w:rPr>
  </w:style>
  <w:style w:type="character" w:customStyle="1" w:styleId="51">
    <w:name w:val="批注文字 字符"/>
    <w:basedOn w:val="25"/>
    <w:link w:val="8"/>
    <w:qFormat/>
    <w:uiPriority w:val="0"/>
    <w:rPr>
      <w:rFonts w:ascii="Tahoma" w:hAnsi="Tahoma" w:eastAsia="微软雅黑" w:cstheme="minorBidi"/>
      <w:sz w:val="22"/>
      <w:szCs w:val="22"/>
    </w:rPr>
  </w:style>
  <w:style w:type="character" w:customStyle="1" w:styleId="52">
    <w:name w:val="批注主题 字符"/>
    <w:basedOn w:val="51"/>
    <w:link w:val="21"/>
    <w:qFormat/>
    <w:uiPriority w:val="0"/>
    <w:rPr>
      <w:rFonts w:ascii="Tahoma" w:hAnsi="Tahoma" w:eastAsia="微软雅黑" w:cstheme="minorBidi"/>
      <w:b/>
      <w:bCs/>
      <w:sz w:val="22"/>
      <w:szCs w:val="22"/>
    </w:rPr>
  </w:style>
  <w:style w:type="character" w:customStyle="1" w:styleId="53">
    <w:name w:val="批注框文本 字符"/>
    <w:basedOn w:val="25"/>
    <w:link w:val="15"/>
    <w:qFormat/>
    <w:uiPriority w:val="0"/>
    <w:rPr>
      <w:rFonts w:ascii="Tahoma" w:hAnsi="Tahoma" w:eastAsia="微软雅黑" w:cstheme="minorBidi"/>
      <w:sz w:val="18"/>
      <w:szCs w:val="18"/>
    </w:rPr>
  </w:style>
  <w:style w:type="table" w:customStyle="1" w:styleId="54">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55">
    <w:name w:val="样式3"/>
    <w:basedOn w:val="1"/>
    <w:link w:val="56"/>
    <w:qFormat/>
    <w:uiPriority w:val="0"/>
    <w:pPr>
      <w:pBdr>
        <w:top w:val="single" w:color="auto" w:sz="4" w:space="1"/>
      </w:pBdr>
      <w:tabs>
        <w:tab w:val="center" w:pos="4153"/>
        <w:tab w:val="right" w:pos="8306"/>
      </w:tabs>
    </w:pPr>
    <w:rPr>
      <w:sz w:val="21"/>
    </w:rPr>
  </w:style>
  <w:style w:type="character" w:customStyle="1" w:styleId="56">
    <w:name w:val="样式3 Char"/>
    <w:basedOn w:val="25"/>
    <w:link w:val="55"/>
    <w:qFormat/>
    <w:uiPriority w:val="0"/>
    <w:rPr>
      <w:rFonts w:ascii="Tahoma" w:hAnsi="Tahoma" w:eastAsia="微软雅黑" w:cstheme="minorBidi"/>
      <w:sz w:val="21"/>
      <w:szCs w:val="22"/>
    </w:rPr>
  </w:style>
  <w:style w:type="paragraph" w:customStyle="1" w:styleId="57">
    <w:name w:val="表内容"/>
    <w:basedOn w:val="1"/>
    <w:qFormat/>
    <w:uiPriority w:val="0"/>
    <w:pPr>
      <w:jc w:val="center"/>
    </w:pPr>
    <w:rPr>
      <w:snapToGrid w:val="0"/>
      <w:szCs w:val="21"/>
    </w:rPr>
  </w:style>
  <w:style w:type="paragraph" w:customStyle="1" w:styleId="58">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59">
    <w:name w:val="CCGL正文"/>
    <w:basedOn w:val="1"/>
    <w:qFormat/>
    <w:uiPriority w:val="0"/>
    <w:pPr>
      <w:spacing w:line="460" w:lineRule="exact"/>
      <w:ind w:firstLine="420" w:firstLineChars="200"/>
    </w:pPr>
    <w:rPr>
      <w:sz w:val="26"/>
      <w:szCs w:val="22"/>
    </w:rPr>
  </w:style>
  <w:style w:type="paragraph" w:customStyle="1" w:styleId="60">
    <w:name w:val="CCGL表"/>
    <w:basedOn w:val="1"/>
    <w:qFormat/>
    <w:uiPriority w:val="0"/>
    <w:pPr>
      <w:spacing w:line="240" w:lineRule="auto"/>
      <w:jc w:val="center"/>
    </w:pPr>
    <w:rPr>
      <w:sz w:val="22"/>
    </w:rPr>
  </w:style>
  <w:style w:type="paragraph" w:customStyle="1" w:styleId="61">
    <w:name w:val="样式 左 首行缩进:  1.01 厘米"/>
    <w:qFormat/>
    <w:uiPriority w:val="0"/>
    <w:pPr>
      <w:adjustRightInd w:val="0"/>
      <w:snapToGrid w:val="0"/>
      <w:spacing w:line="460" w:lineRule="exact"/>
      <w:ind w:firstLine="200" w:firstLineChars="200"/>
    </w:pPr>
    <w:rPr>
      <w:rFonts w:ascii="Times New Roman" w:hAnsi="Times New Roman" w:eastAsia="宋体" w:cs="宋体"/>
      <w:sz w:val="26"/>
      <w:szCs w:val="26"/>
      <w:lang w:val="en-US" w:eastAsia="zh-CN" w:bidi="ar-SA"/>
    </w:rPr>
  </w:style>
  <w:style w:type="paragraph" w:styleId="62">
    <w:name w:val="List Paragraph"/>
    <w:basedOn w:val="1"/>
    <w:qFormat/>
    <w:uiPriority w:val="1"/>
    <w:pPr>
      <w:ind w:left="1357" w:hanging="601"/>
    </w:pPr>
    <w:rPr>
      <w:rFonts w:ascii="宋体" w:hAnsi="宋体" w:eastAsia="宋体" w:cs="宋体"/>
      <w:lang w:val="zh-CN" w:eastAsia="zh-CN" w:bidi="zh-CN"/>
    </w:rPr>
  </w:style>
  <w:style w:type="paragraph" w:customStyle="1" w:styleId="63">
    <w:name w:val="表格1"/>
    <w:basedOn w:val="64"/>
    <w:qFormat/>
    <w:uiPriority w:val="0"/>
    <w:pPr>
      <w:jc w:val="center"/>
    </w:pPr>
    <w:rPr>
      <w:rFonts w:cs="Times New Roman"/>
      <w:b/>
      <w:color w:val="000000"/>
      <w:szCs w:val="22"/>
    </w:rPr>
  </w:style>
  <w:style w:type="paragraph" w:customStyle="1" w:styleId="64">
    <w:name w:val="表格格式1-2"/>
    <w:basedOn w:val="1"/>
    <w:qFormat/>
    <w:uiPriority w:val="0"/>
    <w:pPr>
      <w:jc w:val="center"/>
    </w:pPr>
    <w:rPr>
      <w:rFonts w:ascii="Times New Roman" w:hAnsi="Times New Roman"/>
      <w:szCs w:val="21"/>
    </w:rPr>
  </w:style>
  <w:style w:type="paragraph" w:customStyle="1" w:styleId="65">
    <w:name w:val="Table Paragraph"/>
    <w:basedOn w:val="30"/>
    <w:next w:val="30"/>
    <w:qFormat/>
    <w:uiPriority w:val="1"/>
    <w:pPr>
      <w:autoSpaceDE w:val="0"/>
      <w:autoSpaceDN w:val="0"/>
      <w:adjustRightInd w:val="0"/>
      <w:jc w:val="left"/>
    </w:pPr>
    <w:rPr>
      <w:rFonts w:ascii="Times New Roman" w:hAnsi="Times New Roman" w:eastAsia="宋体"/>
      <w:kern w:val="0"/>
      <w:sz w:val="24"/>
      <w:szCs w:val="24"/>
    </w:rPr>
  </w:style>
  <w:style w:type="paragraph" w:customStyle="1" w:styleId="66">
    <w:name w:val="表格样式"/>
    <w:basedOn w:val="1"/>
    <w:qFormat/>
    <w:uiPriority w:val="0"/>
    <w:pPr>
      <w:spacing w:line="320" w:lineRule="exact"/>
      <w:contextualSpacing/>
    </w:pPr>
    <w:rPr>
      <w:sz w:val="22"/>
      <w:szCs w:val="24"/>
    </w:rPr>
  </w:style>
  <w:style w:type="paragraph" w:customStyle="1" w:styleId="67">
    <w:name w:val="表头"/>
    <w:basedOn w:val="68"/>
    <w:next w:val="1"/>
    <w:qFormat/>
    <w:uiPriority w:val="0"/>
    <w:pPr>
      <w:adjustRightInd w:val="0"/>
      <w:snapToGrid w:val="0"/>
      <w:spacing w:line="480" w:lineRule="exact"/>
      <w:jc w:val="center"/>
    </w:pPr>
    <w:rPr>
      <w:b/>
      <w:sz w:val="24"/>
      <w:szCs w:val="20"/>
      <w:lang w:val="zh-CN"/>
    </w:rPr>
  </w:style>
  <w:style w:type="paragraph" w:customStyle="1" w:styleId="68">
    <w:name w:val="表文"/>
    <w:basedOn w:val="9"/>
    <w:next w:val="7"/>
    <w:qFormat/>
    <w:uiPriority w:val="0"/>
    <w:pPr>
      <w:spacing w:before="62" w:beforeLines="20" w:after="62" w:afterLines="20" w:line="280" w:lineRule="exact"/>
      <w:jc w:val="center"/>
    </w:pPr>
    <w:rPr>
      <w:rFonts w:ascii="黑体" w:hAnsi="宋体"/>
    </w:rPr>
  </w:style>
  <w:style w:type="paragraph" w:customStyle="1" w:styleId="69">
    <w:name w:val="表格格式"/>
    <w:basedOn w:val="1"/>
    <w:qFormat/>
    <w:uiPriority w:val="0"/>
    <w:pPr>
      <w:widowControl/>
      <w:adjustRightInd w:val="0"/>
      <w:snapToGrid w:val="0"/>
      <w:spacing w:after="200"/>
      <w:jc w:val="center"/>
    </w:pPr>
    <w:rPr>
      <w:rFonts w:ascii="Tahoma" w:hAnsi="Tahoma" w:eastAsia="微软雅黑"/>
      <w:kern w:val="0"/>
    </w:rPr>
  </w:style>
  <w:style w:type="character" w:customStyle="1" w:styleId="70">
    <w:name w:val="15"/>
    <w:qFormat/>
    <w:uiPriority w:val="0"/>
    <w:rPr>
      <w:rFonts w:hint="default" w:ascii="Times New Roman" w:hAnsi="Times New Roman" w:cs="Times New Roman"/>
    </w:rPr>
  </w:style>
  <w:style w:type="character" w:customStyle="1" w:styleId="71">
    <w:name w:val="font11"/>
    <w:basedOn w:val="25"/>
    <w:qFormat/>
    <w:uiPriority w:val="0"/>
    <w:rPr>
      <w:rFonts w:hint="eastAsia" w:ascii="宋体" w:hAnsi="宋体" w:eastAsia="宋体" w:cs="宋体"/>
      <w:color w:val="000000"/>
      <w:sz w:val="20"/>
      <w:szCs w:val="20"/>
      <w:u w:val="none"/>
    </w:rPr>
  </w:style>
  <w:style w:type="character" w:customStyle="1" w:styleId="72">
    <w:name w:val="font31"/>
    <w:basedOn w:val="25"/>
    <w:qFormat/>
    <w:uiPriority w:val="0"/>
    <w:rPr>
      <w:rFonts w:hint="eastAsia" w:ascii="宋体" w:hAnsi="宋体" w:eastAsia="宋体" w:cs="宋体"/>
      <w:color w:val="000000"/>
      <w:sz w:val="20"/>
      <w:szCs w:val="20"/>
      <w:u w:val="none"/>
    </w:rPr>
  </w:style>
  <w:style w:type="paragraph" w:customStyle="1" w:styleId="73">
    <w:name w:val="表格内容"/>
    <w:basedOn w:val="1"/>
    <w:qFormat/>
    <w:uiPriority w:val="0"/>
    <w:pPr>
      <w:snapToGrid w:val="0"/>
      <w:spacing w:line="240" w:lineRule="auto"/>
      <w:ind w:firstLine="0" w:firstLineChars="0"/>
      <w:jc w:val="center"/>
    </w:pPr>
    <w:rPr>
      <w:rFonts w:cs="Times New Roman"/>
      <w:kern w:val="2"/>
      <w:sz w:val="21"/>
    </w:rPr>
  </w:style>
  <w:style w:type="paragraph" w:customStyle="1" w:styleId="74">
    <w:name w:val="BGZW"/>
    <w:qFormat/>
    <w:uiPriority w:val="0"/>
    <w:pPr>
      <w:widowControl w:val="0"/>
      <w:spacing w:line="360" w:lineRule="auto"/>
      <w:ind w:firstLine="480" w:firstLineChars="200"/>
      <w:jc w:val="both"/>
    </w:pPr>
    <w:rPr>
      <w:rFonts w:ascii="Times New Roman" w:hAnsi="Times New Roman" w:eastAsia="宋体" w:cs="宋体"/>
      <w:snapToGrid w:val="0"/>
      <w:sz w:val="24"/>
      <w:lang w:val="en-US" w:eastAsia="zh-CN" w:bidi="ar-SA"/>
    </w:rPr>
  </w:style>
  <w:style w:type="paragraph" w:customStyle="1" w:styleId="75">
    <w:name w:val="表格名称"/>
    <w:basedOn w:val="1"/>
    <w:qFormat/>
    <w:uiPriority w:val="0"/>
    <w:pPr>
      <w:spacing w:line="360" w:lineRule="auto"/>
      <w:ind w:firstLine="200" w:firstLineChars="200"/>
      <w:jc w:val="center"/>
    </w:pPr>
    <w:rPr>
      <w:rFonts w:ascii="Times New Roman" w:hAnsi="Times New Roman"/>
      <w:b/>
      <w:bCs/>
      <w:sz w:val="24"/>
      <w:szCs w:val="24"/>
    </w:rPr>
  </w:style>
  <w:style w:type="character" w:customStyle="1" w:styleId="76">
    <w:name w:val="checkbox"/>
    <w:basedOn w:val="25"/>
    <w:qFormat/>
    <w:uiPriority w:val="0"/>
  </w:style>
  <w:style w:type="character" w:customStyle="1" w:styleId="77">
    <w:name w:val="shenbao"/>
    <w:basedOn w:val="25"/>
    <w:qFormat/>
    <w:uiPriority w:val="0"/>
    <w:rPr>
      <w:color w:val="EF6334"/>
    </w:rPr>
  </w:style>
  <w:style w:type="character" w:customStyle="1" w:styleId="78">
    <w:name w:val="chakan"/>
    <w:basedOn w:val="25"/>
    <w:qFormat/>
    <w:uiPriority w:val="0"/>
    <w:rPr>
      <w:color w:val="0064EA"/>
    </w:rPr>
  </w:style>
  <w:style w:type="paragraph" w:customStyle="1" w:styleId="79">
    <w:name w:val="Z表内文字"/>
    <w:basedOn w:val="1"/>
    <w:next w:val="80"/>
    <w:qFormat/>
    <w:uiPriority w:val="0"/>
    <w:pPr>
      <w:adjustRightInd w:val="0"/>
      <w:snapToGrid w:val="0"/>
      <w:spacing w:beforeLines="0" w:afterLines="0"/>
      <w:jc w:val="center"/>
    </w:pPr>
    <w:rPr>
      <w:rFonts w:ascii="Times New Roman" w:hAnsi="Times New Roman" w:eastAsia="宋体"/>
      <w:bCs/>
      <w:szCs w:val="21"/>
    </w:rPr>
  </w:style>
  <w:style w:type="paragraph" w:customStyle="1" w:styleId="80">
    <w:name w:val="Z正文内容"/>
    <w:basedOn w:val="1"/>
    <w:link w:val="84"/>
    <w:qFormat/>
    <w:uiPriority w:val="0"/>
    <w:pPr>
      <w:spacing w:line="360" w:lineRule="auto"/>
      <w:ind w:firstLine="720" w:firstLineChars="200"/>
      <w:jc w:val="left"/>
    </w:pPr>
    <w:rPr>
      <w:rFonts w:ascii="Times New Roman" w:hAnsi="Times New Roman" w:eastAsia="宋体"/>
      <w:sz w:val="24"/>
    </w:rPr>
  </w:style>
  <w:style w:type="paragraph" w:customStyle="1" w:styleId="81">
    <w:name w:val="张_gege的表格文字"/>
    <w:next w:val="82"/>
    <w:qFormat/>
    <w:uiPriority w:val="99"/>
    <w:pPr>
      <w:jc w:val="center"/>
    </w:pPr>
    <w:rPr>
      <w:rFonts w:ascii="Times New Roman" w:hAnsi="Times New Roman" w:eastAsia="宋体" w:cs="Times New Roman"/>
      <w:color w:val="000000" w:themeColor="text1"/>
      <w:kern w:val="2"/>
      <w:sz w:val="21"/>
      <w:lang w:val="en-US" w:eastAsia="zh-CN" w:bidi="ar-SA"/>
      <w14:textFill>
        <w14:solidFill>
          <w14:schemeClr w14:val="tx1"/>
        </w14:solidFill>
      </w14:textFill>
    </w:rPr>
  </w:style>
  <w:style w:type="paragraph" w:customStyle="1" w:styleId="82">
    <w:name w:val="张_gege的正文文本"/>
    <w:qFormat/>
    <w:uiPriority w:val="99"/>
    <w:pPr>
      <w:widowControl w:val="0"/>
      <w:spacing w:line="360" w:lineRule="auto"/>
      <w:ind w:firstLine="200" w:firstLineChars="200"/>
    </w:pPr>
    <w:rPr>
      <w:rFonts w:ascii="Times New Roman" w:hAnsi="Times New Roman" w:cs="Times New Roman" w:eastAsiaTheme="minorEastAsia"/>
      <w:bCs/>
      <w:color w:val="000000" w:themeColor="text1"/>
      <w:kern w:val="2"/>
      <w:sz w:val="24"/>
      <w:lang w:val="en-US" w:eastAsia="zh-CN" w:bidi="ar-SA"/>
      <w14:textFill>
        <w14:solidFill>
          <w14:schemeClr w14:val="tx1"/>
        </w14:solidFill>
      </w14:textFill>
    </w:rPr>
  </w:style>
  <w:style w:type="paragraph" w:customStyle="1" w:styleId="83">
    <w:name w:val="Z图表号"/>
    <w:basedOn w:val="1"/>
    <w:next w:val="80"/>
    <w:link w:val="88"/>
    <w:qFormat/>
    <w:uiPriority w:val="0"/>
    <w:pPr>
      <w:spacing w:line="240" w:lineRule="auto"/>
      <w:ind w:firstLine="0" w:firstLineChars="0"/>
      <w:jc w:val="center"/>
    </w:pPr>
    <w:rPr>
      <w:rFonts w:ascii="Times New Roman" w:hAnsi="Times New Roman" w:eastAsia="宋体"/>
      <w:b/>
    </w:rPr>
  </w:style>
  <w:style w:type="character" w:customStyle="1" w:styleId="84">
    <w:name w:val="Z正文内容 Char"/>
    <w:link w:val="80"/>
    <w:qFormat/>
    <w:uiPriority w:val="0"/>
    <w:rPr>
      <w:rFonts w:ascii="Times New Roman" w:hAnsi="Times New Roman" w:eastAsia="宋体"/>
      <w:sz w:val="24"/>
    </w:rPr>
  </w:style>
  <w:style w:type="paragraph" w:customStyle="1" w:styleId="85">
    <w:name w:val="Z一级标题"/>
    <w:basedOn w:val="1"/>
    <w:next w:val="86"/>
    <w:qFormat/>
    <w:uiPriority w:val="0"/>
    <w:pPr>
      <w:spacing w:line="360" w:lineRule="auto"/>
      <w:jc w:val="left"/>
      <w:outlineLvl w:val="1"/>
    </w:pPr>
    <w:rPr>
      <w:rFonts w:ascii="Times New Roman" w:hAnsi="Times New Roman" w:eastAsia="宋体"/>
      <w:b/>
      <w:color w:val="auto"/>
      <w:sz w:val="24"/>
    </w:rPr>
  </w:style>
  <w:style w:type="paragraph" w:customStyle="1" w:styleId="86">
    <w:name w:val="Z二级标题"/>
    <w:basedOn w:val="1"/>
    <w:next w:val="80"/>
    <w:qFormat/>
    <w:uiPriority w:val="0"/>
    <w:pPr>
      <w:spacing w:line="360" w:lineRule="auto"/>
      <w:ind w:firstLine="480" w:firstLineChars="200"/>
      <w:jc w:val="left"/>
    </w:pPr>
    <w:rPr>
      <w:rFonts w:ascii="Times New Roman" w:hAnsi="Times New Roman" w:eastAsia="宋体" w:cs="宋体"/>
      <w:b/>
      <w:sz w:val="24"/>
    </w:rPr>
  </w:style>
  <w:style w:type="paragraph" w:customStyle="1" w:styleId="87">
    <w:name w:val="小四  缩进2 行距24"/>
    <w:basedOn w:val="1"/>
    <w:qFormat/>
    <w:uiPriority w:val="0"/>
    <w:pPr>
      <w:spacing w:line="480" w:lineRule="exact"/>
      <w:ind w:firstLine="480" w:firstLineChars="200"/>
    </w:pPr>
    <w:rPr>
      <w:rFonts w:cs="宋体"/>
      <w:sz w:val="24"/>
      <w:szCs w:val="20"/>
    </w:rPr>
  </w:style>
  <w:style w:type="character" w:customStyle="1" w:styleId="88">
    <w:name w:val="Z图表号 Char"/>
    <w:link w:val="83"/>
    <w:qFormat/>
    <w:uiPriority w:val="0"/>
    <w:rPr>
      <w:rFonts w:ascii="Times New Roman" w:hAnsi="Times New Roman" w:eastAsia="宋体"/>
      <w:b/>
    </w:rPr>
  </w:style>
  <w:style w:type="paragraph" w:customStyle="1" w:styleId="89">
    <w:name w:val="Z表一内容"/>
    <w:basedOn w:val="1"/>
    <w:qFormat/>
    <w:uiPriority w:val="0"/>
    <w:pPr>
      <w:jc w:val="center"/>
    </w:pPr>
    <w:rPr>
      <w:rFonts w:ascii="Times New Roman" w:hAnsi="Times New Roman" w:eastAsia="宋体"/>
      <w:color w:val="000000"/>
      <w:sz w:val="24"/>
    </w:rPr>
  </w:style>
  <w:style w:type="paragraph" w:customStyle="1" w:styleId="90">
    <w:name w:val="小表中格式"/>
    <w:basedOn w:val="91"/>
    <w:qFormat/>
    <w:uiPriority w:val="0"/>
    <w:pPr>
      <w:spacing w:line="360" w:lineRule="exact"/>
      <w:ind w:firstLine="0" w:firstLineChars="0"/>
      <w:jc w:val="center"/>
    </w:pPr>
    <w:rPr>
      <w:w w:val="100"/>
      <w:sz w:val="21"/>
      <w:szCs w:val="20"/>
    </w:rPr>
  </w:style>
  <w:style w:type="paragraph" w:customStyle="1" w:styleId="91">
    <w:name w:val="样式 四号 左侧:  1.53 厘米"/>
    <w:basedOn w:val="1"/>
    <w:qFormat/>
    <w:uiPriority w:val="0"/>
    <w:pPr>
      <w:adjustRightInd w:val="0"/>
    </w:pPr>
    <w:rPr>
      <w:w w:val="90"/>
      <w:sz w:val="28"/>
      <w:szCs w:val="28"/>
    </w:rPr>
  </w:style>
  <w:style w:type="paragraph" w:customStyle="1" w:styleId="92">
    <w:name w:val="char"/>
    <w:basedOn w:val="1"/>
    <w:qFormat/>
    <w:uiPriority w:val="0"/>
    <w:pPr>
      <w:widowControl/>
      <w:spacing w:line="240" w:lineRule="auto"/>
      <w:ind w:firstLine="0" w:firstLineChars="0"/>
      <w:jc w:val="center"/>
    </w:pPr>
    <w:rPr>
      <w:rFonts w:ascii="Arial Narrow" w:hAnsi="Arial Narrow" w:cs="”“Times New Roman”“"/>
      <w:kern w:val="0"/>
      <w:sz w:val="21"/>
      <w:szCs w:val="21"/>
      <w:lang w:eastAsia="en-US"/>
    </w:rPr>
  </w:style>
  <w:style w:type="character" w:customStyle="1" w:styleId="93">
    <w:name w:val="font21"/>
    <w:basedOn w:val="2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42</Pages>
  <Words>19552</Words>
  <Characters>22438</Characters>
  <Lines>237</Lines>
  <Paragraphs>66</Paragraphs>
  <TotalTime>17</TotalTime>
  <ScaleCrop>false</ScaleCrop>
  <LinksUpToDate>false</LinksUpToDate>
  <CharactersWithSpaces>22899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2019-11-24T12:37:00Z</dcterms:created>
  <dc:creator>给我一个小笼包</dc:creator>
  <cp:lastModifiedBy>柳慧敏</cp:lastModifiedBy>
  <dcterms:modified xsi:type="dcterms:W3CDTF">2024-02-21T08:24:00Z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FF77C9B253DA49408F1A04AD3C29EDDC</vt:lpwstr>
  </property>
</Properties>
</file>