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suppressLineNumbers w:val="0"/>
        <w:jc w:val="center"/>
        <w:rPr>
          <w:rFonts w:hint="eastAsia" w:ascii="宋体" w:hAnsi="宋体" w:eastAsia="宋体" w:cs="宋体"/>
          <w:b/>
          <w:color w:val="000000"/>
          <w:kern w:val="0"/>
          <w:sz w:val="72"/>
          <w:szCs w:val="72"/>
          <w:lang w:val="en-US" w:eastAsia="zh-CN" w:bidi="ar"/>
        </w:rPr>
      </w:pPr>
    </w:p>
    <w:p>
      <w:pPr>
        <w:keepNext w:val="0"/>
        <w:keepLines w:val="0"/>
        <w:widowControl/>
        <w:suppressLineNumbers w:val="0"/>
        <w:jc w:val="center"/>
        <w:rPr>
          <w:rFonts w:hint="eastAsia" w:ascii="宋体" w:hAnsi="宋体" w:eastAsia="宋体" w:cs="宋体"/>
          <w:b/>
          <w:color w:val="000000"/>
          <w:kern w:val="0"/>
          <w:sz w:val="72"/>
          <w:szCs w:val="72"/>
          <w:lang w:val="en-US" w:eastAsia="zh-CN" w:bidi="ar"/>
        </w:rPr>
      </w:pPr>
    </w:p>
    <w:p>
      <w:pPr>
        <w:keepNext w:val="0"/>
        <w:keepLines w:val="0"/>
        <w:widowControl/>
        <w:suppressLineNumbers w:val="0"/>
        <w:jc w:val="center"/>
      </w:pPr>
      <w:r>
        <w:rPr>
          <w:rFonts w:hint="eastAsia" w:ascii="宋体" w:hAnsi="宋体" w:eastAsia="宋体" w:cs="宋体"/>
          <w:b/>
          <w:color w:val="000000"/>
          <w:kern w:val="0"/>
          <w:sz w:val="72"/>
          <w:szCs w:val="72"/>
          <w:lang w:val="en-US" w:eastAsia="zh-CN" w:bidi="ar"/>
        </w:rPr>
        <w:t>建设项目竣工环境保护</w:t>
      </w:r>
    </w:p>
    <w:p>
      <w:pPr>
        <w:keepNext w:val="0"/>
        <w:keepLines w:val="0"/>
        <w:widowControl/>
        <w:suppressLineNumbers w:val="0"/>
        <w:jc w:val="center"/>
        <w:rPr>
          <w:rFonts w:hint="eastAsia" w:ascii="宋体" w:hAnsi="宋体" w:eastAsia="宋体" w:cs="宋体"/>
          <w:b/>
          <w:color w:val="000000"/>
          <w:kern w:val="0"/>
          <w:sz w:val="72"/>
          <w:szCs w:val="72"/>
          <w:lang w:val="en-US" w:eastAsia="zh-CN" w:bidi="ar"/>
        </w:rPr>
      </w:pPr>
      <w:r>
        <w:rPr>
          <w:rFonts w:hint="eastAsia" w:ascii="宋体" w:hAnsi="宋体" w:eastAsia="宋体" w:cs="宋体"/>
          <w:b/>
          <w:color w:val="000000"/>
          <w:kern w:val="0"/>
          <w:sz w:val="72"/>
          <w:szCs w:val="72"/>
          <w:lang w:val="en-US" w:eastAsia="zh-CN" w:bidi="ar"/>
        </w:rPr>
        <w:t>验收监测报告表</w:t>
      </w:r>
    </w:p>
    <w:p>
      <w:pPr>
        <w:keepNext w:val="0"/>
        <w:keepLines w:val="0"/>
        <w:widowControl/>
        <w:suppressLineNumbers w:val="0"/>
        <w:jc w:val="center"/>
        <w:rPr>
          <w:rFonts w:hint="eastAsia" w:ascii="宋体" w:hAnsi="宋体" w:eastAsia="宋体" w:cs="宋体"/>
          <w:b/>
          <w:color w:val="000000"/>
          <w:kern w:val="0"/>
          <w:sz w:val="72"/>
          <w:szCs w:val="72"/>
          <w:lang w:val="en-US" w:eastAsia="zh-CN" w:bidi="ar"/>
        </w:rPr>
      </w:pPr>
    </w:p>
    <w:p>
      <w:pPr>
        <w:keepNext w:val="0"/>
        <w:keepLines w:val="0"/>
        <w:widowControl/>
        <w:suppressLineNumbers w:val="0"/>
        <w:jc w:val="left"/>
        <w:rPr>
          <w:rFonts w:hint="eastAsia" w:ascii="宋体" w:hAnsi="宋体" w:eastAsia="宋体" w:cs="宋体"/>
          <w:b/>
          <w:color w:val="000000"/>
          <w:kern w:val="0"/>
          <w:sz w:val="72"/>
          <w:szCs w:val="72"/>
          <w:lang w:val="en-US" w:eastAsia="zh-CN" w:bidi="ar"/>
        </w:rPr>
      </w:pPr>
    </w:p>
    <w:p>
      <w:pPr>
        <w:keepNext w:val="0"/>
        <w:keepLines w:val="0"/>
        <w:widowControl/>
        <w:suppressLineNumbers w:val="0"/>
        <w:jc w:val="left"/>
        <w:rPr>
          <w:rFonts w:hint="eastAsia" w:ascii="宋体" w:hAnsi="宋体" w:eastAsia="宋体" w:cs="宋体"/>
          <w:b/>
          <w:color w:val="000000"/>
          <w:kern w:val="0"/>
          <w:sz w:val="72"/>
          <w:szCs w:val="72"/>
          <w:lang w:val="en-US" w:eastAsia="zh-CN" w:bidi="ar"/>
        </w:rPr>
      </w:pPr>
    </w:p>
    <w:p>
      <w:pPr>
        <w:keepNext w:val="0"/>
        <w:keepLines w:val="0"/>
        <w:widowControl/>
        <w:suppressLineNumbers w:val="0"/>
        <w:jc w:val="left"/>
        <w:rPr>
          <w:rFonts w:hint="eastAsia" w:ascii="宋体" w:hAnsi="宋体" w:eastAsia="宋体" w:cs="宋体"/>
          <w:b/>
          <w:color w:val="000000"/>
          <w:kern w:val="0"/>
          <w:sz w:val="72"/>
          <w:szCs w:val="72"/>
          <w:lang w:val="en-US" w:eastAsia="zh-CN" w:bidi="ar"/>
        </w:rPr>
      </w:pPr>
    </w:p>
    <w:p>
      <w:pPr>
        <w:ind w:left="2109" w:leftChars="287" w:hanging="1506" w:hangingChars="500"/>
        <w:jc w:val="both"/>
        <w:rPr>
          <w:rFonts w:hint="eastAsia" w:ascii="宋体" w:hAnsi="宋体" w:eastAsia="宋体" w:cs="宋体"/>
          <w:b/>
          <w:color w:val="000000"/>
          <w:kern w:val="0"/>
          <w:sz w:val="30"/>
          <w:szCs w:val="30"/>
          <w:u w:val="single"/>
          <w:lang w:val="en-US" w:eastAsia="zh-CN" w:bidi="ar"/>
        </w:rPr>
      </w:pPr>
      <w:r>
        <w:rPr>
          <w:rFonts w:hint="eastAsia" w:ascii="宋体" w:hAnsi="宋体" w:eastAsia="宋体" w:cs="宋体"/>
          <w:b/>
          <w:color w:val="000000"/>
          <w:kern w:val="0"/>
          <w:sz w:val="30"/>
          <w:szCs w:val="30"/>
          <w:lang w:val="en-US" w:eastAsia="zh-CN" w:bidi="ar"/>
        </w:rPr>
        <w:t>建设项目名称：</w:t>
      </w:r>
      <w:r>
        <w:rPr>
          <w:rFonts w:hint="eastAsia" w:ascii="宋体" w:hAnsi="宋体" w:cs="宋体"/>
          <w:b/>
          <w:color w:val="000000"/>
          <w:kern w:val="0"/>
          <w:sz w:val="30"/>
          <w:szCs w:val="30"/>
          <w:u w:val="single"/>
          <w:lang w:val="en-US" w:eastAsia="zh-CN" w:bidi="ar"/>
        </w:rPr>
        <w:t xml:space="preserve">  奉节县顺全加油站改扩建项目 </w:t>
      </w:r>
      <w:r>
        <w:rPr>
          <w:rFonts w:hint="eastAsia" w:ascii="宋体" w:hAnsi="宋体" w:eastAsia="宋体" w:cs="宋体"/>
          <w:b/>
          <w:color w:val="000000"/>
          <w:kern w:val="0"/>
          <w:sz w:val="30"/>
          <w:szCs w:val="30"/>
          <w:u w:val="single"/>
          <w:lang w:val="en-US" w:eastAsia="zh-CN" w:bidi="ar"/>
        </w:rPr>
        <w:t xml:space="preserve"> </w:t>
      </w:r>
    </w:p>
    <w:p>
      <w:pPr>
        <w:ind w:firstLine="602" w:firstLineChars="200"/>
        <w:jc w:val="both"/>
        <w:rPr>
          <w:rFonts w:hint="default" w:ascii="宋体" w:hAnsi="宋体" w:eastAsia="宋体" w:cs="宋体"/>
          <w:b/>
          <w:color w:val="000000"/>
          <w:kern w:val="0"/>
          <w:sz w:val="30"/>
          <w:szCs w:val="30"/>
          <w:u w:val="single"/>
          <w:lang w:val="en-US" w:eastAsia="zh-CN" w:bidi="ar"/>
        </w:rPr>
      </w:pPr>
      <w:r>
        <w:rPr>
          <w:rFonts w:hint="eastAsia" w:ascii="宋体" w:hAnsi="宋体" w:eastAsia="宋体" w:cs="宋体"/>
          <w:b/>
          <w:color w:val="000000"/>
          <w:kern w:val="0"/>
          <w:sz w:val="30"/>
          <w:szCs w:val="30"/>
          <w:lang w:val="en-US" w:eastAsia="zh-CN" w:bidi="ar"/>
        </w:rPr>
        <w:t>建</w:t>
      </w:r>
      <w:r>
        <w:rPr>
          <w:rFonts w:hint="eastAsia" w:ascii="宋体" w:hAnsi="宋体" w:cs="宋体"/>
          <w:b/>
          <w:color w:val="000000"/>
          <w:kern w:val="0"/>
          <w:sz w:val="30"/>
          <w:szCs w:val="30"/>
          <w:lang w:val="en-US" w:eastAsia="zh-CN" w:bidi="ar"/>
        </w:rPr>
        <w:t xml:space="preserve"> </w:t>
      </w:r>
      <w:r>
        <w:rPr>
          <w:rFonts w:hint="eastAsia" w:ascii="宋体" w:hAnsi="宋体" w:eastAsia="宋体" w:cs="宋体"/>
          <w:b/>
          <w:color w:val="000000"/>
          <w:kern w:val="0"/>
          <w:sz w:val="30"/>
          <w:szCs w:val="30"/>
          <w:lang w:val="en-US" w:eastAsia="zh-CN" w:bidi="ar"/>
        </w:rPr>
        <w:t>设</w:t>
      </w:r>
      <w:r>
        <w:rPr>
          <w:rFonts w:hint="eastAsia" w:ascii="宋体" w:hAnsi="宋体" w:cs="宋体"/>
          <w:b/>
          <w:color w:val="000000"/>
          <w:kern w:val="0"/>
          <w:sz w:val="30"/>
          <w:szCs w:val="30"/>
          <w:lang w:val="en-US" w:eastAsia="zh-CN" w:bidi="ar"/>
        </w:rPr>
        <w:t xml:space="preserve"> </w:t>
      </w:r>
      <w:r>
        <w:rPr>
          <w:rFonts w:hint="eastAsia" w:ascii="宋体" w:hAnsi="宋体" w:eastAsia="宋体" w:cs="宋体"/>
          <w:b/>
          <w:color w:val="000000"/>
          <w:kern w:val="0"/>
          <w:sz w:val="30"/>
          <w:szCs w:val="30"/>
          <w:lang w:val="en-US" w:eastAsia="zh-CN" w:bidi="ar"/>
        </w:rPr>
        <w:t>单</w:t>
      </w:r>
      <w:r>
        <w:rPr>
          <w:rFonts w:hint="eastAsia" w:ascii="宋体" w:hAnsi="宋体" w:cs="宋体"/>
          <w:b/>
          <w:color w:val="000000"/>
          <w:kern w:val="0"/>
          <w:sz w:val="30"/>
          <w:szCs w:val="30"/>
          <w:lang w:val="en-US" w:eastAsia="zh-CN" w:bidi="ar"/>
        </w:rPr>
        <w:t xml:space="preserve"> </w:t>
      </w:r>
      <w:r>
        <w:rPr>
          <w:rFonts w:hint="eastAsia" w:ascii="宋体" w:hAnsi="宋体" w:eastAsia="宋体" w:cs="宋体"/>
          <w:b/>
          <w:color w:val="000000"/>
          <w:kern w:val="0"/>
          <w:sz w:val="30"/>
          <w:szCs w:val="30"/>
          <w:lang w:val="en-US" w:eastAsia="zh-CN" w:bidi="ar"/>
        </w:rPr>
        <w:t>位</w:t>
      </w:r>
      <w:r>
        <w:rPr>
          <w:rFonts w:hint="eastAsia" w:ascii="宋体" w:hAnsi="宋体" w:cs="宋体"/>
          <w:b/>
          <w:color w:val="000000"/>
          <w:kern w:val="0"/>
          <w:sz w:val="30"/>
          <w:szCs w:val="30"/>
          <w:lang w:val="en-US" w:eastAsia="zh-CN" w:bidi="ar"/>
        </w:rPr>
        <w:t xml:space="preserve"> </w:t>
      </w:r>
      <w:r>
        <w:rPr>
          <w:rFonts w:hint="eastAsia" w:ascii="宋体" w:hAnsi="宋体" w:eastAsia="宋体" w:cs="宋体"/>
          <w:b/>
          <w:color w:val="000000"/>
          <w:kern w:val="0"/>
          <w:sz w:val="30"/>
          <w:szCs w:val="30"/>
          <w:lang w:val="en-US" w:eastAsia="zh-CN" w:bidi="ar"/>
        </w:rPr>
        <w:t>：</w:t>
      </w:r>
      <w:r>
        <w:rPr>
          <w:rFonts w:hint="eastAsia" w:ascii="宋体" w:hAnsi="宋体" w:cs="宋体"/>
          <w:b/>
          <w:color w:val="000000"/>
          <w:kern w:val="0"/>
          <w:sz w:val="30"/>
          <w:szCs w:val="30"/>
          <w:u w:val="single"/>
          <w:lang w:val="en-US" w:eastAsia="zh-CN" w:bidi="ar"/>
        </w:rPr>
        <w:t xml:space="preserve">    奉节县顺全加油站          </w:t>
      </w:r>
    </w:p>
    <w:p>
      <w:pPr>
        <w:keepNext w:val="0"/>
        <w:keepLines w:val="0"/>
        <w:widowControl/>
        <w:suppressLineNumbers w:val="0"/>
        <w:jc w:val="both"/>
        <w:rPr>
          <w:sz w:val="30"/>
          <w:szCs w:val="30"/>
        </w:rPr>
      </w:pPr>
    </w:p>
    <w:p>
      <w:pPr>
        <w:keepNext w:val="0"/>
        <w:keepLines w:val="0"/>
        <w:widowControl/>
        <w:suppressLineNumbers w:val="0"/>
        <w:jc w:val="both"/>
        <w:rPr>
          <w:sz w:val="30"/>
          <w:szCs w:val="30"/>
        </w:rPr>
      </w:pPr>
    </w:p>
    <w:p>
      <w:pPr>
        <w:jc w:val="center"/>
        <w:rPr>
          <w:rFonts w:hint="eastAsia" w:ascii="宋体" w:hAnsi="宋体" w:eastAsia="宋体" w:cs="宋体"/>
          <w:b/>
          <w:color w:val="000000"/>
          <w:kern w:val="0"/>
          <w:sz w:val="30"/>
          <w:szCs w:val="30"/>
          <w:lang w:val="en-US" w:eastAsia="zh-CN" w:bidi="ar"/>
        </w:rPr>
      </w:pPr>
    </w:p>
    <w:p>
      <w:pPr>
        <w:jc w:val="center"/>
        <w:rPr>
          <w:rFonts w:hint="default" w:ascii="宋体" w:hAnsi="宋体" w:eastAsia="宋体" w:cs="宋体"/>
          <w:b/>
          <w:color w:val="000000"/>
          <w:kern w:val="0"/>
          <w:sz w:val="30"/>
          <w:szCs w:val="30"/>
          <w:lang w:val="en-US" w:eastAsia="zh-CN" w:bidi="ar"/>
        </w:rPr>
      </w:pPr>
      <w:r>
        <w:rPr>
          <w:rFonts w:hint="eastAsia" w:ascii="宋体" w:hAnsi="宋体" w:eastAsia="宋体" w:cs="宋体"/>
          <w:b/>
          <w:color w:val="000000"/>
          <w:kern w:val="0"/>
          <w:sz w:val="30"/>
          <w:szCs w:val="30"/>
          <w:lang w:val="en-US" w:eastAsia="zh-CN" w:bidi="ar"/>
        </w:rPr>
        <w:t>202</w:t>
      </w:r>
      <w:r>
        <w:rPr>
          <w:rFonts w:hint="eastAsia" w:ascii="宋体" w:hAnsi="宋体" w:cs="宋体"/>
          <w:b/>
          <w:color w:val="000000"/>
          <w:kern w:val="0"/>
          <w:sz w:val="30"/>
          <w:szCs w:val="30"/>
          <w:lang w:val="en-US" w:eastAsia="zh-CN" w:bidi="ar"/>
        </w:rPr>
        <w:t>4</w:t>
      </w:r>
      <w:r>
        <w:rPr>
          <w:rFonts w:hint="eastAsia" w:ascii="宋体" w:hAnsi="宋体" w:eastAsia="宋体" w:cs="宋体"/>
          <w:b/>
          <w:color w:val="000000"/>
          <w:kern w:val="0"/>
          <w:sz w:val="30"/>
          <w:szCs w:val="30"/>
          <w:lang w:val="en-US" w:eastAsia="zh-CN" w:bidi="ar"/>
        </w:rPr>
        <w:t>年</w:t>
      </w:r>
      <w:r>
        <w:rPr>
          <w:rFonts w:hint="eastAsia" w:ascii="宋体" w:hAnsi="宋体" w:cs="宋体"/>
          <w:b/>
          <w:color w:val="000000"/>
          <w:kern w:val="0"/>
          <w:sz w:val="30"/>
          <w:szCs w:val="30"/>
          <w:lang w:val="en-US" w:eastAsia="zh-CN" w:bidi="ar"/>
        </w:rPr>
        <w:t>4</w:t>
      </w:r>
      <w:r>
        <w:rPr>
          <w:rFonts w:hint="eastAsia" w:ascii="宋体" w:hAnsi="宋体" w:eastAsia="宋体" w:cs="宋体"/>
          <w:b/>
          <w:color w:val="000000"/>
          <w:kern w:val="0"/>
          <w:sz w:val="30"/>
          <w:szCs w:val="30"/>
          <w:lang w:val="en-US" w:eastAsia="zh-CN" w:bidi="ar"/>
        </w:rPr>
        <w:t>月</w:t>
      </w:r>
    </w:p>
    <w:p>
      <w:pPr>
        <w:keepNext w:val="0"/>
        <w:keepLines w:val="0"/>
        <w:widowControl/>
        <w:suppressLineNumbers w:val="0"/>
        <w:jc w:val="center"/>
        <w:rPr>
          <w:rFonts w:hint="eastAsia" w:ascii="宋体" w:hAnsi="宋体" w:eastAsia="宋体" w:cs="宋体"/>
          <w:b/>
          <w:color w:val="000000"/>
          <w:kern w:val="0"/>
          <w:sz w:val="28"/>
          <w:szCs w:val="28"/>
          <w:lang w:val="en-US" w:eastAsia="zh-CN" w:bidi="ar"/>
        </w:rPr>
        <w:sectPr>
          <w:pgSz w:w="11906" w:h="16838"/>
          <w:pgMar w:top="1440" w:right="1800" w:bottom="1440" w:left="1800" w:header="851" w:footer="992" w:gutter="0"/>
          <w:cols w:space="425" w:num="1"/>
          <w:docGrid w:type="lines" w:linePitch="312" w:charSpace="0"/>
        </w:sectPr>
      </w:pPr>
    </w:p>
    <w:p>
      <w:pPr>
        <w:spacing w:line="600" w:lineRule="auto"/>
        <w:ind w:firstLine="562" w:firstLineChars="200"/>
        <w:rPr>
          <w:b/>
          <w:sz w:val="28"/>
          <w:szCs w:val="28"/>
        </w:rPr>
      </w:pPr>
      <w:bookmarkStart w:id="0" w:name="_Toc130912622"/>
    </w:p>
    <w:p>
      <w:pPr>
        <w:spacing w:line="600" w:lineRule="auto"/>
        <w:ind w:left="559" w:leftChars="266" w:firstLine="0" w:firstLineChars="0"/>
        <w:rPr>
          <w:rFonts w:hint="eastAsia"/>
          <w:b/>
          <w:sz w:val="28"/>
          <w:szCs w:val="28"/>
          <w:lang w:eastAsia="zh-CN"/>
        </w:rPr>
      </w:pPr>
      <w:r>
        <w:rPr>
          <w:rFonts w:hint="eastAsia"/>
          <w:b/>
          <w:sz w:val="28"/>
          <w:szCs w:val="28"/>
        </w:rPr>
        <w:t>建设单位:</w:t>
      </w:r>
      <w:r>
        <w:rPr>
          <w:rFonts w:hint="eastAsia"/>
          <w:b/>
          <w:sz w:val="28"/>
          <w:szCs w:val="28"/>
          <w:lang w:eastAsia="zh-CN"/>
        </w:rPr>
        <w:t>奉节县顺全加油站</w:t>
      </w:r>
    </w:p>
    <w:p>
      <w:pPr>
        <w:spacing w:line="600" w:lineRule="auto"/>
        <w:ind w:left="559" w:leftChars="266" w:firstLine="0" w:firstLineChars="0"/>
        <w:rPr>
          <w:rFonts w:hint="eastAsia" w:eastAsia="宋体"/>
          <w:b/>
          <w:sz w:val="28"/>
          <w:szCs w:val="28"/>
          <w:lang w:eastAsia="zh-CN"/>
        </w:rPr>
      </w:pPr>
      <w:r>
        <w:rPr>
          <w:rFonts w:hint="eastAsia"/>
          <w:b/>
          <w:sz w:val="28"/>
          <w:szCs w:val="28"/>
        </w:rPr>
        <w:t xml:space="preserve">法人代表: </w:t>
      </w:r>
      <w:r>
        <w:rPr>
          <w:rFonts w:hint="eastAsia"/>
          <w:b/>
          <w:sz w:val="28"/>
          <w:szCs w:val="28"/>
          <w:lang w:eastAsia="zh-CN"/>
        </w:rPr>
        <w:t>刘翠岚</w:t>
      </w:r>
    </w:p>
    <w:p>
      <w:pPr>
        <w:spacing w:line="600" w:lineRule="auto"/>
        <w:ind w:firstLine="562" w:firstLineChars="200"/>
        <w:rPr>
          <w:b/>
          <w:sz w:val="28"/>
          <w:szCs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widowControl/>
        <w:jc w:val="left"/>
        <w:rPr>
          <w:sz w:val="36"/>
        </w:rPr>
      </w:pPr>
    </w:p>
    <w:p>
      <w:pPr>
        <w:widowControl/>
        <w:jc w:val="left"/>
        <w:rPr>
          <w:sz w:val="36"/>
        </w:rPr>
      </w:pPr>
    </w:p>
    <w:p>
      <w:pPr>
        <w:pStyle w:val="38"/>
        <w:rPr>
          <w:sz w:val="36"/>
        </w:rPr>
      </w:pPr>
    </w:p>
    <w:p>
      <w:pPr>
        <w:pStyle w:val="38"/>
        <w:rPr>
          <w:sz w:val="36"/>
        </w:rPr>
      </w:pPr>
    </w:p>
    <w:p>
      <w:pPr>
        <w:pStyle w:val="38"/>
        <w:rPr>
          <w:sz w:val="36"/>
        </w:rPr>
      </w:pPr>
    </w:p>
    <w:p>
      <w:pPr>
        <w:widowControl/>
        <w:jc w:val="left"/>
        <w:rPr>
          <w:sz w:val="36"/>
        </w:rPr>
      </w:pPr>
    </w:p>
    <w:tbl>
      <w:tblPr>
        <w:tblStyle w:val="29"/>
        <w:tblW w:w="8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594" w:type="dxa"/>
          </w:tcPr>
          <w:p>
            <w:pPr>
              <w:spacing w:line="500" w:lineRule="exact"/>
              <w:ind w:left="280" w:right="105" w:rightChars="50" w:hanging="280" w:hangingChars="100"/>
              <w:jc w:val="left"/>
              <w:rPr>
                <w:rFonts w:hint="eastAsia" w:eastAsia="宋体"/>
                <w:sz w:val="28"/>
                <w:lang w:eastAsia="zh-CN"/>
              </w:rPr>
            </w:pPr>
            <w:r>
              <w:rPr>
                <w:rFonts w:hint="eastAsia"/>
                <w:sz w:val="28"/>
              </w:rPr>
              <w:t>建设单位</w:t>
            </w:r>
            <w:r>
              <w:rPr>
                <w:rFonts w:hint="eastAsia"/>
                <w:sz w:val="28"/>
                <w:lang w:eastAsia="zh-CN"/>
              </w:rPr>
              <w:t>：奉节县顺全加油站（盖章）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594" w:type="dxa"/>
          </w:tcPr>
          <w:p>
            <w:pPr>
              <w:spacing w:line="500" w:lineRule="exact"/>
              <w:ind w:right="105" w:rightChars="50"/>
              <w:rPr>
                <w:rFonts w:hint="eastAsia" w:ascii="Times New Roman" w:hAnsi="Times New Roman" w:eastAsia="宋体" w:cs="Times New Roman"/>
                <w:sz w:val="28"/>
              </w:rPr>
            </w:pPr>
            <w:r>
              <w:rPr>
                <w:rFonts w:hint="eastAsia" w:ascii="Times New Roman" w:hAnsi="Times New Roman" w:eastAsia="宋体" w:cs="Times New Roman"/>
                <w:sz w:val="28"/>
              </w:rPr>
              <w:t>电话</w:t>
            </w:r>
            <w:r>
              <w:rPr>
                <w:rFonts w:hint="eastAsia" w:ascii="Times New Roman" w:hAnsi="Times New Roman" w:eastAsia="宋体" w:cs="Times New Roman"/>
                <w:sz w:val="28"/>
                <w:lang w:eastAsia="zh-CN"/>
              </w:rPr>
              <w:t>：</w:t>
            </w:r>
            <w:r>
              <w:rPr>
                <w:rFonts w:hint="eastAsia" w:cs="Times New Roman"/>
                <w:sz w:val="28"/>
                <w:lang w:val="en-US" w:eastAsia="zh-CN"/>
              </w:rPr>
              <w:t>13193200123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594" w:type="dxa"/>
          </w:tcPr>
          <w:p>
            <w:pPr>
              <w:spacing w:line="500" w:lineRule="exact"/>
              <w:ind w:right="105" w:rightChars="50"/>
              <w:rPr>
                <w:rFonts w:hint="eastAsia" w:ascii="Times New Roman" w:hAnsi="Times New Roman" w:eastAsia="宋体" w:cs="Times New Roman"/>
                <w:sz w:val="28"/>
              </w:rPr>
            </w:pPr>
            <w:r>
              <w:rPr>
                <w:rFonts w:hint="eastAsia" w:ascii="Times New Roman" w:hAnsi="Times New Roman" w:eastAsia="宋体" w:cs="Times New Roman"/>
                <w:sz w:val="28"/>
              </w:rPr>
              <w:t>邮编</w:t>
            </w:r>
            <w:r>
              <w:rPr>
                <w:rFonts w:hint="eastAsia" w:ascii="Times New Roman" w:hAnsi="Times New Roman" w:eastAsia="宋体" w:cs="Times New Roman"/>
                <w:sz w:val="28"/>
                <w:lang w:eastAsia="zh-CN"/>
              </w:rPr>
              <w:t>：</w:t>
            </w:r>
            <w:r>
              <w:rPr>
                <w:rFonts w:hint="eastAsia" w:ascii="Times New Roman" w:hAnsi="Times New Roman" w:eastAsia="宋体" w:cs="Times New Roman"/>
                <w:sz w:val="28"/>
              </w:rPr>
              <w:t xml:space="preserve"> 404</w:t>
            </w:r>
            <w:r>
              <w:rPr>
                <w:rFonts w:hint="eastAsia" w:cs="Times New Roman"/>
                <w:sz w:val="28"/>
                <w:lang w:val="en-US" w:eastAsia="zh-CN"/>
              </w:rPr>
              <w:t>6</w:t>
            </w:r>
            <w:r>
              <w:rPr>
                <w:rFonts w:hint="eastAsia" w:ascii="Times New Roman" w:hAnsi="Times New Roman" w:eastAsia="宋体" w:cs="Times New Roman"/>
                <w:sz w:val="28"/>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594" w:type="dxa"/>
          </w:tcPr>
          <w:p>
            <w:pPr>
              <w:spacing w:line="500" w:lineRule="exact"/>
              <w:ind w:right="51"/>
              <w:rPr>
                <w:rFonts w:hint="eastAsia" w:eastAsia="宋体"/>
                <w:spacing w:val="-12"/>
                <w:sz w:val="28"/>
                <w:lang w:eastAsia="zh-CN"/>
              </w:rPr>
            </w:pPr>
            <w:r>
              <w:rPr>
                <w:rFonts w:hint="eastAsia"/>
                <w:spacing w:val="-12"/>
                <w:sz w:val="28"/>
              </w:rPr>
              <w:t>地址</w:t>
            </w:r>
            <w:r>
              <w:rPr>
                <w:rFonts w:hint="eastAsia"/>
                <w:spacing w:val="-12"/>
                <w:sz w:val="28"/>
                <w:lang w:eastAsia="zh-CN"/>
              </w:rPr>
              <w:t>：重庆市奉节县新民镇观音庵社区6组</w:t>
            </w:r>
          </w:p>
        </w:tc>
      </w:tr>
    </w:tbl>
    <w:p>
      <w:pPr>
        <w:widowControl/>
        <w:jc w:val="left"/>
        <w:rPr>
          <w:sz w:val="36"/>
        </w:rPr>
      </w:pPr>
      <w:r>
        <w:rPr>
          <w:sz w:val="36"/>
        </w:rPr>
        <w:br w:type="page"/>
      </w:r>
    </w:p>
    <w:bookmarkEnd w:id="0"/>
    <w:p>
      <w:pPr>
        <w:spacing w:line="360" w:lineRule="auto"/>
        <w:jc w:val="center"/>
        <w:rPr>
          <w:b/>
          <w:sz w:val="36"/>
        </w:rPr>
      </w:pPr>
      <w:r>
        <w:rPr>
          <w:b/>
          <w:sz w:val="36"/>
        </w:rPr>
        <w:t>目   录</w:t>
      </w:r>
    </w:p>
    <w:p>
      <w:pPr>
        <w:pStyle w:val="22"/>
        <w:tabs>
          <w:tab w:val="right" w:leader="dot" w:pos="9412"/>
          <w:tab w:val="clear" w:pos="9402"/>
        </w:tabs>
      </w:pPr>
      <w:r>
        <w:rPr>
          <w:sz w:val="36"/>
        </w:rPr>
        <w:fldChar w:fldCharType="begin"/>
      </w:r>
      <w:r>
        <w:rPr>
          <w:sz w:val="36"/>
        </w:rPr>
        <w:instrText xml:space="preserve"> TOC \o "1-3" \h \z \u </w:instrText>
      </w:r>
      <w:r>
        <w:rPr>
          <w:sz w:val="36"/>
        </w:rPr>
        <w:fldChar w:fldCharType="separate"/>
      </w:r>
      <w:r>
        <w:fldChar w:fldCharType="begin"/>
      </w:r>
      <w:r>
        <w:instrText xml:space="preserve"> HYPERLINK \l _Toc5898 </w:instrText>
      </w:r>
      <w:r>
        <w:fldChar w:fldCharType="separate"/>
      </w:r>
      <w:r>
        <w:rPr>
          <w:rFonts w:cs="Times New Roman"/>
        </w:rPr>
        <w:t xml:space="preserve">1 </w:t>
      </w:r>
      <w:r>
        <w:rPr>
          <w:rFonts w:hint="eastAsia" w:cs="Times New Roman"/>
        </w:rPr>
        <w:t>验收项目概况</w:t>
      </w:r>
      <w:r>
        <w:tab/>
      </w:r>
      <w:r>
        <w:fldChar w:fldCharType="begin"/>
      </w:r>
      <w:r>
        <w:instrText xml:space="preserve"> PAGEREF _Toc5898 \h </w:instrText>
      </w:r>
      <w:r>
        <w:fldChar w:fldCharType="separate"/>
      </w:r>
      <w:r>
        <w:t>1</w:t>
      </w:r>
      <w:r>
        <w:fldChar w:fldCharType="end"/>
      </w:r>
      <w:r>
        <w:fldChar w:fldCharType="end"/>
      </w:r>
    </w:p>
    <w:p>
      <w:pPr>
        <w:pStyle w:val="22"/>
        <w:tabs>
          <w:tab w:val="right" w:leader="dot" w:pos="9412"/>
          <w:tab w:val="clear" w:pos="9402"/>
        </w:tabs>
      </w:pPr>
      <w:r>
        <w:fldChar w:fldCharType="begin"/>
      </w:r>
      <w:r>
        <w:instrText xml:space="preserve"> HYPERLINK \l _Toc18402 </w:instrText>
      </w:r>
      <w:r>
        <w:fldChar w:fldCharType="separate"/>
      </w:r>
      <w:r>
        <w:rPr>
          <w:rFonts w:hint="eastAsia" w:cs="Times New Roman"/>
        </w:rPr>
        <w:t>2验收依据</w:t>
      </w:r>
      <w:r>
        <w:tab/>
      </w:r>
      <w:r>
        <w:fldChar w:fldCharType="begin"/>
      </w:r>
      <w:r>
        <w:instrText xml:space="preserve"> PAGEREF _Toc18402 \h </w:instrText>
      </w:r>
      <w:r>
        <w:fldChar w:fldCharType="separate"/>
      </w:r>
      <w:r>
        <w:t>3</w:t>
      </w:r>
      <w:r>
        <w:fldChar w:fldCharType="end"/>
      </w:r>
      <w:r>
        <w:fldChar w:fldCharType="end"/>
      </w:r>
    </w:p>
    <w:p>
      <w:pPr>
        <w:pStyle w:val="25"/>
        <w:tabs>
          <w:tab w:val="right" w:leader="dot" w:pos="9412"/>
          <w:tab w:val="clear" w:pos="9402"/>
        </w:tabs>
      </w:pPr>
      <w:r>
        <w:fldChar w:fldCharType="begin"/>
      </w:r>
      <w:r>
        <w:instrText xml:space="preserve"> HYPERLINK \l _Toc14907 </w:instrText>
      </w:r>
      <w:r>
        <w:fldChar w:fldCharType="separate"/>
      </w:r>
      <w:r>
        <w:rPr>
          <w:rFonts w:hint="eastAsia" w:cs="Times New Roman"/>
        </w:rPr>
        <w:t>2</w:t>
      </w:r>
      <w:r>
        <w:rPr>
          <w:rFonts w:cs="Times New Roman"/>
        </w:rPr>
        <w:t>.1 环境保护有关法规、政策</w:t>
      </w:r>
      <w:r>
        <w:tab/>
      </w:r>
      <w:r>
        <w:fldChar w:fldCharType="begin"/>
      </w:r>
      <w:r>
        <w:instrText xml:space="preserve"> PAGEREF _Toc14907 \h </w:instrText>
      </w:r>
      <w:r>
        <w:fldChar w:fldCharType="separate"/>
      </w:r>
      <w:r>
        <w:t>3</w:t>
      </w:r>
      <w:r>
        <w:fldChar w:fldCharType="end"/>
      </w:r>
      <w:r>
        <w:fldChar w:fldCharType="end"/>
      </w:r>
    </w:p>
    <w:p>
      <w:pPr>
        <w:pStyle w:val="25"/>
        <w:tabs>
          <w:tab w:val="right" w:leader="dot" w:pos="9412"/>
          <w:tab w:val="clear" w:pos="9402"/>
        </w:tabs>
      </w:pPr>
      <w:r>
        <w:fldChar w:fldCharType="begin"/>
      </w:r>
      <w:r>
        <w:instrText xml:space="preserve"> HYPERLINK \l _Toc22334 </w:instrText>
      </w:r>
      <w:r>
        <w:fldChar w:fldCharType="separate"/>
      </w:r>
      <w:r>
        <w:rPr>
          <w:rFonts w:hint="eastAsia" w:cs="Times New Roman"/>
        </w:rPr>
        <w:t>2</w:t>
      </w:r>
      <w:r>
        <w:rPr>
          <w:rFonts w:cs="Times New Roman"/>
        </w:rPr>
        <w:t xml:space="preserve">.2 </w:t>
      </w:r>
      <w:r>
        <w:rPr>
          <w:rFonts w:hint="eastAsia" w:cs="Times New Roman"/>
        </w:rPr>
        <w:t>建设项目竣工环境保护验收技术规范</w:t>
      </w:r>
      <w:r>
        <w:tab/>
      </w:r>
      <w:r>
        <w:fldChar w:fldCharType="begin"/>
      </w:r>
      <w:r>
        <w:instrText xml:space="preserve"> PAGEREF _Toc22334 \h </w:instrText>
      </w:r>
      <w:r>
        <w:fldChar w:fldCharType="separate"/>
      </w:r>
      <w:r>
        <w:t>3</w:t>
      </w:r>
      <w:r>
        <w:fldChar w:fldCharType="end"/>
      </w:r>
      <w:r>
        <w:fldChar w:fldCharType="end"/>
      </w:r>
    </w:p>
    <w:p>
      <w:pPr>
        <w:pStyle w:val="25"/>
        <w:tabs>
          <w:tab w:val="right" w:leader="dot" w:pos="9412"/>
          <w:tab w:val="clear" w:pos="9402"/>
        </w:tabs>
      </w:pPr>
      <w:r>
        <w:fldChar w:fldCharType="begin"/>
      </w:r>
      <w:r>
        <w:instrText xml:space="preserve"> HYPERLINK \l _Toc23550 </w:instrText>
      </w:r>
      <w:r>
        <w:fldChar w:fldCharType="separate"/>
      </w:r>
      <w:r>
        <w:rPr>
          <w:rFonts w:hint="eastAsia" w:cs="Times New Roman"/>
        </w:rPr>
        <w:t>2</w:t>
      </w:r>
      <w:r>
        <w:rPr>
          <w:rFonts w:cs="Times New Roman"/>
        </w:rPr>
        <w:t>.3建设项目</w:t>
      </w:r>
      <w:r>
        <w:rPr>
          <w:rFonts w:hint="eastAsia" w:cs="Times New Roman"/>
        </w:rPr>
        <w:t>环境影响报告书（表）及审批部门审批决定</w:t>
      </w:r>
      <w:r>
        <w:tab/>
      </w:r>
      <w:r>
        <w:fldChar w:fldCharType="begin"/>
      </w:r>
      <w:r>
        <w:instrText xml:space="preserve"> PAGEREF _Toc23550 \h </w:instrText>
      </w:r>
      <w:r>
        <w:fldChar w:fldCharType="separate"/>
      </w:r>
      <w:r>
        <w:t>3</w:t>
      </w:r>
      <w:r>
        <w:fldChar w:fldCharType="end"/>
      </w:r>
      <w:r>
        <w:fldChar w:fldCharType="end"/>
      </w:r>
    </w:p>
    <w:p>
      <w:pPr>
        <w:pStyle w:val="22"/>
        <w:tabs>
          <w:tab w:val="right" w:leader="dot" w:pos="9412"/>
          <w:tab w:val="clear" w:pos="9402"/>
        </w:tabs>
      </w:pPr>
      <w:r>
        <w:fldChar w:fldCharType="begin"/>
      </w:r>
      <w:r>
        <w:instrText xml:space="preserve"> HYPERLINK \l _Toc21142 </w:instrText>
      </w:r>
      <w:r>
        <w:fldChar w:fldCharType="separate"/>
      </w:r>
      <w:r>
        <w:rPr>
          <w:rFonts w:hint="eastAsia" w:cs="Times New Roman"/>
        </w:rPr>
        <w:t>3工程建设情况</w:t>
      </w:r>
      <w:r>
        <w:tab/>
      </w:r>
      <w:r>
        <w:fldChar w:fldCharType="begin"/>
      </w:r>
      <w:r>
        <w:instrText xml:space="preserve"> PAGEREF _Toc21142 \h </w:instrText>
      </w:r>
      <w:r>
        <w:fldChar w:fldCharType="separate"/>
      </w:r>
      <w:r>
        <w:t>5</w:t>
      </w:r>
      <w:r>
        <w:fldChar w:fldCharType="end"/>
      </w:r>
      <w:r>
        <w:fldChar w:fldCharType="end"/>
      </w:r>
    </w:p>
    <w:p>
      <w:pPr>
        <w:pStyle w:val="25"/>
        <w:tabs>
          <w:tab w:val="right" w:leader="dot" w:pos="9412"/>
          <w:tab w:val="clear" w:pos="9402"/>
        </w:tabs>
      </w:pPr>
      <w:r>
        <w:fldChar w:fldCharType="begin"/>
      </w:r>
      <w:r>
        <w:instrText xml:space="preserve"> HYPERLINK \l _Toc22456 </w:instrText>
      </w:r>
      <w:r>
        <w:fldChar w:fldCharType="separate"/>
      </w:r>
      <w:r>
        <w:rPr>
          <w:rFonts w:hint="eastAsia" w:cs="Times New Roman"/>
        </w:rPr>
        <w:t>3</w:t>
      </w:r>
      <w:r>
        <w:rPr>
          <w:rFonts w:cs="Times New Roman"/>
        </w:rPr>
        <w:t>.1</w:t>
      </w:r>
      <w:r>
        <w:rPr>
          <w:rFonts w:hint="eastAsia" w:cs="Times New Roman"/>
        </w:rPr>
        <w:t>地理位置及平面布置</w:t>
      </w:r>
      <w:r>
        <w:tab/>
      </w:r>
      <w:r>
        <w:fldChar w:fldCharType="begin"/>
      </w:r>
      <w:r>
        <w:instrText xml:space="preserve"> PAGEREF _Toc22456 \h </w:instrText>
      </w:r>
      <w:r>
        <w:fldChar w:fldCharType="separate"/>
      </w:r>
      <w:r>
        <w:t>5</w:t>
      </w:r>
      <w:r>
        <w:fldChar w:fldCharType="end"/>
      </w:r>
      <w:r>
        <w:fldChar w:fldCharType="end"/>
      </w:r>
    </w:p>
    <w:p>
      <w:pPr>
        <w:pStyle w:val="25"/>
        <w:tabs>
          <w:tab w:val="right" w:leader="dot" w:pos="9412"/>
          <w:tab w:val="clear" w:pos="9402"/>
        </w:tabs>
      </w:pPr>
      <w:r>
        <w:fldChar w:fldCharType="begin"/>
      </w:r>
      <w:r>
        <w:instrText xml:space="preserve"> HYPERLINK \l _Toc26433 </w:instrText>
      </w:r>
      <w:r>
        <w:fldChar w:fldCharType="separate"/>
      </w:r>
      <w:r>
        <w:rPr>
          <w:rFonts w:hint="eastAsia" w:cs="Times New Roman"/>
        </w:rPr>
        <w:t>3</w:t>
      </w:r>
      <w:r>
        <w:rPr>
          <w:rFonts w:cs="Times New Roman"/>
        </w:rPr>
        <w:t>.</w:t>
      </w:r>
      <w:r>
        <w:rPr>
          <w:rFonts w:hint="eastAsia" w:cs="Times New Roman"/>
        </w:rPr>
        <w:t>2建设内容</w:t>
      </w:r>
      <w:r>
        <w:tab/>
      </w:r>
      <w:r>
        <w:fldChar w:fldCharType="begin"/>
      </w:r>
      <w:r>
        <w:instrText xml:space="preserve"> PAGEREF _Toc26433 \h </w:instrText>
      </w:r>
      <w:r>
        <w:fldChar w:fldCharType="separate"/>
      </w:r>
      <w:r>
        <w:t>5</w:t>
      </w:r>
      <w:r>
        <w:fldChar w:fldCharType="end"/>
      </w:r>
      <w:r>
        <w:fldChar w:fldCharType="end"/>
      </w:r>
    </w:p>
    <w:p>
      <w:pPr>
        <w:pStyle w:val="25"/>
        <w:tabs>
          <w:tab w:val="right" w:leader="dot" w:pos="9412"/>
          <w:tab w:val="clear" w:pos="9402"/>
        </w:tabs>
      </w:pPr>
      <w:r>
        <w:fldChar w:fldCharType="begin"/>
      </w:r>
      <w:r>
        <w:instrText xml:space="preserve"> HYPERLINK \l _Toc3784 </w:instrText>
      </w:r>
      <w:r>
        <w:fldChar w:fldCharType="separate"/>
      </w:r>
      <w:r>
        <w:rPr>
          <w:rFonts w:hint="eastAsia" w:cs="Times New Roman"/>
        </w:rPr>
        <w:t>3</w:t>
      </w:r>
      <w:r>
        <w:rPr>
          <w:rFonts w:cs="Times New Roman"/>
        </w:rPr>
        <w:t>.</w:t>
      </w:r>
      <w:r>
        <w:rPr>
          <w:rFonts w:hint="eastAsia" w:cs="Times New Roman"/>
        </w:rPr>
        <w:t>3主要原辅材料及燃料</w:t>
      </w:r>
      <w:r>
        <w:tab/>
      </w:r>
      <w:r>
        <w:fldChar w:fldCharType="begin"/>
      </w:r>
      <w:r>
        <w:instrText xml:space="preserve"> PAGEREF _Toc3784 \h </w:instrText>
      </w:r>
      <w:r>
        <w:fldChar w:fldCharType="separate"/>
      </w:r>
      <w:r>
        <w:t>7</w:t>
      </w:r>
      <w:r>
        <w:fldChar w:fldCharType="end"/>
      </w:r>
      <w:r>
        <w:fldChar w:fldCharType="end"/>
      </w:r>
    </w:p>
    <w:p>
      <w:pPr>
        <w:pStyle w:val="25"/>
        <w:tabs>
          <w:tab w:val="right" w:leader="dot" w:pos="9412"/>
          <w:tab w:val="clear" w:pos="9402"/>
        </w:tabs>
      </w:pPr>
      <w:r>
        <w:fldChar w:fldCharType="begin"/>
      </w:r>
      <w:r>
        <w:instrText xml:space="preserve"> HYPERLINK \l _Toc15617 </w:instrText>
      </w:r>
      <w:r>
        <w:fldChar w:fldCharType="separate"/>
      </w:r>
      <w:r>
        <w:rPr>
          <w:rFonts w:hint="eastAsia" w:cs="Times New Roman"/>
        </w:rPr>
        <w:t>3</w:t>
      </w:r>
      <w:r>
        <w:rPr>
          <w:rFonts w:cs="Times New Roman"/>
        </w:rPr>
        <w:t>.</w:t>
      </w:r>
      <w:r>
        <w:rPr>
          <w:rFonts w:hint="eastAsia" w:cs="Times New Roman"/>
        </w:rPr>
        <w:t>4水源</w:t>
      </w:r>
      <w:r>
        <w:tab/>
      </w:r>
      <w:r>
        <w:fldChar w:fldCharType="begin"/>
      </w:r>
      <w:r>
        <w:instrText xml:space="preserve"> PAGEREF _Toc15617 \h </w:instrText>
      </w:r>
      <w:r>
        <w:fldChar w:fldCharType="separate"/>
      </w:r>
      <w:r>
        <w:t>7</w:t>
      </w:r>
      <w:r>
        <w:fldChar w:fldCharType="end"/>
      </w:r>
      <w:r>
        <w:fldChar w:fldCharType="end"/>
      </w:r>
    </w:p>
    <w:p>
      <w:pPr>
        <w:pStyle w:val="25"/>
        <w:tabs>
          <w:tab w:val="right" w:leader="dot" w:pos="9412"/>
          <w:tab w:val="clear" w:pos="9402"/>
        </w:tabs>
      </w:pPr>
      <w:r>
        <w:fldChar w:fldCharType="begin"/>
      </w:r>
      <w:r>
        <w:instrText xml:space="preserve"> HYPERLINK \l _Toc3672 </w:instrText>
      </w:r>
      <w:r>
        <w:fldChar w:fldCharType="separate"/>
      </w:r>
      <w:r>
        <w:rPr>
          <w:rFonts w:hint="eastAsia" w:cs="Times New Roman"/>
        </w:rPr>
        <w:t>3.5生产工艺</w:t>
      </w:r>
      <w:r>
        <w:tab/>
      </w:r>
      <w:r>
        <w:fldChar w:fldCharType="begin"/>
      </w:r>
      <w:r>
        <w:instrText xml:space="preserve"> PAGEREF _Toc3672 \h </w:instrText>
      </w:r>
      <w:r>
        <w:fldChar w:fldCharType="separate"/>
      </w:r>
      <w:r>
        <w:t>7</w:t>
      </w:r>
      <w:r>
        <w:fldChar w:fldCharType="end"/>
      </w:r>
      <w:r>
        <w:fldChar w:fldCharType="end"/>
      </w:r>
    </w:p>
    <w:p>
      <w:pPr>
        <w:pStyle w:val="25"/>
        <w:tabs>
          <w:tab w:val="right" w:leader="dot" w:pos="9412"/>
          <w:tab w:val="clear" w:pos="9402"/>
        </w:tabs>
      </w:pPr>
      <w:r>
        <w:fldChar w:fldCharType="begin"/>
      </w:r>
      <w:r>
        <w:instrText xml:space="preserve"> HYPERLINK \l _Toc26368 </w:instrText>
      </w:r>
      <w:r>
        <w:fldChar w:fldCharType="separate"/>
      </w:r>
      <w:r>
        <w:rPr>
          <w:rFonts w:hint="eastAsia" w:cs="Times New Roman"/>
        </w:rPr>
        <w:t>3.6项目变动情况</w:t>
      </w:r>
      <w:r>
        <w:tab/>
      </w:r>
      <w:r>
        <w:fldChar w:fldCharType="begin"/>
      </w:r>
      <w:r>
        <w:instrText xml:space="preserve"> PAGEREF _Toc26368 \h </w:instrText>
      </w:r>
      <w:r>
        <w:fldChar w:fldCharType="separate"/>
      </w:r>
      <w:r>
        <w:t>10</w:t>
      </w:r>
      <w:r>
        <w:fldChar w:fldCharType="end"/>
      </w:r>
      <w:r>
        <w:fldChar w:fldCharType="end"/>
      </w:r>
    </w:p>
    <w:p>
      <w:pPr>
        <w:pStyle w:val="22"/>
        <w:tabs>
          <w:tab w:val="right" w:leader="dot" w:pos="9412"/>
          <w:tab w:val="clear" w:pos="9402"/>
        </w:tabs>
      </w:pPr>
      <w:r>
        <w:fldChar w:fldCharType="begin"/>
      </w:r>
      <w:r>
        <w:instrText xml:space="preserve"> HYPERLINK \l _Toc5356 </w:instrText>
      </w:r>
      <w:r>
        <w:fldChar w:fldCharType="separate"/>
      </w:r>
      <w:r>
        <w:rPr>
          <w:rFonts w:hint="eastAsia" w:cs="Times New Roman"/>
        </w:rPr>
        <w:t>4环境保护设施</w:t>
      </w:r>
      <w:r>
        <w:tab/>
      </w:r>
      <w:r>
        <w:fldChar w:fldCharType="begin"/>
      </w:r>
      <w:r>
        <w:instrText xml:space="preserve"> PAGEREF _Toc5356 \h </w:instrText>
      </w:r>
      <w:r>
        <w:fldChar w:fldCharType="separate"/>
      </w:r>
      <w:r>
        <w:t>11</w:t>
      </w:r>
      <w:r>
        <w:fldChar w:fldCharType="end"/>
      </w:r>
      <w:r>
        <w:fldChar w:fldCharType="end"/>
      </w:r>
    </w:p>
    <w:p>
      <w:pPr>
        <w:pStyle w:val="25"/>
        <w:tabs>
          <w:tab w:val="right" w:leader="dot" w:pos="9412"/>
          <w:tab w:val="clear" w:pos="9402"/>
        </w:tabs>
      </w:pPr>
      <w:r>
        <w:fldChar w:fldCharType="begin"/>
      </w:r>
      <w:r>
        <w:instrText xml:space="preserve"> HYPERLINK \l _Toc18862 </w:instrText>
      </w:r>
      <w:r>
        <w:fldChar w:fldCharType="separate"/>
      </w:r>
      <w:r>
        <w:rPr>
          <w:rFonts w:hint="eastAsia" w:cs="Times New Roman"/>
        </w:rPr>
        <w:t>4.1污染物治理及处置设施</w:t>
      </w:r>
      <w:r>
        <w:tab/>
      </w:r>
      <w:r>
        <w:fldChar w:fldCharType="begin"/>
      </w:r>
      <w:r>
        <w:instrText xml:space="preserve"> PAGEREF _Toc18862 \h </w:instrText>
      </w:r>
      <w:r>
        <w:fldChar w:fldCharType="separate"/>
      </w:r>
      <w:r>
        <w:t>11</w:t>
      </w:r>
      <w:r>
        <w:fldChar w:fldCharType="end"/>
      </w:r>
      <w:r>
        <w:fldChar w:fldCharType="end"/>
      </w:r>
    </w:p>
    <w:p>
      <w:pPr>
        <w:pStyle w:val="25"/>
        <w:tabs>
          <w:tab w:val="right" w:leader="dot" w:pos="9412"/>
          <w:tab w:val="clear" w:pos="9402"/>
        </w:tabs>
      </w:pPr>
      <w:r>
        <w:fldChar w:fldCharType="begin"/>
      </w:r>
      <w:r>
        <w:instrText xml:space="preserve"> HYPERLINK \l _Toc32072 </w:instrText>
      </w:r>
      <w:r>
        <w:fldChar w:fldCharType="separate"/>
      </w:r>
      <w:r>
        <w:rPr>
          <w:rFonts w:hint="eastAsia" w:cs="Times New Roman"/>
        </w:rPr>
        <w:t>4.2其他环保设施</w:t>
      </w:r>
      <w:r>
        <w:tab/>
      </w:r>
      <w:r>
        <w:fldChar w:fldCharType="begin"/>
      </w:r>
      <w:r>
        <w:instrText xml:space="preserve"> PAGEREF _Toc32072 \h </w:instrText>
      </w:r>
      <w:r>
        <w:fldChar w:fldCharType="separate"/>
      </w:r>
      <w:r>
        <w:t>12</w:t>
      </w:r>
      <w:r>
        <w:fldChar w:fldCharType="end"/>
      </w:r>
      <w:r>
        <w:fldChar w:fldCharType="end"/>
      </w:r>
    </w:p>
    <w:p>
      <w:pPr>
        <w:pStyle w:val="25"/>
        <w:tabs>
          <w:tab w:val="right" w:leader="dot" w:pos="9412"/>
          <w:tab w:val="clear" w:pos="9402"/>
        </w:tabs>
      </w:pPr>
      <w:r>
        <w:fldChar w:fldCharType="begin"/>
      </w:r>
      <w:r>
        <w:instrText xml:space="preserve"> HYPERLINK \l _Toc1157 </w:instrText>
      </w:r>
      <w:r>
        <w:fldChar w:fldCharType="separate"/>
      </w:r>
      <w:r>
        <w:rPr>
          <w:rFonts w:hint="eastAsia" w:cs="Times New Roman"/>
        </w:rPr>
        <w:t>4.3环保设施投资及“三同时”落实情况</w:t>
      </w:r>
      <w:r>
        <w:tab/>
      </w:r>
      <w:r>
        <w:fldChar w:fldCharType="begin"/>
      </w:r>
      <w:r>
        <w:instrText xml:space="preserve"> PAGEREF _Toc1157 \h </w:instrText>
      </w:r>
      <w:r>
        <w:fldChar w:fldCharType="separate"/>
      </w:r>
      <w:r>
        <w:t>14</w:t>
      </w:r>
      <w:r>
        <w:fldChar w:fldCharType="end"/>
      </w:r>
      <w:r>
        <w:fldChar w:fldCharType="end"/>
      </w:r>
    </w:p>
    <w:p>
      <w:pPr>
        <w:pStyle w:val="22"/>
        <w:tabs>
          <w:tab w:val="right" w:leader="dot" w:pos="9412"/>
          <w:tab w:val="clear" w:pos="9402"/>
        </w:tabs>
      </w:pPr>
      <w:r>
        <w:fldChar w:fldCharType="begin"/>
      </w:r>
      <w:r>
        <w:instrText xml:space="preserve"> HYPERLINK \l _Toc418 </w:instrText>
      </w:r>
      <w:r>
        <w:fldChar w:fldCharType="separate"/>
      </w:r>
      <w:r>
        <w:rPr>
          <w:rFonts w:hint="eastAsia" w:cs="Times New Roman"/>
        </w:rPr>
        <w:t>5建设项目环评报告表的主要结论及审批部门审批决定</w:t>
      </w:r>
      <w:r>
        <w:tab/>
      </w:r>
      <w:r>
        <w:fldChar w:fldCharType="begin"/>
      </w:r>
      <w:r>
        <w:instrText xml:space="preserve"> PAGEREF _Toc418 \h </w:instrText>
      </w:r>
      <w:r>
        <w:fldChar w:fldCharType="separate"/>
      </w:r>
      <w:r>
        <w:t>15</w:t>
      </w:r>
      <w:r>
        <w:fldChar w:fldCharType="end"/>
      </w:r>
      <w:r>
        <w:fldChar w:fldCharType="end"/>
      </w:r>
    </w:p>
    <w:p>
      <w:pPr>
        <w:pStyle w:val="25"/>
        <w:tabs>
          <w:tab w:val="right" w:leader="dot" w:pos="9412"/>
          <w:tab w:val="clear" w:pos="9402"/>
        </w:tabs>
      </w:pPr>
      <w:r>
        <w:fldChar w:fldCharType="begin"/>
      </w:r>
      <w:r>
        <w:instrText xml:space="preserve"> HYPERLINK \l _Toc9983 </w:instrText>
      </w:r>
      <w:r>
        <w:fldChar w:fldCharType="separate"/>
      </w:r>
      <w:r>
        <w:rPr>
          <w:rFonts w:hint="eastAsia" w:cs="Times New Roman"/>
        </w:rPr>
        <w:t>5</w:t>
      </w:r>
      <w:r>
        <w:rPr>
          <w:rFonts w:cs="Times New Roman"/>
        </w:rPr>
        <w:t xml:space="preserve">.1 </w:t>
      </w:r>
      <w:r>
        <w:rPr>
          <w:rFonts w:hint="eastAsia" w:cs="Times New Roman"/>
        </w:rPr>
        <w:t>建设项目环评报告表的主要结论与建议</w:t>
      </w:r>
      <w:r>
        <w:tab/>
      </w:r>
      <w:r>
        <w:fldChar w:fldCharType="begin"/>
      </w:r>
      <w:r>
        <w:instrText xml:space="preserve"> PAGEREF _Toc9983 \h </w:instrText>
      </w:r>
      <w:r>
        <w:fldChar w:fldCharType="separate"/>
      </w:r>
      <w:r>
        <w:t>15</w:t>
      </w:r>
      <w:r>
        <w:fldChar w:fldCharType="end"/>
      </w:r>
      <w:r>
        <w:fldChar w:fldCharType="end"/>
      </w:r>
    </w:p>
    <w:p>
      <w:pPr>
        <w:pStyle w:val="25"/>
        <w:tabs>
          <w:tab w:val="right" w:leader="dot" w:pos="9412"/>
          <w:tab w:val="clear" w:pos="9402"/>
        </w:tabs>
      </w:pPr>
      <w:r>
        <w:fldChar w:fldCharType="begin"/>
      </w:r>
      <w:r>
        <w:instrText xml:space="preserve"> HYPERLINK \l _Toc964 </w:instrText>
      </w:r>
      <w:r>
        <w:fldChar w:fldCharType="separate"/>
      </w:r>
      <w:r>
        <w:rPr>
          <w:rFonts w:hint="eastAsia" w:cs="Times New Roman"/>
        </w:rPr>
        <w:t>5.2 环评批复要求</w:t>
      </w:r>
      <w:r>
        <w:tab/>
      </w:r>
      <w:r>
        <w:fldChar w:fldCharType="begin"/>
      </w:r>
      <w:r>
        <w:instrText xml:space="preserve"> PAGEREF _Toc964 \h </w:instrText>
      </w:r>
      <w:r>
        <w:fldChar w:fldCharType="separate"/>
      </w:r>
      <w:r>
        <w:t>18</w:t>
      </w:r>
      <w:r>
        <w:fldChar w:fldCharType="end"/>
      </w:r>
      <w:r>
        <w:fldChar w:fldCharType="end"/>
      </w:r>
    </w:p>
    <w:p>
      <w:pPr>
        <w:pStyle w:val="22"/>
        <w:tabs>
          <w:tab w:val="right" w:leader="dot" w:pos="9412"/>
          <w:tab w:val="clear" w:pos="9402"/>
        </w:tabs>
      </w:pPr>
      <w:r>
        <w:fldChar w:fldCharType="begin"/>
      </w:r>
      <w:r>
        <w:instrText xml:space="preserve"> HYPERLINK \l _Toc13690 </w:instrText>
      </w:r>
      <w:r>
        <w:fldChar w:fldCharType="separate"/>
      </w:r>
      <w:r>
        <w:rPr>
          <w:rFonts w:hint="eastAsia" w:cs="Times New Roman"/>
        </w:rPr>
        <w:t>6验收执行</w:t>
      </w:r>
      <w:r>
        <w:rPr>
          <w:rFonts w:cs="Times New Roman"/>
        </w:rPr>
        <w:t>标准</w:t>
      </w:r>
      <w:r>
        <w:tab/>
      </w:r>
      <w:r>
        <w:fldChar w:fldCharType="begin"/>
      </w:r>
      <w:r>
        <w:instrText xml:space="preserve"> PAGEREF _Toc13690 \h </w:instrText>
      </w:r>
      <w:r>
        <w:fldChar w:fldCharType="separate"/>
      </w:r>
      <w:r>
        <w:t>20</w:t>
      </w:r>
      <w:r>
        <w:fldChar w:fldCharType="end"/>
      </w:r>
      <w:r>
        <w:fldChar w:fldCharType="end"/>
      </w:r>
    </w:p>
    <w:p>
      <w:pPr>
        <w:pStyle w:val="25"/>
        <w:tabs>
          <w:tab w:val="right" w:leader="dot" w:pos="9412"/>
          <w:tab w:val="clear" w:pos="9402"/>
        </w:tabs>
      </w:pPr>
      <w:r>
        <w:fldChar w:fldCharType="begin"/>
      </w:r>
      <w:r>
        <w:instrText xml:space="preserve"> HYPERLINK \l _Toc20835 </w:instrText>
      </w:r>
      <w:r>
        <w:fldChar w:fldCharType="separate"/>
      </w:r>
      <w:r>
        <w:rPr>
          <w:rFonts w:hint="eastAsia" w:cs="Times New Roman"/>
        </w:rPr>
        <w:t>6</w:t>
      </w:r>
      <w:r>
        <w:rPr>
          <w:rFonts w:cs="Times New Roman"/>
        </w:rPr>
        <w:t>.1 废水</w:t>
      </w:r>
      <w:r>
        <w:tab/>
      </w:r>
      <w:r>
        <w:fldChar w:fldCharType="begin"/>
      </w:r>
      <w:r>
        <w:instrText xml:space="preserve"> PAGEREF _Toc20835 \h </w:instrText>
      </w:r>
      <w:r>
        <w:fldChar w:fldCharType="separate"/>
      </w:r>
      <w:r>
        <w:t>20</w:t>
      </w:r>
      <w:r>
        <w:fldChar w:fldCharType="end"/>
      </w:r>
      <w:r>
        <w:fldChar w:fldCharType="end"/>
      </w:r>
    </w:p>
    <w:p>
      <w:pPr>
        <w:pStyle w:val="25"/>
        <w:tabs>
          <w:tab w:val="right" w:leader="dot" w:pos="9412"/>
          <w:tab w:val="clear" w:pos="9402"/>
        </w:tabs>
      </w:pPr>
      <w:r>
        <w:fldChar w:fldCharType="begin"/>
      </w:r>
      <w:r>
        <w:instrText xml:space="preserve"> HYPERLINK \l _Toc59 </w:instrText>
      </w:r>
      <w:r>
        <w:fldChar w:fldCharType="separate"/>
      </w:r>
      <w:r>
        <w:rPr>
          <w:rFonts w:hint="eastAsia" w:cs="Times New Roman"/>
        </w:rPr>
        <w:t>6</w:t>
      </w:r>
      <w:r>
        <w:rPr>
          <w:rFonts w:cs="Times New Roman"/>
        </w:rPr>
        <w:t>.</w:t>
      </w:r>
      <w:r>
        <w:rPr>
          <w:rFonts w:hint="eastAsia" w:cs="Times New Roman"/>
        </w:rPr>
        <w:t>2废气</w:t>
      </w:r>
      <w:r>
        <w:tab/>
      </w:r>
      <w:r>
        <w:fldChar w:fldCharType="begin"/>
      </w:r>
      <w:r>
        <w:instrText xml:space="preserve"> PAGEREF _Toc59 \h </w:instrText>
      </w:r>
      <w:r>
        <w:fldChar w:fldCharType="separate"/>
      </w:r>
      <w:r>
        <w:t>20</w:t>
      </w:r>
      <w:r>
        <w:fldChar w:fldCharType="end"/>
      </w:r>
      <w:r>
        <w:fldChar w:fldCharType="end"/>
      </w:r>
    </w:p>
    <w:p>
      <w:pPr>
        <w:pStyle w:val="25"/>
        <w:tabs>
          <w:tab w:val="right" w:leader="dot" w:pos="9412"/>
          <w:tab w:val="clear" w:pos="9402"/>
        </w:tabs>
      </w:pPr>
      <w:r>
        <w:fldChar w:fldCharType="begin"/>
      </w:r>
      <w:r>
        <w:instrText xml:space="preserve"> HYPERLINK \l _Toc27371 </w:instrText>
      </w:r>
      <w:r>
        <w:fldChar w:fldCharType="separate"/>
      </w:r>
      <w:r>
        <w:rPr>
          <w:rFonts w:hint="eastAsia" w:cs="Times New Roman"/>
        </w:rPr>
        <w:t>6</w:t>
      </w:r>
      <w:r>
        <w:rPr>
          <w:rFonts w:cs="Times New Roman"/>
        </w:rPr>
        <w:t>.3 噪声</w:t>
      </w:r>
      <w:r>
        <w:tab/>
      </w:r>
      <w:r>
        <w:fldChar w:fldCharType="begin"/>
      </w:r>
      <w:r>
        <w:instrText xml:space="preserve"> PAGEREF _Toc27371 \h </w:instrText>
      </w:r>
      <w:r>
        <w:fldChar w:fldCharType="separate"/>
      </w:r>
      <w:r>
        <w:t>21</w:t>
      </w:r>
      <w:r>
        <w:fldChar w:fldCharType="end"/>
      </w:r>
      <w:r>
        <w:fldChar w:fldCharType="end"/>
      </w:r>
    </w:p>
    <w:p>
      <w:pPr>
        <w:pStyle w:val="25"/>
        <w:tabs>
          <w:tab w:val="right" w:leader="dot" w:pos="9412"/>
          <w:tab w:val="clear" w:pos="9402"/>
        </w:tabs>
      </w:pPr>
      <w:r>
        <w:fldChar w:fldCharType="begin"/>
      </w:r>
      <w:r>
        <w:instrText xml:space="preserve"> HYPERLINK \l _Toc2148 </w:instrText>
      </w:r>
      <w:r>
        <w:fldChar w:fldCharType="separate"/>
      </w:r>
      <w:r>
        <w:rPr>
          <w:rFonts w:hint="eastAsia" w:ascii="Times New Roman" w:hAnsi="Times New Roman" w:eastAsia="宋体" w:cs="Times New Roman"/>
        </w:rPr>
        <w:t>6.</w:t>
      </w:r>
      <w:r>
        <w:rPr>
          <w:rFonts w:hint="eastAsia" w:ascii="Times New Roman" w:hAnsi="Times New Roman" w:eastAsia="宋体" w:cs="Times New Roman"/>
          <w:lang w:val="en-US" w:eastAsia="zh-CN"/>
        </w:rPr>
        <w:t>4</w:t>
      </w:r>
      <w:r>
        <w:rPr>
          <w:rFonts w:hint="eastAsia" w:ascii="Times New Roman" w:hAnsi="Times New Roman" w:eastAsia="宋体" w:cs="Times New Roman"/>
        </w:rPr>
        <w:t>固体废物污染管控标准要求</w:t>
      </w:r>
      <w:r>
        <w:tab/>
      </w:r>
      <w:r>
        <w:fldChar w:fldCharType="begin"/>
      </w:r>
      <w:r>
        <w:instrText xml:space="preserve"> PAGEREF _Toc2148 \h </w:instrText>
      </w:r>
      <w:r>
        <w:fldChar w:fldCharType="separate"/>
      </w:r>
      <w:r>
        <w:t>21</w:t>
      </w:r>
      <w:r>
        <w:fldChar w:fldCharType="end"/>
      </w:r>
      <w:r>
        <w:fldChar w:fldCharType="end"/>
      </w:r>
    </w:p>
    <w:p>
      <w:pPr>
        <w:pStyle w:val="22"/>
        <w:tabs>
          <w:tab w:val="right" w:leader="dot" w:pos="9412"/>
          <w:tab w:val="clear" w:pos="9402"/>
        </w:tabs>
      </w:pPr>
      <w:r>
        <w:fldChar w:fldCharType="begin"/>
      </w:r>
      <w:r>
        <w:instrText xml:space="preserve"> HYPERLINK \l _Toc3530 </w:instrText>
      </w:r>
      <w:r>
        <w:fldChar w:fldCharType="separate"/>
      </w:r>
      <w:r>
        <w:rPr>
          <w:rFonts w:hint="eastAsia" w:cs="Times New Roman"/>
        </w:rPr>
        <w:t>7</w:t>
      </w:r>
      <w:r>
        <w:rPr>
          <w:rFonts w:cs="Times New Roman"/>
        </w:rPr>
        <w:t>验收监测内容</w:t>
      </w:r>
      <w:r>
        <w:tab/>
      </w:r>
      <w:r>
        <w:fldChar w:fldCharType="begin"/>
      </w:r>
      <w:r>
        <w:instrText xml:space="preserve"> PAGEREF _Toc3530 \h </w:instrText>
      </w:r>
      <w:r>
        <w:fldChar w:fldCharType="separate"/>
      </w:r>
      <w:r>
        <w:t>22</w:t>
      </w:r>
      <w:r>
        <w:fldChar w:fldCharType="end"/>
      </w:r>
      <w:r>
        <w:fldChar w:fldCharType="end"/>
      </w:r>
    </w:p>
    <w:p>
      <w:pPr>
        <w:pStyle w:val="25"/>
        <w:tabs>
          <w:tab w:val="right" w:leader="dot" w:pos="9412"/>
          <w:tab w:val="clear" w:pos="9402"/>
        </w:tabs>
      </w:pPr>
      <w:r>
        <w:fldChar w:fldCharType="begin"/>
      </w:r>
      <w:r>
        <w:instrText xml:space="preserve"> HYPERLINK \l _Toc16601 </w:instrText>
      </w:r>
      <w:r>
        <w:fldChar w:fldCharType="separate"/>
      </w:r>
      <w:r>
        <w:rPr>
          <w:rFonts w:hint="eastAsia" w:cs="Times New Roman"/>
        </w:rPr>
        <w:t>7</w:t>
      </w:r>
      <w:r>
        <w:rPr>
          <w:rFonts w:cs="Times New Roman"/>
        </w:rPr>
        <w:t xml:space="preserve">.1 </w:t>
      </w:r>
      <w:r>
        <w:rPr>
          <w:rFonts w:hint="eastAsia" w:cs="Times New Roman"/>
        </w:rPr>
        <w:t>废水</w:t>
      </w:r>
      <w:r>
        <w:tab/>
      </w:r>
      <w:r>
        <w:fldChar w:fldCharType="begin"/>
      </w:r>
      <w:r>
        <w:instrText xml:space="preserve"> PAGEREF _Toc16601 \h </w:instrText>
      </w:r>
      <w:r>
        <w:fldChar w:fldCharType="separate"/>
      </w:r>
      <w:r>
        <w:t>22</w:t>
      </w:r>
      <w:r>
        <w:fldChar w:fldCharType="end"/>
      </w:r>
      <w:r>
        <w:fldChar w:fldCharType="end"/>
      </w:r>
    </w:p>
    <w:p>
      <w:pPr>
        <w:pStyle w:val="25"/>
        <w:tabs>
          <w:tab w:val="right" w:leader="dot" w:pos="9412"/>
          <w:tab w:val="clear" w:pos="9402"/>
        </w:tabs>
      </w:pPr>
      <w:r>
        <w:fldChar w:fldCharType="begin"/>
      </w:r>
      <w:r>
        <w:instrText xml:space="preserve"> HYPERLINK \l _Toc2006 </w:instrText>
      </w:r>
      <w:r>
        <w:fldChar w:fldCharType="separate"/>
      </w:r>
      <w:r>
        <w:rPr>
          <w:rFonts w:hint="eastAsia" w:cs="Times New Roman"/>
        </w:rPr>
        <w:t>7</w:t>
      </w:r>
      <w:r>
        <w:rPr>
          <w:rFonts w:cs="Times New Roman"/>
        </w:rPr>
        <w:t>.</w:t>
      </w:r>
      <w:r>
        <w:rPr>
          <w:rFonts w:hint="eastAsia" w:cs="Times New Roman"/>
        </w:rPr>
        <w:t>2废气</w:t>
      </w:r>
      <w:r>
        <w:tab/>
      </w:r>
      <w:r>
        <w:fldChar w:fldCharType="begin"/>
      </w:r>
      <w:r>
        <w:instrText xml:space="preserve"> PAGEREF _Toc2006 \h </w:instrText>
      </w:r>
      <w:r>
        <w:fldChar w:fldCharType="separate"/>
      </w:r>
      <w:r>
        <w:t>22</w:t>
      </w:r>
      <w:r>
        <w:fldChar w:fldCharType="end"/>
      </w:r>
      <w:r>
        <w:fldChar w:fldCharType="end"/>
      </w:r>
    </w:p>
    <w:p>
      <w:pPr>
        <w:pStyle w:val="25"/>
        <w:tabs>
          <w:tab w:val="right" w:leader="dot" w:pos="9412"/>
          <w:tab w:val="clear" w:pos="9402"/>
        </w:tabs>
      </w:pPr>
      <w:r>
        <w:fldChar w:fldCharType="begin"/>
      </w:r>
      <w:r>
        <w:instrText xml:space="preserve"> HYPERLINK \l _Toc21649 </w:instrText>
      </w:r>
      <w:r>
        <w:fldChar w:fldCharType="separate"/>
      </w:r>
      <w:r>
        <w:rPr>
          <w:rFonts w:hint="eastAsia" w:cs="Times New Roman"/>
        </w:rPr>
        <w:t>7</w:t>
      </w:r>
      <w:r>
        <w:rPr>
          <w:rFonts w:cs="Times New Roman"/>
        </w:rPr>
        <w:t>.</w:t>
      </w:r>
      <w:r>
        <w:rPr>
          <w:rFonts w:hint="eastAsia" w:cs="Times New Roman"/>
        </w:rPr>
        <w:t>3</w:t>
      </w:r>
      <w:r>
        <w:rPr>
          <w:rFonts w:cs="Times New Roman"/>
        </w:rPr>
        <w:t>噪</w:t>
      </w:r>
      <w:r>
        <w:rPr>
          <w:rFonts w:hint="eastAsia" w:cs="Times New Roman"/>
          <w:lang w:eastAsia="zh-CN"/>
        </w:rPr>
        <w:t>声</w:t>
      </w:r>
      <w:r>
        <w:tab/>
      </w:r>
      <w:r>
        <w:fldChar w:fldCharType="begin"/>
      </w:r>
      <w:r>
        <w:instrText xml:space="preserve"> PAGEREF _Toc21649 \h </w:instrText>
      </w:r>
      <w:r>
        <w:fldChar w:fldCharType="separate"/>
      </w:r>
      <w:r>
        <w:t>22</w:t>
      </w:r>
      <w:r>
        <w:fldChar w:fldCharType="end"/>
      </w:r>
      <w:r>
        <w:fldChar w:fldCharType="end"/>
      </w:r>
    </w:p>
    <w:p>
      <w:pPr>
        <w:pStyle w:val="22"/>
        <w:tabs>
          <w:tab w:val="right" w:leader="dot" w:pos="9412"/>
          <w:tab w:val="clear" w:pos="9402"/>
        </w:tabs>
      </w:pPr>
      <w:r>
        <w:fldChar w:fldCharType="begin"/>
      </w:r>
      <w:r>
        <w:instrText xml:space="preserve"> HYPERLINK \l _Toc27659 </w:instrText>
      </w:r>
      <w:r>
        <w:fldChar w:fldCharType="separate"/>
      </w:r>
      <w:r>
        <w:rPr>
          <w:rFonts w:hint="eastAsia" w:ascii="Times New Roman" w:hAnsi="Times New Roman" w:cs="Times New Roman"/>
        </w:rPr>
        <w:t>8质量保证及质量控制</w:t>
      </w:r>
      <w:r>
        <w:tab/>
      </w:r>
      <w:r>
        <w:fldChar w:fldCharType="begin"/>
      </w:r>
      <w:r>
        <w:instrText xml:space="preserve"> PAGEREF _Toc27659 \h </w:instrText>
      </w:r>
      <w:r>
        <w:fldChar w:fldCharType="separate"/>
      </w:r>
      <w:r>
        <w:t>24</w:t>
      </w:r>
      <w:r>
        <w:fldChar w:fldCharType="end"/>
      </w:r>
      <w:r>
        <w:fldChar w:fldCharType="end"/>
      </w:r>
    </w:p>
    <w:p>
      <w:pPr>
        <w:pStyle w:val="25"/>
        <w:tabs>
          <w:tab w:val="right" w:leader="dot" w:pos="9412"/>
          <w:tab w:val="clear" w:pos="9402"/>
        </w:tabs>
      </w:pPr>
      <w:r>
        <w:fldChar w:fldCharType="begin"/>
      </w:r>
      <w:r>
        <w:instrText xml:space="preserve"> HYPERLINK \l _Toc16762 </w:instrText>
      </w:r>
      <w:r>
        <w:fldChar w:fldCharType="separate"/>
      </w:r>
      <w:r>
        <w:rPr>
          <w:rFonts w:hint="eastAsia" w:cs="Times New Roman"/>
        </w:rPr>
        <w:t>8</w:t>
      </w:r>
      <w:r>
        <w:rPr>
          <w:rFonts w:cs="Times New Roman"/>
        </w:rPr>
        <w:t>.1 监测分析方法</w:t>
      </w:r>
      <w:r>
        <w:tab/>
      </w:r>
      <w:r>
        <w:fldChar w:fldCharType="begin"/>
      </w:r>
      <w:r>
        <w:instrText xml:space="preserve"> PAGEREF _Toc16762 \h </w:instrText>
      </w:r>
      <w:r>
        <w:fldChar w:fldCharType="separate"/>
      </w:r>
      <w:r>
        <w:t>24</w:t>
      </w:r>
      <w:r>
        <w:fldChar w:fldCharType="end"/>
      </w:r>
      <w:r>
        <w:fldChar w:fldCharType="end"/>
      </w:r>
    </w:p>
    <w:p>
      <w:pPr>
        <w:pStyle w:val="25"/>
        <w:tabs>
          <w:tab w:val="right" w:leader="dot" w:pos="9412"/>
          <w:tab w:val="clear" w:pos="9402"/>
        </w:tabs>
      </w:pPr>
      <w:r>
        <w:fldChar w:fldCharType="begin"/>
      </w:r>
      <w:r>
        <w:instrText xml:space="preserve"> HYPERLINK \l _Toc26027 </w:instrText>
      </w:r>
      <w:r>
        <w:fldChar w:fldCharType="separate"/>
      </w:r>
      <w:r>
        <w:rPr>
          <w:rFonts w:hint="eastAsia" w:cs="Times New Roman"/>
        </w:rPr>
        <w:t>8</w:t>
      </w:r>
      <w:r>
        <w:rPr>
          <w:rFonts w:cs="Times New Roman"/>
        </w:rPr>
        <w:t xml:space="preserve">.2 </w:t>
      </w:r>
      <w:r>
        <w:rPr>
          <w:rFonts w:hint="eastAsia" w:cs="Times New Roman"/>
        </w:rPr>
        <w:t>监测仪器</w:t>
      </w:r>
      <w:r>
        <w:tab/>
      </w:r>
      <w:r>
        <w:fldChar w:fldCharType="begin"/>
      </w:r>
      <w:r>
        <w:instrText xml:space="preserve"> PAGEREF _Toc26027 \h </w:instrText>
      </w:r>
      <w:r>
        <w:fldChar w:fldCharType="separate"/>
      </w:r>
      <w:r>
        <w:t>24</w:t>
      </w:r>
      <w:r>
        <w:fldChar w:fldCharType="end"/>
      </w:r>
      <w:r>
        <w:fldChar w:fldCharType="end"/>
      </w:r>
    </w:p>
    <w:p>
      <w:pPr>
        <w:pStyle w:val="25"/>
        <w:tabs>
          <w:tab w:val="right" w:leader="dot" w:pos="9412"/>
          <w:tab w:val="clear" w:pos="9402"/>
        </w:tabs>
      </w:pPr>
      <w:r>
        <w:fldChar w:fldCharType="begin"/>
      </w:r>
      <w:r>
        <w:instrText xml:space="preserve"> HYPERLINK \l _Toc1612 </w:instrText>
      </w:r>
      <w:r>
        <w:fldChar w:fldCharType="separate"/>
      </w:r>
      <w:r>
        <w:rPr>
          <w:rFonts w:hint="eastAsia" w:cs="Times New Roman"/>
        </w:rPr>
        <w:t>8</w:t>
      </w:r>
      <w:r>
        <w:rPr>
          <w:rFonts w:cs="Times New Roman"/>
        </w:rPr>
        <w:t>.</w:t>
      </w:r>
      <w:r>
        <w:rPr>
          <w:rFonts w:hint="eastAsia" w:cs="Times New Roman"/>
        </w:rPr>
        <w:t>3人员资质</w:t>
      </w:r>
      <w:r>
        <w:tab/>
      </w:r>
      <w:r>
        <w:fldChar w:fldCharType="begin"/>
      </w:r>
      <w:r>
        <w:instrText xml:space="preserve"> PAGEREF _Toc1612 \h </w:instrText>
      </w:r>
      <w:r>
        <w:fldChar w:fldCharType="separate"/>
      </w:r>
      <w:r>
        <w:t>25</w:t>
      </w:r>
      <w:r>
        <w:fldChar w:fldCharType="end"/>
      </w:r>
      <w:r>
        <w:fldChar w:fldCharType="end"/>
      </w:r>
    </w:p>
    <w:p>
      <w:pPr>
        <w:pStyle w:val="25"/>
        <w:tabs>
          <w:tab w:val="right" w:leader="dot" w:pos="9412"/>
          <w:tab w:val="clear" w:pos="9402"/>
        </w:tabs>
      </w:pPr>
      <w:r>
        <w:fldChar w:fldCharType="begin"/>
      </w:r>
      <w:r>
        <w:instrText xml:space="preserve"> HYPERLINK \l _Toc19648 </w:instrText>
      </w:r>
      <w:r>
        <w:fldChar w:fldCharType="separate"/>
      </w:r>
      <w:r>
        <w:rPr>
          <w:rFonts w:hint="eastAsia" w:cs="Times New Roman"/>
        </w:rPr>
        <w:t>8</w:t>
      </w:r>
      <w:r>
        <w:rPr>
          <w:rFonts w:cs="Times New Roman"/>
        </w:rPr>
        <w:t>.</w:t>
      </w:r>
      <w:r>
        <w:rPr>
          <w:rFonts w:hint="eastAsia" w:cs="Times New Roman"/>
        </w:rPr>
        <w:t>4</w:t>
      </w:r>
      <w:r>
        <w:rPr>
          <w:rFonts w:cs="Times New Roman"/>
        </w:rPr>
        <w:t>质量保证和质量控制</w:t>
      </w:r>
      <w:r>
        <w:tab/>
      </w:r>
      <w:r>
        <w:fldChar w:fldCharType="begin"/>
      </w:r>
      <w:r>
        <w:instrText xml:space="preserve"> PAGEREF _Toc19648 \h </w:instrText>
      </w:r>
      <w:r>
        <w:fldChar w:fldCharType="separate"/>
      </w:r>
      <w:r>
        <w:t>25</w:t>
      </w:r>
      <w:r>
        <w:fldChar w:fldCharType="end"/>
      </w:r>
      <w:r>
        <w:fldChar w:fldCharType="end"/>
      </w:r>
    </w:p>
    <w:p>
      <w:pPr>
        <w:pStyle w:val="22"/>
        <w:tabs>
          <w:tab w:val="right" w:leader="dot" w:pos="9412"/>
          <w:tab w:val="clear" w:pos="9402"/>
        </w:tabs>
      </w:pPr>
      <w:r>
        <w:fldChar w:fldCharType="begin"/>
      </w:r>
      <w:r>
        <w:instrText xml:space="preserve"> HYPERLINK \l _Toc20624 </w:instrText>
      </w:r>
      <w:r>
        <w:fldChar w:fldCharType="separate"/>
      </w:r>
      <w:r>
        <w:rPr>
          <w:rFonts w:hint="eastAsia" w:ascii="Times New Roman" w:hAnsi="Times New Roman" w:cs="Times New Roman"/>
        </w:rPr>
        <w:t>9验收监测结果及分析</w:t>
      </w:r>
      <w:r>
        <w:tab/>
      </w:r>
      <w:r>
        <w:fldChar w:fldCharType="begin"/>
      </w:r>
      <w:r>
        <w:instrText xml:space="preserve"> PAGEREF _Toc20624 \h </w:instrText>
      </w:r>
      <w:r>
        <w:fldChar w:fldCharType="separate"/>
      </w:r>
      <w:r>
        <w:t>27</w:t>
      </w:r>
      <w:r>
        <w:fldChar w:fldCharType="end"/>
      </w:r>
      <w:r>
        <w:fldChar w:fldCharType="end"/>
      </w:r>
    </w:p>
    <w:p>
      <w:pPr>
        <w:pStyle w:val="25"/>
        <w:tabs>
          <w:tab w:val="right" w:leader="dot" w:pos="9412"/>
          <w:tab w:val="clear" w:pos="9402"/>
        </w:tabs>
      </w:pPr>
      <w:r>
        <w:fldChar w:fldCharType="begin"/>
      </w:r>
      <w:r>
        <w:instrText xml:space="preserve"> HYPERLINK \l _Toc3848 </w:instrText>
      </w:r>
      <w:r>
        <w:fldChar w:fldCharType="separate"/>
      </w:r>
      <w:r>
        <w:rPr>
          <w:rFonts w:hint="eastAsia" w:cs="Times New Roman"/>
        </w:rPr>
        <w:t>9</w:t>
      </w:r>
      <w:r>
        <w:rPr>
          <w:rFonts w:cs="Times New Roman"/>
        </w:rPr>
        <w:t>.1 监测期间工况</w:t>
      </w:r>
      <w:r>
        <w:tab/>
      </w:r>
      <w:r>
        <w:fldChar w:fldCharType="begin"/>
      </w:r>
      <w:r>
        <w:instrText xml:space="preserve"> PAGEREF _Toc3848 \h </w:instrText>
      </w:r>
      <w:r>
        <w:fldChar w:fldCharType="separate"/>
      </w:r>
      <w:r>
        <w:t>27</w:t>
      </w:r>
      <w:r>
        <w:fldChar w:fldCharType="end"/>
      </w:r>
      <w:r>
        <w:fldChar w:fldCharType="end"/>
      </w:r>
    </w:p>
    <w:p>
      <w:pPr>
        <w:pStyle w:val="25"/>
        <w:tabs>
          <w:tab w:val="right" w:leader="dot" w:pos="9412"/>
          <w:tab w:val="clear" w:pos="9402"/>
        </w:tabs>
      </w:pPr>
      <w:r>
        <w:fldChar w:fldCharType="begin"/>
      </w:r>
      <w:r>
        <w:instrText xml:space="preserve"> HYPERLINK \l _Toc18326 </w:instrText>
      </w:r>
      <w:r>
        <w:fldChar w:fldCharType="separate"/>
      </w:r>
      <w:r>
        <w:rPr>
          <w:rFonts w:hint="eastAsia" w:cs="Times New Roman"/>
        </w:rPr>
        <w:t>9</w:t>
      </w:r>
      <w:r>
        <w:rPr>
          <w:rFonts w:cs="Times New Roman"/>
        </w:rPr>
        <w:t xml:space="preserve">.2 </w:t>
      </w:r>
      <w:r>
        <w:rPr>
          <w:rFonts w:hint="eastAsia" w:cs="Times New Roman"/>
        </w:rPr>
        <w:t>环境保护设施调试效果</w:t>
      </w:r>
      <w:r>
        <w:tab/>
      </w:r>
      <w:r>
        <w:fldChar w:fldCharType="begin"/>
      </w:r>
      <w:r>
        <w:instrText xml:space="preserve"> PAGEREF _Toc18326 \h </w:instrText>
      </w:r>
      <w:r>
        <w:fldChar w:fldCharType="separate"/>
      </w:r>
      <w:r>
        <w:t>27</w:t>
      </w:r>
      <w:r>
        <w:fldChar w:fldCharType="end"/>
      </w:r>
      <w:r>
        <w:fldChar w:fldCharType="end"/>
      </w:r>
    </w:p>
    <w:p>
      <w:pPr>
        <w:pStyle w:val="25"/>
        <w:tabs>
          <w:tab w:val="right" w:leader="dot" w:pos="9412"/>
          <w:tab w:val="clear" w:pos="9402"/>
        </w:tabs>
      </w:pPr>
      <w:r>
        <w:fldChar w:fldCharType="begin"/>
      </w:r>
      <w:r>
        <w:instrText xml:space="preserve"> HYPERLINK \l _Toc3323 </w:instrText>
      </w:r>
      <w:r>
        <w:fldChar w:fldCharType="separate"/>
      </w:r>
      <w:r>
        <w:rPr>
          <w:rFonts w:hint="eastAsia" w:ascii="Times New Roman" w:hAnsi="Times New Roman"/>
          <w:lang w:val="en-US" w:eastAsia="zh-CN"/>
        </w:rPr>
        <w:t>9.3  污染物总量控制</w:t>
      </w:r>
      <w:r>
        <w:tab/>
      </w:r>
      <w:r>
        <w:fldChar w:fldCharType="begin"/>
      </w:r>
      <w:r>
        <w:instrText xml:space="preserve"> PAGEREF _Toc3323 \h </w:instrText>
      </w:r>
      <w:r>
        <w:fldChar w:fldCharType="separate"/>
      </w:r>
      <w:r>
        <w:t>29</w:t>
      </w:r>
      <w:r>
        <w:fldChar w:fldCharType="end"/>
      </w:r>
      <w:r>
        <w:fldChar w:fldCharType="end"/>
      </w:r>
    </w:p>
    <w:p>
      <w:pPr>
        <w:pStyle w:val="22"/>
        <w:tabs>
          <w:tab w:val="right" w:leader="dot" w:pos="9412"/>
          <w:tab w:val="clear" w:pos="9402"/>
        </w:tabs>
      </w:pPr>
      <w:r>
        <w:fldChar w:fldCharType="begin"/>
      </w:r>
      <w:r>
        <w:instrText xml:space="preserve"> HYPERLINK \l _Toc20176 </w:instrText>
      </w:r>
      <w:r>
        <w:fldChar w:fldCharType="separate"/>
      </w:r>
      <w:r>
        <w:rPr>
          <w:rFonts w:hint="eastAsia" w:ascii="Times New Roman" w:hAnsi="Times New Roman" w:cs="Times New Roman"/>
        </w:rPr>
        <w:t>10 验收监测结论</w:t>
      </w:r>
      <w:r>
        <w:tab/>
      </w:r>
      <w:r>
        <w:fldChar w:fldCharType="begin"/>
      </w:r>
      <w:r>
        <w:instrText xml:space="preserve"> PAGEREF _Toc20176 \h </w:instrText>
      </w:r>
      <w:r>
        <w:fldChar w:fldCharType="separate"/>
      </w:r>
      <w:r>
        <w:t>30</w:t>
      </w:r>
      <w:r>
        <w:fldChar w:fldCharType="end"/>
      </w:r>
      <w:r>
        <w:fldChar w:fldCharType="end"/>
      </w:r>
    </w:p>
    <w:p>
      <w:pPr>
        <w:pStyle w:val="25"/>
        <w:tabs>
          <w:tab w:val="right" w:leader="dot" w:pos="9412"/>
          <w:tab w:val="clear" w:pos="9402"/>
        </w:tabs>
      </w:pPr>
      <w:r>
        <w:fldChar w:fldCharType="begin"/>
      </w:r>
      <w:r>
        <w:instrText xml:space="preserve"> HYPERLINK \l _Toc30128 </w:instrText>
      </w:r>
      <w:r>
        <w:fldChar w:fldCharType="separate"/>
      </w:r>
      <w:r>
        <w:rPr>
          <w:rFonts w:cs="Times New Roman"/>
        </w:rPr>
        <w:t>10.1</w:t>
      </w:r>
      <w:r>
        <w:rPr>
          <w:rFonts w:hint="eastAsia" w:cs="Times New Roman"/>
        </w:rPr>
        <w:t>环境保护设施调试效果</w:t>
      </w:r>
      <w:r>
        <w:tab/>
      </w:r>
      <w:r>
        <w:fldChar w:fldCharType="begin"/>
      </w:r>
      <w:r>
        <w:instrText xml:space="preserve"> PAGEREF _Toc30128 \h </w:instrText>
      </w:r>
      <w:r>
        <w:fldChar w:fldCharType="separate"/>
      </w:r>
      <w:r>
        <w:t>30</w:t>
      </w:r>
      <w:r>
        <w:fldChar w:fldCharType="end"/>
      </w:r>
      <w:r>
        <w:fldChar w:fldCharType="end"/>
      </w:r>
    </w:p>
    <w:p>
      <w:pPr>
        <w:pStyle w:val="25"/>
        <w:tabs>
          <w:tab w:val="right" w:leader="dot" w:pos="9412"/>
          <w:tab w:val="clear" w:pos="9402"/>
        </w:tabs>
      </w:pPr>
      <w:r>
        <w:fldChar w:fldCharType="begin"/>
      </w:r>
      <w:r>
        <w:instrText xml:space="preserve"> HYPERLINK \l _Toc5285 </w:instrText>
      </w:r>
      <w:r>
        <w:fldChar w:fldCharType="separate"/>
      </w:r>
      <w:r>
        <w:rPr>
          <w:rFonts w:cs="Times New Roman"/>
        </w:rPr>
        <w:t>10.</w:t>
      </w:r>
      <w:r>
        <w:rPr>
          <w:rFonts w:hint="eastAsia" w:cs="Times New Roman"/>
        </w:rPr>
        <w:t>2</w:t>
      </w:r>
      <w:r>
        <w:rPr>
          <w:rFonts w:cs="Times New Roman"/>
        </w:rPr>
        <w:t>环境风险措施检查结论</w:t>
      </w:r>
      <w:r>
        <w:tab/>
      </w:r>
      <w:r>
        <w:fldChar w:fldCharType="begin"/>
      </w:r>
      <w:r>
        <w:instrText xml:space="preserve"> PAGEREF _Toc5285 \h </w:instrText>
      </w:r>
      <w:r>
        <w:fldChar w:fldCharType="separate"/>
      </w:r>
      <w:r>
        <w:t>31</w:t>
      </w:r>
      <w:r>
        <w:fldChar w:fldCharType="end"/>
      </w:r>
      <w:r>
        <w:fldChar w:fldCharType="end"/>
      </w:r>
    </w:p>
    <w:p>
      <w:pPr>
        <w:pStyle w:val="25"/>
        <w:tabs>
          <w:tab w:val="right" w:leader="dot" w:pos="9412"/>
          <w:tab w:val="clear" w:pos="9402"/>
        </w:tabs>
      </w:pPr>
      <w:r>
        <w:fldChar w:fldCharType="begin"/>
      </w:r>
      <w:r>
        <w:instrText xml:space="preserve"> HYPERLINK \l _Toc13049 </w:instrText>
      </w:r>
      <w:r>
        <w:fldChar w:fldCharType="separate"/>
      </w:r>
      <w:r>
        <w:rPr>
          <w:rFonts w:cs="Times New Roman"/>
        </w:rPr>
        <w:t>10.</w:t>
      </w:r>
      <w:r>
        <w:rPr>
          <w:rFonts w:hint="eastAsia" w:cs="Times New Roman"/>
        </w:rPr>
        <w:t>3综合结论</w:t>
      </w:r>
      <w:r>
        <w:tab/>
      </w:r>
      <w:r>
        <w:fldChar w:fldCharType="begin"/>
      </w:r>
      <w:r>
        <w:instrText xml:space="preserve"> PAGEREF _Toc13049 \h </w:instrText>
      </w:r>
      <w:r>
        <w:fldChar w:fldCharType="separate"/>
      </w:r>
      <w:r>
        <w:t>31</w:t>
      </w:r>
      <w:r>
        <w:fldChar w:fldCharType="end"/>
      </w:r>
      <w:r>
        <w:fldChar w:fldCharType="end"/>
      </w:r>
    </w:p>
    <w:p>
      <w:pPr>
        <w:pStyle w:val="25"/>
        <w:tabs>
          <w:tab w:val="right" w:leader="dot" w:pos="9412"/>
          <w:tab w:val="clear" w:pos="9402"/>
        </w:tabs>
      </w:pPr>
      <w:r>
        <w:fldChar w:fldCharType="begin"/>
      </w:r>
      <w:r>
        <w:instrText xml:space="preserve"> HYPERLINK \l _Toc1176 </w:instrText>
      </w:r>
      <w:r>
        <w:fldChar w:fldCharType="separate"/>
      </w:r>
      <w:r>
        <w:rPr>
          <w:rFonts w:cs="Times New Roman"/>
        </w:rPr>
        <w:t>10.</w:t>
      </w:r>
      <w:r>
        <w:rPr>
          <w:rFonts w:hint="eastAsia" w:cs="Times New Roman"/>
        </w:rPr>
        <w:t>4建议</w:t>
      </w:r>
      <w:r>
        <w:tab/>
      </w:r>
      <w:r>
        <w:fldChar w:fldCharType="begin"/>
      </w:r>
      <w:r>
        <w:instrText xml:space="preserve"> PAGEREF _Toc1176 \h </w:instrText>
      </w:r>
      <w:r>
        <w:fldChar w:fldCharType="separate"/>
      </w:r>
      <w:r>
        <w:t>31</w:t>
      </w:r>
      <w:r>
        <w:fldChar w:fldCharType="end"/>
      </w:r>
      <w:r>
        <w:fldChar w:fldCharType="end"/>
      </w:r>
    </w:p>
    <w:p>
      <w:pPr>
        <w:pStyle w:val="22"/>
        <w:spacing w:line="276" w:lineRule="auto"/>
        <w:rPr>
          <w:rFonts w:asciiTheme="minorHAnsi" w:hAnsiTheme="minorHAnsi" w:eastAsiaTheme="minorEastAsia" w:cstheme="minorBidi"/>
          <w:b w:val="0"/>
          <w:caps w:val="0"/>
          <w:sz w:val="22"/>
          <w:szCs w:val="22"/>
        </w:rPr>
      </w:pPr>
      <w:r>
        <w:fldChar w:fldCharType="end"/>
      </w:r>
    </w:p>
    <w:p>
      <w:pPr>
        <w:pStyle w:val="22"/>
        <w:spacing w:line="276" w:lineRule="auto"/>
        <w:rPr>
          <w:rFonts w:asciiTheme="minorHAnsi" w:hAnsiTheme="minorHAnsi" w:eastAsiaTheme="minorEastAsia" w:cstheme="minorBidi"/>
          <w:b w:val="0"/>
          <w:caps w:val="0"/>
          <w:sz w:val="22"/>
          <w:szCs w:val="22"/>
        </w:rPr>
      </w:pPr>
    </w:p>
    <w:p>
      <w:pPr>
        <w:pStyle w:val="63"/>
        <w:spacing w:before="240"/>
        <w:rPr>
          <w:rFonts w:cs="Times New Roman"/>
          <w:sz w:val="40"/>
          <w:szCs w:val="28"/>
        </w:rPr>
        <w:sectPr>
          <w:pgSz w:w="11906" w:h="16838"/>
          <w:pgMar w:top="1247" w:right="1247" w:bottom="1247" w:left="1247" w:header="851" w:footer="851" w:gutter="0"/>
          <w:pgNumType w:start="1"/>
          <w:cols w:space="425" w:num="1"/>
          <w:titlePg/>
          <w:docGrid w:linePitch="381" w:charSpace="0"/>
        </w:sectPr>
      </w:pPr>
      <w:bookmarkStart w:id="1" w:name="_Toc312829599"/>
      <w:bookmarkStart w:id="2" w:name="_Toc333501100"/>
    </w:p>
    <w:bookmarkEnd w:id="1"/>
    <w:bookmarkEnd w:id="2"/>
    <w:p>
      <w:pPr>
        <w:pStyle w:val="63"/>
        <w:spacing w:beforeLines="50"/>
        <w:rPr>
          <w:rFonts w:cs="Times New Roman"/>
          <w:sz w:val="36"/>
        </w:rPr>
      </w:pPr>
      <w:bookmarkStart w:id="3" w:name="_Toc341293099"/>
      <w:bookmarkStart w:id="4" w:name="_Toc341278414"/>
      <w:bookmarkStart w:id="5" w:name="_Toc341431718"/>
      <w:bookmarkStart w:id="6" w:name="_Toc332553908"/>
      <w:bookmarkStart w:id="7" w:name="_Toc305059553"/>
      <w:bookmarkStart w:id="8" w:name="_Toc321042406"/>
      <w:bookmarkStart w:id="9" w:name="_Toc341357465"/>
      <w:bookmarkStart w:id="10" w:name="_Toc256171691"/>
      <w:bookmarkStart w:id="11" w:name="_Toc5898"/>
      <w:r>
        <w:rPr>
          <w:rFonts w:cs="Times New Roman"/>
          <w:sz w:val="36"/>
        </w:rPr>
        <w:t xml:space="preserve">1 </w:t>
      </w:r>
      <w:bookmarkEnd w:id="3"/>
      <w:bookmarkEnd w:id="4"/>
      <w:bookmarkEnd w:id="5"/>
      <w:bookmarkEnd w:id="6"/>
      <w:bookmarkEnd w:id="7"/>
      <w:bookmarkEnd w:id="8"/>
      <w:bookmarkEnd w:id="9"/>
      <w:bookmarkEnd w:id="10"/>
      <w:r>
        <w:rPr>
          <w:rFonts w:hint="eastAsia" w:cs="Times New Roman"/>
          <w:sz w:val="36"/>
        </w:rPr>
        <w:t>验收项目概况</w:t>
      </w:r>
      <w:bookmarkEnd w:id="11"/>
    </w:p>
    <w:p>
      <w:pPr>
        <w:spacing w:line="540" w:lineRule="exact"/>
        <w:ind w:firstLine="480" w:firstLineChars="200"/>
        <w:rPr>
          <w:rFonts w:hint="eastAsia" w:hAnsi="宋体"/>
          <w:sz w:val="24"/>
          <w:szCs w:val="24"/>
        </w:rPr>
      </w:pPr>
      <w:r>
        <w:rPr>
          <w:rFonts w:hint="eastAsia"/>
          <w:sz w:val="24"/>
          <w:highlight w:val="none"/>
          <w:lang w:eastAsia="zh-CN"/>
        </w:rPr>
        <w:t>奉节县顺全加油站位于重庆市奉节县新民镇观音庵社区6组，该加油站前身为农技站，于1997年建成营运，2017年对加油站进行改扩建，主要从事92#、95#汽油和0#柴油的零售经营。占地面积666.9m</w:t>
      </w:r>
      <w:r>
        <w:rPr>
          <w:rFonts w:hint="eastAsia"/>
          <w:sz w:val="24"/>
          <w:highlight w:val="none"/>
          <w:vertAlign w:val="superscript"/>
          <w:lang w:eastAsia="zh-CN"/>
        </w:rPr>
        <w:t>2</w:t>
      </w:r>
      <w:r>
        <w:rPr>
          <w:rFonts w:hint="eastAsia"/>
          <w:sz w:val="24"/>
          <w:highlight w:val="none"/>
          <w:lang w:eastAsia="zh-CN"/>
        </w:rPr>
        <w:t>，建筑面积115.4m</w:t>
      </w:r>
      <w:r>
        <w:rPr>
          <w:rFonts w:hint="eastAsia"/>
          <w:sz w:val="24"/>
          <w:highlight w:val="none"/>
          <w:vertAlign w:val="superscript"/>
          <w:lang w:eastAsia="zh-CN"/>
        </w:rPr>
        <w:t>2</w:t>
      </w:r>
      <w:r>
        <w:rPr>
          <w:rFonts w:hint="eastAsia"/>
          <w:sz w:val="24"/>
          <w:highlight w:val="none"/>
          <w:lang w:eastAsia="zh-CN"/>
        </w:rPr>
        <w:t>，主要由综合站房、加油岛、储油罐区、进出道路、罩棚和消防等组成，主要进行成品油（汽油、柴油）的销售。根据《汽车加油加气站设计与施工规范》(GB50156-2012)（2014年局部修订版）加油站等级划分，本站为三级加油站，项目油罐总容积为总罐容为75m</w:t>
      </w:r>
      <w:r>
        <w:rPr>
          <w:rFonts w:hint="eastAsia"/>
          <w:sz w:val="24"/>
          <w:highlight w:val="none"/>
          <w:vertAlign w:val="superscript"/>
          <w:lang w:eastAsia="zh-CN"/>
        </w:rPr>
        <w:t>3</w:t>
      </w:r>
      <w:r>
        <w:rPr>
          <w:rFonts w:hint="eastAsia"/>
          <w:sz w:val="24"/>
          <w:highlight w:val="none"/>
          <w:lang w:eastAsia="zh-CN"/>
        </w:rPr>
        <w:t>。加油站设储油罐3个，其中：30m</w:t>
      </w:r>
      <w:r>
        <w:rPr>
          <w:rFonts w:hint="eastAsia"/>
          <w:sz w:val="24"/>
          <w:highlight w:val="none"/>
          <w:vertAlign w:val="superscript"/>
          <w:lang w:eastAsia="zh-CN"/>
        </w:rPr>
        <w:t>3</w:t>
      </w:r>
      <w:r>
        <w:rPr>
          <w:rFonts w:hint="eastAsia"/>
          <w:sz w:val="24"/>
          <w:highlight w:val="none"/>
          <w:lang w:eastAsia="zh-CN"/>
        </w:rPr>
        <w:t xml:space="preserve"> 92#汽油储罐1个、30m</w:t>
      </w:r>
      <w:r>
        <w:rPr>
          <w:rFonts w:hint="eastAsia"/>
          <w:sz w:val="24"/>
          <w:highlight w:val="none"/>
          <w:vertAlign w:val="superscript"/>
          <w:lang w:eastAsia="zh-CN"/>
        </w:rPr>
        <w:t>3</w:t>
      </w:r>
      <w:r>
        <w:rPr>
          <w:rFonts w:hint="eastAsia"/>
          <w:sz w:val="24"/>
          <w:highlight w:val="none"/>
          <w:lang w:eastAsia="zh-CN"/>
        </w:rPr>
        <w:t xml:space="preserve"> 95#汽油储罐1个、30m</w:t>
      </w:r>
      <w:r>
        <w:rPr>
          <w:rFonts w:hint="eastAsia"/>
          <w:sz w:val="24"/>
          <w:highlight w:val="none"/>
          <w:vertAlign w:val="superscript"/>
          <w:lang w:eastAsia="zh-CN"/>
        </w:rPr>
        <w:t>3</w:t>
      </w:r>
      <w:r>
        <w:rPr>
          <w:rFonts w:hint="eastAsia"/>
          <w:sz w:val="24"/>
          <w:highlight w:val="none"/>
          <w:lang w:eastAsia="zh-CN"/>
        </w:rPr>
        <w:t>柴油储罐1个。</w:t>
      </w:r>
      <w:r>
        <w:rPr>
          <w:rFonts w:hint="eastAsia"/>
          <w:sz w:val="24"/>
          <w:highlight w:val="none"/>
          <w:lang w:val="en-US" w:eastAsia="zh-CN"/>
        </w:rPr>
        <w:t>总投资300万元，其中环保投资13万元</w:t>
      </w:r>
      <w:r>
        <w:rPr>
          <w:rFonts w:hint="eastAsia" w:hAnsi="宋体"/>
          <w:sz w:val="24"/>
          <w:szCs w:val="24"/>
        </w:rPr>
        <w:t>。</w:t>
      </w:r>
    </w:p>
    <w:p>
      <w:pPr>
        <w:spacing w:line="540" w:lineRule="exact"/>
        <w:ind w:firstLine="480" w:firstLineChars="200"/>
        <w:rPr>
          <w:color w:val="0000FF"/>
          <w:sz w:val="24"/>
          <w:szCs w:val="24"/>
        </w:rPr>
      </w:pPr>
      <w:r>
        <w:rPr>
          <w:color w:val="000000"/>
          <w:sz w:val="24"/>
          <w:szCs w:val="24"/>
        </w:rPr>
        <w:t>20</w:t>
      </w:r>
      <w:r>
        <w:rPr>
          <w:rFonts w:hint="eastAsia"/>
          <w:color w:val="000000"/>
          <w:sz w:val="24"/>
          <w:szCs w:val="24"/>
          <w:lang w:val="en-US" w:eastAsia="zh-CN"/>
        </w:rPr>
        <w:t>17</w:t>
      </w:r>
      <w:r>
        <w:rPr>
          <w:color w:val="000000"/>
          <w:sz w:val="24"/>
          <w:szCs w:val="24"/>
        </w:rPr>
        <w:t>年</w:t>
      </w:r>
      <w:r>
        <w:rPr>
          <w:rFonts w:hint="eastAsia"/>
          <w:color w:val="000000"/>
          <w:sz w:val="24"/>
          <w:szCs w:val="24"/>
          <w:lang w:val="en-US" w:eastAsia="zh-CN"/>
        </w:rPr>
        <w:t>8</w:t>
      </w:r>
      <w:r>
        <w:rPr>
          <w:color w:val="000000"/>
          <w:sz w:val="24"/>
          <w:szCs w:val="24"/>
        </w:rPr>
        <w:t>月</w:t>
      </w:r>
      <w:r>
        <w:rPr>
          <w:rFonts w:hint="eastAsia"/>
          <w:color w:val="000000"/>
          <w:sz w:val="24"/>
          <w:szCs w:val="24"/>
          <w:lang w:eastAsia="zh-CN"/>
        </w:rPr>
        <w:t>，奉节县顺全加油站</w:t>
      </w:r>
      <w:r>
        <w:rPr>
          <w:rFonts w:hint="eastAsia"/>
          <w:color w:val="000000"/>
          <w:sz w:val="24"/>
          <w:szCs w:val="24"/>
        </w:rPr>
        <w:t>委托</w:t>
      </w:r>
      <w:r>
        <w:rPr>
          <w:rFonts w:hint="eastAsia"/>
          <w:color w:val="000000"/>
          <w:sz w:val="24"/>
          <w:szCs w:val="24"/>
          <w:lang w:eastAsia="zh-CN"/>
        </w:rPr>
        <w:t>重庆华地工程勘察设计院</w:t>
      </w:r>
      <w:r>
        <w:rPr>
          <w:rFonts w:hint="eastAsia"/>
          <w:color w:val="000000"/>
          <w:sz w:val="24"/>
          <w:szCs w:val="24"/>
        </w:rPr>
        <w:t>对本项目进行环境影响评价；</w:t>
      </w:r>
      <w:r>
        <w:rPr>
          <w:color w:val="000000"/>
          <w:sz w:val="24"/>
          <w:szCs w:val="24"/>
        </w:rPr>
        <w:t>20</w:t>
      </w:r>
      <w:r>
        <w:rPr>
          <w:rFonts w:hint="eastAsia"/>
          <w:color w:val="000000"/>
          <w:sz w:val="24"/>
          <w:szCs w:val="24"/>
          <w:lang w:val="en-US" w:eastAsia="zh-CN"/>
        </w:rPr>
        <w:t>17</w:t>
      </w:r>
      <w:r>
        <w:rPr>
          <w:color w:val="000000"/>
          <w:sz w:val="24"/>
          <w:szCs w:val="24"/>
        </w:rPr>
        <w:t>年</w:t>
      </w:r>
      <w:r>
        <w:rPr>
          <w:rFonts w:hint="eastAsia"/>
          <w:color w:val="000000"/>
          <w:sz w:val="24"/>
          <w:szCs w:val="24"/>
          <w:lang w:val="en-US" w:eastAsia="zh-CN"/>
        </w:rPr>
        <w:t>9</w:t>
      </w:r>
      <w:r>
        <w:rPr>
          <w:color w:val="000000"/>
          <w:sz w:val="24"/>
          <w:szCs w:val="24"/>
        </w:rPr>
        <w:t>月</w:t>
      </w:r>
      <w:r>
        <w:rPr>
          <w:rFonts w:hint="eastAsia"/>
          <w:color w:val="000000"/>
          <w:sz w:val="24"/>
          <w:szCs w:val="24"/>
          <w:lang w:val="en-US" w:eastAsia="zh-CN"/>
        </w:rPr>
        <w:t>7日</w:t>
      </w:r>
      <w:r>
        <w:rPr>
          <w:color w:val="000000"/>
          <w:sz w:val="24"/>
          <w:szCs w:val="24"/>
        </w:rPr>
        <w:t>，重庆市</w:t>
      </w:r>
      <w:r>
        <w:rPr>
          <w:rFonts w:hint="eastAsia"/>
          <w:color w:val="000000"/>
          <w:sz w:val="24"/>
          <w:szCs w:val="24"/>
          <w:lang w:eastAsia="zh-CN"/>
        </w:rPr>
        <w:t>奉节县生态环境局</w:t>
      </w:r>
      <w:r>
        <w:rPr>
          <w:color w:val="000000"/>
          <w:sz w:val="24"/>
          <w:szCs w:val="24"/>
        </w:rPr>
        <w:t>以</w:t>
      </w:r>
      <w:r>
        <w:rPr>
          <w:rFonts w:hint="eastAsia"/>
          <w:color w:val="000000"/>
          <w:sz w:val="24"/>
          <w:szCs w:val="24"/>
          <w:lang w:eastAsia="zh-CN"/>
        </w:rPr>
        <w:t>（渝（奉）环准[2017]041号）</w:t>
      </w:r>
      <w:r>
        <w:rPr>
          <w:color w:val="000000"/>
          <w:sz w:val="24"/>
          <w:szCs w:val="24"/>
        </w:rPr>
        <w:t>文批复了</w:t>
      </w:r>
      <w:r>
        <w:rPr>
          <w:rFonts w:hint="eastAsia"/>
          <w:color w:val="000000"/>
          <w:sz w:val="24"/>
          <w:szCs w:val="24"/>
          <w:lang w:eastAsia="zh-CN"/>
        </w:rPr>
        <w:t>奉节县顺全加油站改</w:t>
      </w:r>
      <w:r>
        <w:rPr>
          <w:rFonts w:hint="eastAsia"/>
          <w:sz w:val="24"/>
          <w:highlight w:val="none"/>
          <w:lang w:eastAsia="zh-CN"/>
        </w:rPr>
        <w:t>扩建项目环境影响报告表；20</w:t>
      </w:r>
      <w:r>
        <w:rPr>
          <w:rFonts w:hint="eastAsia"/>
          <w:sz w:val="24"/>
          <w:highlight w:val="none"/>
          <w:lang w:val="en-US" w:eastAsia="zh-CN"/>
        </w:rPr>
        <w:t>24</w:t>
      </w:r>
      <w:r>
        <w:rPr>
          <w:rFonts w:hint="eastAsia"/>
          <w:sz w:val="24"/>
          <w:highlight w:val="none"/>
          <w:lang w:eastAsia="zh-CN"/>
        </w:rPr>
        <w:t>年</w:t>
      </w:r>
      <w:r>
        <w:rPr>
          <w:rFonts w:hint="eastAsia"/>
          <w:sz w:val="24"/>
          <w:highlight w:val="none"/>
          <w:lang w:val="en-US" w:eastAsia="zh-CN"/>
        </w:rPr>
        <w:t>1</w:t>
      </w:r>
      <w:r>
        <w:rPr>
          <w:rFonts w:hint="eastAsia"/>
          <w:sz w:val="24"/>
          <w:highlight w:val="none"/>
          <w:lang w:eastAsia="zh-CN"/>
        </w:rPr>
        <w:t>月奉节县顺全加油站改扩建项目全部建设完成并投入运营。</w:t>
      </w:r>
    </w:p>
    <w:p>
      <w:pPr>
        <w:spacing w:line="540" w:lineRule="exact"/>
        <w:ind w:firstLine="480" w:firstLineChars="200"/>
        <w:rPr>
          <w:rFonts w:hint="eastAsia"/>
          <w:color w:val="000000"/>
          <w:sz w:val="24"/>
          <w:szCs w:val="24"/>
          <w:lang w:eastAsia="zh-CN"/>
        </w:rPr>
      </w:pPr>
      <w:r>
        <w:rPr>
          <w:color w:val="000000"/>
          <w:sz w:val="24"/>
          <w:szCs w:val="24"/>
        </w:rPr>
        <w:t>根据</w:t>
      </w:r>
      <w:r>
        <w:rPr>
          <w:rFonts w:hint="eastAsia"/>
          <w:color w:val="000000"/>
          <w:sz w:val="24"/>
          <w:szCs w:val="24"/>
        </w:rPr>
        <w:t>中华人民共和国国务院令第682</w:t>
      </w:r>
      <w:r>
        <w:rPr>
          <w:color w:val="000000"/>
          <w:sz w:val="24"/>
          <w:szCs w:val="24"/>
        </w:rPr>
        <w:t>号《建设项目</w:t>
      </w:r>
      <w:r>
        <w:rPr>
          <w:rFonts w:hint="eastAsia"/>
          <w:color w:val="000000"/>
          <w:sz w:val="24"/>
          <w:szCs w:val="24"/>
        </w:rPr>
        <w:t>环境保护管理条例</w:t>
      </w:r>
      <w:r>
        <w:rPr>
          <w:color w:val="000000"/>
          <w:sz w:val="24"/>
          <w:szCs w:val="24"/>
        </w:rPr>
        <w:t>》和</w:t>
      </w:r>
      <w:r>
        <w:rPr>
          <w:rFonts w:hint="eastAsia"/>
          <w:color w:val="000000"/>
          <w:sz w:val="24"/>
          <w:szCs w:val="24"/>
        </w:rPr>
        <w:t>渝</w:t>
      </w:r>
      <w:r>
        <w:rPr>
          <w:color w:val="000000"/>
          <w:sz w:val="24"/>
          <w:szCs w:val="24"/>
        </w:rPr>
        <w:t>环</w:t>
      </w:r>
      <w:r>
        <w:rPr>
          <w:rFonts w:hint="eastAsia"/>
          <w:color w:val="000000"/>
          <w:sz w:val="24"/>
          <w:szCs w:val="24"/>
        </w:rPr>
        <w:t>办</w:t>
      </w:r>
      <w:r>
        <w:rPr>
          <w:color w:val="000000"/>
          <w:sz w:val="24"/>
          <w:szCs w:val="24"/>
        </w:rPr>
        <w:t>[</w:t>
      </w:r>
      <w:r>
        <w:rPr>
          <w:rFonts w:hint="eastAsia"/>
          <w:color w:val="000000"/>
          <w:sz w:val="24"/>
          <w:szCs w:val="24"/>
        </w:rPr>
        <w:t>2017</w:t>
      </w:r>
      <w:r>
        <w:rPr>
          <w:color w:val="000000"/>
          <w:sz w:val="24"/>
          <w:szCs w:val="24"/>
        </w:rPr>
        <w:t>]</w:t>
      </w:r>
      <w:r>
        <w:rPr>
          <w:rFonts w:hint="eastAsia"/>
          <w:color w:val="000000"/>
          <w:sz w:val="24"/>
          <w:szCs w:val="24"/>
        </w:rPr>
        <w:t>404</w:t>
      </w:r>
      <w:r>
        <w:rPr>
          <w:color w:val="000000"/>
          <w:sz w:val="24"/>
          <w:szCs w:val="24"/>
        </w:rPr>
        <w:t>号文《</w:t>
      </w:r>
      <w:r>
        <w:rPr>
          <w:rFonts w:hint="eastAsia"/>
          <w:color w:val="000000"/>
          <w:sz w:val="24"/>
          <w:szCs w:val="24"/>
        </w:rPr>
        <w:t>重庆市环境保护局办公室关于不再受理建设项目竣工环境保护验收申请事项的通知</w:t>
      </w:r>
      <w:r>
        <w:rPr>
          <w:color w:val="000000"/>
          <w:sz w:val="24"/>
          <w:szCs w:val="24"/>
        </w:rPr>
        <w:t>》，</w:t>
      </w:r>
      <w:r>
        <w:rPr>
          <w:rFonts w:hint="eastAsia"/>
          <w:color w:val="000000"/>
          <w:sz w:val="24"/>
          <w:szCs w:val="24"/>
        </w:rPr>
        <w:t>“编制环境影响报告书、环境影响报告表的建设项目竣工后，建设单位应当按照国务院环境保护行政主管部门规定的标准和程序，对配套建设的环境保护设施进行验收，编制验收报告”。</w:t>
      </w:r>
      <w:r>
        <w:rPr>
          <w:rFonts w:hint="eastAsia"/>
          <w:color w:val="000000"/>
          <w:sz w:val="24"/>
          <w:szCs w:val="24"/>
          <w:lang w:eastAsia="zh-CN"/>
        </w:rPr>
        <w:t>奉节县顺全加油站</w:t>
      </w:r>
      <w:r>
        <w:rPr>
          <w:color w:val="000000"/>
          <w:sz w:val="24"/>
          <w:szCs w:val="24"/>
        </w:rPr>
        <w:t>开展</w:t>
      </w:r>
      <w:r>
        <w:rPr>
          <w:rFonts w:hint="eastAsia"/>
          <w:color w:val="000000"/>
          <w:sz w:val="24"/>
          <w:szCs w:val="24"/>
        </w:rPr>
        <w:t>了</w:t>
      </w:r>
      <w:r>
        <w:rPr>
          <w:rFonts w:hint="eastAsia"/>
          <w:color w:val="000000"/>
          <w:sz w:val="24"/>
          <w:szCs w:val="24"/>
          <w:lang w:eastAsia="zh-CN"/>
        </w:rPr>
        <w:t>奉节县顺全加油站改扩建项目</w:t>
      </w:r>
      <w:r>
        <w:rPr>
          <w:color w:val="000000"/>
          <w:sz w:val="24"/>
          <w:szCs w:val="24"/>
        </w:rPr>
        <w:t>环保设施竣工验收工作。20</w:t>
      </w:r>
      <w:r>
        <w:rPr>
          <w:rFonts w:hint="eastAsia"/>
          <w:color w:val="000000"/>
          <w:sz w:val="24"/>
          <w:szCs w:val="24"/>
          <w:lang w:val="en-US" w:eastAsia="zh-CN"/>
        </w:rPr>
        <w:t>24</w:t>
      </w:r>
      <w:r>
        <w:rPr>
          <w:color w:val="000000"/>
          <w:sz w:val="24"/>
          <w:szCs w:val="24"/>
        </w:rPr>
        <w:t>年</w:t>
      </w:r>
      <w:r>
        <w:rPr>
          <w:rFonts w:hint="eastAsia"/>
          <w:color w:val="000000"/>
          <w:sz w:val="24"/>
          <w:szCs w:val="24"/>
          <w:lang w:val="en-US" w:eastAsia="zh-CN"/>
        </w:rPr>
        <w:t>1</w:t>
      </w:r>
      <w:r>
        <w:rPr>
          <w:color w:val="000000"/>
          <w:sz w:val="24"/>
          <w:szCs w:val="24"/>
        </w:rPr>
        <w:t>月经现场踏勘、查阅资料后，编制了《</w:t>
      </w:r>
      <w:r>
        <w:rPr>
          <w:rFonts w:hint="eastAsia"/>
          <w:color w:val="000000"/>
          <w:sz w:val="24"/>
          <w:szCs w:val="24"/>
          <w:lang w:eastAsia="zh-CN"/>
        </w:rPr>
        <w:t>奉节县顺全加油站改扩建项目竣工环境保护验收监测方案》，奉节县顺全加油站委托重庆绿创环境检测技术有限公司于20</w:t>
      </w:r>
      <w:r>
        <w:rPr>
          <w:rFonts w:hint="eastAsia"/>
          <w:color w:val="000000"/>
          <w:sz w:val="24"/>
          <w:szCs w:val="24"/>
          <w:lang w:val="en-US" w:eastAsia="zh-CN"/>
        </w:rPr>
        <w:t>24</w:t>
      </w:r>
      <w:r>
        <w:rPr>
          <w:rFonts w:hint="eastAsia"/>
          <w:color w:val="000000"/>
          <w:sz w:val="24"/>
          <w:szCs w:val="24"/>
          <w:lang w:eastAsia="zh-CN"/>
        </w:rPr>
        <w:t>年</w:t>
      </w:r>
      <w:r>
        <w:rPr>
          <w:rFonts w:hint="eastAsia"/>
          <w:color w:val="000000"/>
          <w:sz w:val="24"/>
          <w:szCs w:val="24"/>
          <w:lang w:val="en-US" w:eastAsia="zh-CN"/>
        </w:rPr>
        <w:t>4</w:t>
      </w:r>
      <w:r>
        <w:rPr>
          <w:rFonts w:hint="eastAsia"/>
          <w:color w:val="000000"/>
          <w:sz w:val="24"/>
          <w:szCs w:val="24"/>
          <w:lang w:eastAsia="zh-CN"/>
        </w:rPr>
        <w:t>月</w:t>
      </w:r>
      <w:r>
        <w:rPr>
          <w:rFonts w:hint="eastAsia"/>
          <w:color w:val="000000"/>
          <w:sz w:val="24"/>
          <w:szCs w:val="24"/>
          <w:lang w:val="en-US" w:eastAsia="zh-CN"/>
        </w:rPr>
        <w:t>12</w:t>
      </w:r>
      <w:r>
        <w:rPr>
          <w:rFonts w:hint="eastAsia"/>
          <w:color w:val="000000"/>
          <w:sz w:val="24"/>
          <w:szCs w:val="24"/>
          <w:lang w:eastAsia="zh-CN"/>
        </w:rPr>
        <w:t>-</w:t>
      </w:r>
      <w:r>
        <w:rPr>
          <w:rFonts w:hint="eastAsia"/>
          <w:color w:val="000000"/>
          <w:sz w:val="24"/>
          <w:szCs w:val="24"/>
          <w:lang w:val="en-US" w:eastAsia="zh-CN"/>
        </w:rPr>
        <w:t>13</w:t>
      </w:r>
      <w:r>
        <w:rPr>
          <w:rFonts w:hint="eastAsia"/>
          <w:color w:val="000000"/>
          <w:sz w:val="24"/>
          <w:szCs w:val="24"/>
          <w:lang w:eastAsia="zh-CN"/>
        </w:rPr>
        <w:t>日对本项目实施了竣工环保验收的现场监测。根据验收监测结果以及现场环境管理检查结果，编制了《奉节县顺全加油站改扩建项目竣工环境保护验收监测报告》。</w:t>
      </w:r>
    </w:p>
    <w:p>
      <w:pPr>
        <w:spacing w:line="540" w:lineRule="exact"/>
        <w:ind w:firstLine="480" w:firstLineChars="200"/>
        <w:rPr>
          <w:color w:val="000000"/>
          <w:sz w:val="28"/>
          <w:szCs w:val="28"/>
        </w:rPr>
      </w:pPr>
      <w:r>
        <w:rPr>
          <w:rFonts w:hint="eastAsia"/>
          <w:color w:val="000000"/>
          <w:sz w:val="24"/>
          <w:szCs w:val="24"/>
          <w:lang w:eastAsia="zh-CN"/>
        </w:rPr>
        <w:t>该报告的编制得到了重庆市奉节县生态环境局的大力支持，也得到了重庆绿创环境检测技术有限公司的大力配合，在此，一并表示诚挚的谢意！</w:t>
      </w:r>
      <w:r>
        <w:rPr>
          <w:color w:val="000000"/>
          <w:sz w:val="24"/>
          <w:szCs w:val="24"/>
        </w:rPr>
        <w:br w:type="page"/>
      </w:r>
    </w:p>
    <w:p>
      <w:pPr>
        <w:pStyle w:val="63"/>
        <w:spacing w:beforeLines="50"/>
        <w:rPr>
          <w:rFonts w:cs="Times New Roman"/>
          <w:sz w:val="36"/>
        </w:rPr>
      </w:pPr>
      <w:bookmarkStart w:id="12" w:name="_Toc18402"/>
      <w:r>
        <w:rPr>
          <w:rFonts w:hint="eastAsia" w:cs="Times New Roman"/>
          <w:sz w:val="36"/>
        </w:rPr>
        <w:t>2验收依据</w:t>
      </w:r>
      <w:bookmarkEnd w:id="12"/>
    </w:p>
    <w:p>
      <w:pPr>
        <w:pStyle w:val="64"/>
        <w:rPr>
          <w:rFonts w:cs="Times New Roman"/>
          <w:sz w:val="32"/>
        </w:rPr>
      </w:pPr>
      <w:bookmarkStart w:id="13" w:name="_Toc14907"/>
      <w:r>
        <w:rPr>
          <w:rFonts w:hint="eastAsia" w:cs="Times New Roman"/>
          <w:sz w:val="32"/>
        </w:rPr>
        <w:t>2</w:t>
      </w:r>
      <w:r>
        <w:rPr>
          <w:rFonts w:cs="Times New Roman"/>
          <w:sz w:val="32"/>
        </w:rPr>
        <w:t>.1 环境保护有关法规、政策</w:t>
      </w:r>
      <w:bookmarkEnd w:id="13"/>
    </w:p>
    <w:p>
      <w:pPr>
        <w:spacing w:line="540" w:lineRule="exact"/>
        <w:ind w:firstLine="240" w:firstLineChars="1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（1）《中华人民共和国环境保护法》（2015年修订）；</w:t>
      </w:r>
    </w:p>
    <w:p>
      <w:pPr>
        <w:spacing w:line="540" w:lineRule="exact"/>
        <w:ind w:firstLine="240" w:firstLineChars="100"/>
        <w:rPr>
          <w:rFonts w:hint="eastAsia" w:ascii="Times New Roman" w:hAnsi="Times New Roman" w:eastAsia="宋体" w:cs="Times New Roman"/>
          <w:color w:val="000000"/>
          <w:sz w:val="24"/>
          <w:szCs w:val="24"/>
        </w:rPr>
      </w:pPr>
      <w:r>
        <w:rPr>
          <w:rFonts w:ascii="Times New Roman" w:hAnsi="Times New Roman" w:eastAsia="宋体" w:cs="Times New Roman"/>
          <w:color w:val="000000"/>
          <w:sz w:val="24"/>
          <w:szCs w:val="24"/>
        </w:rPr>
        <w:t>（2）《中华人民共和国环境影响评价法》（201</w:t>
      </w:r>
      <w:r>
        <w:rPr>
          <w:rFonts w:hint="eastAsia" w:ascii="Times New Roman" w:hAnsi="Times New Roman" w:eastAsia="宋体" w:cs="Times New Roman"/>
          <w:color w:val="000000"/>
          <w:sz w:val="24"/>
          <w:szCs w:val="24"/>
        </w:rPr>
        <w:t>8</w:t>
      </w:r>
      <w:r>
        <w:rPr>
          <w:rFonts w:ascii="Times New Roman" w:hAnsi="Times New Roman" w:eastAsia="宋体" w:cs="Times New Roman"/>
          <w:color w:val="000000"/>
          <w:sz w:val="24"/>
          <w:szCs w:val="24"/>
        </w:rPr>
        <w:t>年修订）；</w:t>
      </w:r>
    </w:p>
    <w:p>
      <w:pPr>
        <w:spacing w:line="540" w:lineRule="exact"/>
        <w:ind w:firstLine="240" w:firstLineChars="1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（3）《中华人民共和国大气污染防治法》（2016年1月1日实施）；</w:t>
      </w:r>
    </w:p>
    <w:p>
      <w:pPr>
        <w:spacing w:line="540" w:lineRule="exact"/>
        <w:ind w:firstLine="240" w:firstLineChars="100"/>
        <w:rPr>
          <w:rFonts w:hint="eastAsia" w:ascii="Times New Roman" w:hAnsi="Times New Roman" w:eastAsia="宋体" w:cs="Times New Roman"/>
          <w:color w:val="000000"/>
          <w:sz w:val="24"/>
          <w:szCs w:val="24"/>
        </w:rPr>
      </w:pPr>
      <w:r>
        <w:rPr>
          <w:rFonts w:ascii="Times New Roman" w:hAnsi="Times New Roman" w:eastAsia="宋体" w:cs="Times New Roman"/>
          <w:color w:val="000000"/>
          <w:sz w:val="24"/>
          <w:szCs w:val="24"/>
        </w:rPr>
        <w:t>（4）《中华人民共和国水污染防治法》（20</w:t>
      </w: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8年</w:t>
      </w: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月修订）；</w:t>
      </w:r>
    </w:p>
    <w:p>
      <w:pPr>
        <w:spacing w:line="540" w:lineRule="exact"/>
        <w:ind w:firstLine="240" w:firstLineChars="100"/>
        <w:rPr>
          <w:rFonts w:hint="eastAsia" w:ascii="Times New Roman" w:hAnsi="Times New Roman" w:eastAsia="宋体" w:cs="Times New Roman"/>
          <w:color w:val="000000"/>
          <w:sz w:val="24"/>
          <w:szCs w:val="24"/>
        </w:rPr>
      </w:pPr>
      <w:r>
        <w:rPr>
          <w:rFonts w:ascii="Times New Roman" w:hAnsi="Times New Roman" w:eastAsia="宋体" w:cs="Times New Roman"/>
          <w:color w:val="000000"/>
          <w:sz w:val="24"/>
          <w:szCs w:val="24"/>
        </w:rPr>
        <w:t>（5）《中华人民共和国固体废物污染环境防治法》（20</w:t>
      </w:r>
      <w:r>
        <w:rPr>
          <w:rFonts w:hint="eastAsia" w:ascii="Times New Roman" w:hAnsi="Times New Roman" w:eastAsia="宋体" w:cs="Times New Roman"/>
          <w:color w:val="000000"/>
          <w:sz w:val="24"/>
          <w:szCs w:val="24"/>
          <w:lang w:val="en-US" w:eastAsia="zh-CN"/>
        </w:rPr>
        <w:t>20</w:t>
      </w:r>
      <w:r>
        <w:rPr>
          <w:rFonts w:ascii="Times New Roman" w:hAnsi="Times New Roman" w:eastAsia="宋体" w:cs="Times New Roman"/>
          <w:color w:val="000000"/>
          <w:sz w:val="24"/>
          <w:szCs w:val="24"/>
        </w:rPr>
        <w:t>年</w:t>
      </w:r>
      <w:r>
        <w:rPr>
          <w:rFonts w:hint="eastAsia" w:ascii="Times New Roman" w:hAnsi="Times New Roman" w:eastAsia="宋体" w:cs="Times New Roman"/>
          <w:color w:val="000000"/>
          <w:sz w:val="24"/>
          <w:szCs w:val="24"/>
          <w:lang w:val="en-US" w:eastAsia="zh-CN"/>
        </w:rPr>
        <w:t>9</w:t>
      </w:r>
      <w:r>
        <w:rPr>
          <w:rFonts w:ascii="Times New Roman" w:hAnsi="Times New Roman" w:eastAsia="宋体" w:cs="Times New Roman"/>
          <w:color w:val="000000"/>
          <w:sz w:val="24"/>
          <w:szCs w:val="24"/>
        </w:rPr>
        <w:t>月</w:t>
      </w:r>
      <w:r>
        <w:rPr>
          <w:rFonts w:hint="eastAsia" w:ascii="Times New Roman" w:hAnsi="Times New Roman" w:eastAsia="宋体" w:cs="Times New Roman"/>
          <w:color w:val="000000"/>
          <w:sz w:val="24"/>
          <w:szCs w:val="24"/>
          <w:lang w:val="en-US" w:eastAsia="zh-CN"/>
        </w:rPr>
        <w:t>1</w:t>
      </w:r>
      <w:r>
        <w:rPr>
          <w:rFonts w:ascii="Times New Roman" w:hAnsi="Times New Roman" w:eastAsia="宋体" w:cs="Times New Roman"/>
          <w:color w:val="000000"/>
          <w:sz w:val="24"/>
          <w:szCs w:val="24"/>
        </w:rPr>
        <w:t>日</w:t>
      </w:r>
      <w:r>
        <w:rPr>
          <w:rFonts w:hint="eastAsia" w:ascii="Times New Roman" w:hAnsi="Times New Roman" w:eastAsia="宋体" w:cs="Times New Roman"/>
          <w:color w:val="000000"/>
          <w:sz w:val="24"/>
          <w:szCs w:val="24"/>
          <w:lang w:eastAsia="zh-CN"/>
        </w:rPr>
        <w:t>实施</w:t>
      </w:r>
      <w:r>
        <w:rPr>
          <w:rFonts w:ascii="Times New Roman" w:hAnsi="Times New Roman" w:eastAsia="宋体" w:cs="Times New Roman"/>
          <w:color w:val="000000"/>
          <w:sz w:val="24"/>
          <w:szCs w:val="24"/>
        </w:rPr>
        <w:t>）；</w:t>
      </w:r>
    </w:p>
    <w:p>
      <w:pPr>
        <w:spacing w:line="540" w:lineRule="exact"/>
        <w:ind w:firstLine="240" w:firstLineChars="100"/>
        <w:rPr>
          <w:rFonts w:hint="eastAsia"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rPr>
        <w:t>（6）《中华人民共和国噪声污染防治法》（</w:t>
      </w:r>
      <w:r>
        <w:rPr>
          <w:rFonts w:hint="eastAsia" w:ascii="Times New Roman" w:hAnsi="Times New Roman" w:eastAsia="宋体" w:cs="Times New Roman"/>
          <w:color w:val="000000"/>
          <w:sz w:val="24"/>
          <w:szCs w:val="24"/>
        </w:rPr>
        <w:t>20</w:t>
      </w:r>
      <w:r>
        <w:rPr>
          <w:rFonts w:hint="eastAsia" w:ascii="Times New Roman" w:hAnsi="Times New Roman" w:eastAsia="宋体" w:cs="Times New Roman"/>
          <w:color w:val="000000"/>
          <w:sz w:val="24"/>
          <w:szCs w:val="24"/>
          <w:lang w:val="en-US" w:eastAsia="zh-CN"/>
        </w:rPr>
        <w:t>22</w:t>
      </w:r>
      <w:r>
        <w:rPr>
          <w:rFonts w:ascii="Times New Roman" w:hAnsi="Times New Roman" w:eastAsia="宋体" w:cs="Times New Roman"/>
          <w:color w:val="000000"/>
          <w:sz w:val="24"/>
          <w:szCs w:val="24"/>
        </w:rPr>
        <w:t>年</w:t>
      </w:r>
      <w:r>
        <w:rPr>
          <w:rFonts w:hint="eastAsia" w:ascii="Times New Roman" w:hAnsi="Times New Roman" w:eastAsia="宋体" w:cs="Times New Roman"/>
          <w:color w:val="000000"/>
          <w:sz w:val="24"/>
          <w:szCs w:val="24"/>
          <w:lang w:eastAsia="zh-CN"/>
        </w:rPr>
        <w:t>）。</w:t>
      </w:r>
    </w:p>
    <w:p>
      <w:pPr>
        <w:pStyle w:val="64"/>
        <w:rPr>
          <w:szCs w:val="28"/>
        </w:rPr>
      </w:pPr>
      <w:bookmarkStart w:id="14" w:name="_Toc249168133"/>
      <w:bookmarkStart w:id="15" w:name="_Toc305059555"/>
      <w:bookmarkStart w:id="16" w:name="_Toc332553910"/>
      <w:bookmarkStart w:id="17" w:name="_Toc341293101"/>
      <w:bookmarkStart w:id="18" w:name="_Toc249351090"/>
      <w:bookmarkStart w:id="19" w:name="_Toc280605145"/>
      <w:bookmarkStart w:id="20" w:name="_Toc321042408"/>
      <w:bookmarkStart w:id="21" w:name="_Toc341278416"/>
      <w:bookmarkStart w:id="22" w:name="_Toc249179016"/>
      <w:bookmarkStart w:id="23" w:name="_Toc249179230"/>
      <w:bookmarkStart w:id="24" w:name="_Toc249167418"/>
      <w:bookmarkStart w:id="25" w:name="_Toc341431720"/>
      <w:bookmarkStart w:id="26" w:name="_Toc184529243"/>
      <w:bookmarkStart w:id="27" w:name="_Toc341357467"/>
      <w:bookmarkStart w:id="28" w:name="_Toc22334"/>
      <w:r>
        <w:rPr>
          <w:rFonts w:hint="eastAsia" w:cs="Times New Roman"/>
          <w:sz w:val="32"/>
        </w:rPr>
        <w:t>2</w:t>
      </w:r>
      <w:r>
        <w:rPr>
          <w:rFonts w:cs="Times New Roman"/>
          <w:sz w:val="32"/>
        </w:rPr>
        <w:t xml:space="preserve">.2 </w:t>
      </w:r>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hint="eastAsia" w:cs="Times New Roman"/>
          <w:sz w:val="32"/>
        </w:rPr>
        <w:t>建设项目竣工环境保护验收技术规范</w:t>
      </w:r>
      <w:bookmarkEnd w:id="28"/>
    </w:p>
    <w:p>
      <w:pPr>
        <w:spacing w:line="540" w:lineRule="exact"/>
        <w:ind w:firstLine="240" w:firstLineChars="10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（1）《建设项目环境保护管理条例》（国务院令第</w:t>
      </w:r>
      <w:r>
        <w:rPr>
          <w:rFonts w:hint="eastAsia" w:ascii="Times New Roman" w:hAnsi="Times New Roman" w:eastAsia="宋体" w:cs="Times New Roman"/>
          <w:color w:val="000000"/>
          <w:sz w:val="24"/>
          <w:szCs w:val="24"/>
          <w:lang w:val="en-US" w:eastAsia="zh-CN"/>
        </w:rPr>
        <w:t>682</w:t>
      </w:r>
      <w:r>
        <w:rPr>
          <w:rFonts w:hint="eastAsia" w:ascii="Times New Roman" w:hAnsi="Times New Roman" w:eastAsia="宋体" w:cs="Times New Roman"/>
          <w:color w:val="000000"/>
          <w:sz w:val="24"/>
          <w:szCs w:val="24"/>
          <w:lang w:eastAsia="zh-CN"/>
        </w:rPr>
        <w:t>号）；</w:t>
      </w:r>
    </w:p>
    <w:p>
      <w:pPr>
        <w:spacing w:line="540" w:lineRule="exact"/>
        <w:ind w:firstLine="240" w:firstLineChars="10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（2）《建设项目竣工环境保护验收暂行办法》（国环规环评〔2017〕4号）；</w:t>
      </w:r>
    </w:p>
    <w:p>
      <w:pPr>
        <w:spacing w:line="540" w:lineRule="exact"/>
        <w:ind w:firstLine="240" w:firstLineChars="10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（3）《建设项目环境影响评价分类管理名录》（2021年版）；</w:t>
      </w:r>
    </w:p>
    <w:p>
      <w:pPr>
        <w:spacing w:line="540" w:lineRule="exact"/>
        <w:ind w:firstLine="240" w:firstLineChars="10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（4）《突发环境事件应急预案管理暂行办法》环发[2010]113号；</w:t>
      </w:r>
    </w:p>
    <w:p>
      <w:pPr>
        <w:spacing w:line="540" w:lineRule="exact"/>
        <w:ind w:firstLine="240" w:firstLineChars="10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（5）《国务院关于印发水污染防治行动计划的通知》（国发[2015]17号）；</w:t>
      </w:r>
    </w:p>
    <w:p>
      <w:pPr>
        <w:spacing w:line="540" w:lineRule="exact"/>
        <w:ind w:firstLine="240" w:firstLineChars="10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（6） 《建设项目竣工环境保护验收技术指南 污染影响类》（生态环境部公告2018年 第9号）；</w:t>
      </w:r>
    </w:p>
    <w:p>
      <w:pPr>
        <w:spacing w:line="540" w:lineRule="exact"/>
        <w:ind w:firstLine="240" w:firstLineChars="10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（7）重庆市人民代表大会常务委员会公告[2010]第22号《重庆市环境保护条例》（修正）；</w:t>
      </w:r>
    </w:p>
    <w:p>
      <w:pPr>
        <w:spacing w:line="540" w:lineRule="exact"/>
        <w:ind w:firstLine="240" w:firstLineChars="10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（8）重庆市人民政府第270号《重庆市环境噪声污染防治办法》。</w:t>
      </w:r>
    </w:p>
    <w:p>
      <w:pPr>
        <w:pStyle w:val="64"/>
        <w:rPr>
          <w:rFonts w:cs="Times New Roman"/>
          <w:sz w:val="32"/>
        </w:rPr>
      </w:pPr>
      <w:bookmarkStart w:id="29" w:name="_Toc23550"/>
      <w:bookmarkStart w:id="30" w:name="_Toc341431721"/>
      <w:bookmarkStart w:id="31" w:name="_Toc341357468"/>
      <w:bookmarkStart w:id="32" w:name="_Toc321042409"/>
      <w:bookmarkStart w:id="33" w:name="_Toc341278417"/>
      <w:bookmarkStart w:id="34" w:name="_Toc332553911"/>
      <w:bookmarkStart w:id="35" w:name="_Toc305059556"/>
      <w:bookmarkStart w:id="36" w:name="_Toc341293102"/>
      <w:r>
        <w:rPr>
          <w:rFonts w:hint="eastAsia" w:cs="Times New Roman"/>
          <w:sz w:val="32"/>
        </w:rPr>
        <w:t>2</w:t>
      </w:r>
      <w:r>
        <w:rPr>
          <w:rFonts w:cs="Times New Roman"/>
          <w:sz w:val="32"/>
        </w:rPr>
        <w:t>.3建设项目</w:t>
      </w:r>
      <w:r>
        <w:rPr>
          <w:rFonts w:hint="eastAsia" w:cs="Times New Roman"/>
          <w:sz w:val="32"/>
        </w:rPr>
        <w:t>环境影响报告书（表）及审批部门审批决定</w:t>
      </w:r>
      <w:bookmarkEnd w:id="29"/>
    </w:p>
    <w:p>
      <w:pPr>
        <w:spacing w:line="540" w:lineRule="exact"/>
        <w:ind w:firstLine="240" w:firstLineChars="100"/>
        <w:rPr>
          <w:bCs/>
          <w:sz w:val="24"/>
          <w:szCs w:val="24"/>
        </w:rPr>
      </w:pPr>
      <w:r>
        <w:rPr>
          <w:color w:val="000000"/>
          <w:sz w:val="24"/>
          <w:szCs w:val="24"/>
        </w:rPr>
        <w:t>（</w:t>
      </w:r>
      <w:r>
        <w:rPr>
          <w:rFonts w:hint="eastAsia"/>
          <w:color w:val="000000"/>
          <w:sz w:val="24"/>
          <w:szCs w:val="24"/>
        </w:rPr>
        <w:t>1</w:t>
      </w:r>
      <w:r>
        <w:rPr>
          <w:color w:val="000000"/>
          <w:sz w:val="24"/>
          <w:szCs w:val="24"/>
        </w:rPr>
        <w:t>）</w:t>
      </w:r>
      <w:r>
        <w:rPr>
          <w:rFonts w:hint="eastAsia"/>
          <w:color w:val="000000"/>
          <w:sz w:val="24"/>
          <w:szCs w:val="24"/>
          <w:lang w:eastAsia="zh-CN"/>
        </w:rPr>
        <w:t>重庆华地工程勘察设计院</w:t>
      </w:r>
      <w:r>
        <w:rPr>
          <w:color w:val="000000"/>
          <w:sz w:val="24"/>
          <w:szCs w:val="24"/>
        </w:rPr>
        <w:t>《</w:t>
      </w:r>
      <w:r>
        <w:rPr>
          <w:rFonts w:hint="eastAsia"/>
          <w:color w:val="000000"/>
          <w:sz w:val="24"/>
          <w:szCs w:val="24"/>
          <w:lang w:eastAsia="zh-CN"/>
        </w:rPr>
        <w:t>奉节县顺全加油站改扩建项目</w:t>
      </w:r>
      <w:r>
        <w:rPr>
          <w:color w:val="000000"/>
          <w:sz w:val="24"/>
          <w:szCs w:val="24"/>
        </w:rPr>
        <w:t>环境影响报告</w:t>
      </w:r>
      <w:r>
        <w:rPr>
          <w:rFonts w:hint="eastAsia"/>
          <w:color w:val="000000"/>
          <w:sz w:val="24"/>
          <w:szCs w:val="24"/>
        </w:rPr>
        <w:t>表</w:t>
      </w:r>
      <w:r>
        <w:rPr>
          <w:color w:val="000000"/>
          <w:sz w:val="24"/>
          <w:szCs w:val="24"/>
        </w:rPr>
        <w:t>》（20</w:t>
      </w:r>
      <w:r>
        <w:rPr>
          <w:rFonts w:hint="eastAsia"/>
          <w:color w:val="000000"/>
          <w:sz w:val="24"/>
          <w:szCs w:val="24"/>
          <w:lang w:val="en-US" w:eastAsia="zh-CN"/>
        </w:rPr>
        <w:t>23</w:t>
      </w:r>
      <w:r>
        <w:rPr>
          <w:color w:val="000000"/>
          <w:sz w:val="24"/>
          <w:szCs w:val="24"/>
        </w:rPr>
        <w:t>.</w:t>
      </w:r>
      <w:r>
        <w:rPr>
          <w:rFonts w:hint="eastAsia"/>
          <w:color w:val="000000"/>
          <w:sz w:val="24"/>
          <w:szCs w:val="24"/>
          <w:lang w:val="en-US" w:eastAsia="zh-CN"/>
        </w:rPr>
        <w:t>9</w:t>
      </w:r>
      <w:r>
        <w:rPr>
          <w:color w:val="000000"/>
          <w:sz w:val="24"/>
          <w:szCs w:val="24"/>
        </w:rPr>
        <w:t>）；</w:t>
      </w:r>
    </w:p>
    <w:p>
      <w:pPr>
        <w:spacing w:line="540" w:lineRule="exact"/>
        <w:ind w:firstLine="240" w:firstLineChars="100"/>
        <w:rPr>
          <w:rFonts w:hint="eastAsia" w:eastAsia="宋体"/>
          <w:color w:val="000000"/>
          <w:sz w:val="24"/>
          <w:szCs w:val="24"/>
          <w:lang w:eastAsia="zh-CN"/>
        </w:rPr>
      </w:pPr>
      <w:r>
        <w:rPr>
          <w:color w:val="000000"/>
          <w:sz w:val="24"/>
          <w:szCs w:val="24"/>
        </w:rPr>
        <w:t>（</w:t>
      </w:r>
      <w:r>
        <w:rPr>
          <w:rFonts w:hint="eastAsia"/>
          <w:color w:val="000000"/>
          <w:sz w:val="24"/>
          <w:szCs w:val="24"/>
        </w:rPr>
        <w:t>2</w:t>
      </w:r>
      <w:r>
        <w:rPr>
          <w:color w:val="000000"/>
          <w:sz w:val="24"/>
          <w:szCs w:val="24"/>
        </w:rPr>
        <w:t>）重庆市</w:t>
      </w:r>
      <w:r>
        <w:rPr>
          <w:rFonts w:hint="eastAsia"/>
          <w:color w:val="000000"/>
          <w:sz w:val="24"/>
          <w:szCs w:val="24"/>
          <w:lang w:eastAsia="zh-CN"/>
        </w:rPr>
        <w:t>奉节县生态环境局（渝（奉）环准[2017]041号）</w:t>
      </w:r>
      <w:r>
        <w:rPr>
          <w:color w:val="000000"/>
          <w:sz w:val="24"/>
          <w:szCs w:val="24"/>
        </w:rPr>
        <w:t>《重庆市建设项目环境影响评价文件批准书》（20</w:t>
      </w:r>
      <w:r>
        <w:rPr>
          <w:rFonts w:hint="eastAsia"/>
          <w:color w:val="000000"/>
          <w:sz w:val="24"/>
          <w:szCs w:val="24"/>
          <w:lang w:val="en-US" w:eastAsia="zh-CN"/>
        </w:rPr>
        <w:t>17</w:t>
      </w:r>
      <w:r>
        <w:rPr>
          <w:color w:val="000000"/>
          <w:sz w:val="24"/>
          <w:szCs w:val="24"/>
        </w:rPr>
        <w:t>.</w:t>
      </w:r>
      <w:r>
        <w:rPr>
          <w:rFonts w:hint="eastAsia"/>
          <w:color w:val="000000"/>
          <w:sz w:val="24"/>
          <w:szCs w:val="24"/>
          <w:lang w:val="en-US" w:eastAsia="zh-CN"/>
        </w:rPr>
        <w:t>9</w:t>
      </w:r>
      <w:r>
        <w:rPr>
          <w:color w:val="000000"/>
          <w:sz w:val="24"/>
          <w:szCs w:val="24"/>
        </w:rPr>
        <w:t>）</w:t>
      </w:r>
      <w:r>
        <w:rPr>
          <w:rFonts w:hint="eastAsia"/>
          <w:color w:val="000000"/>
          <w:sz w:val="24"/>
          <w:szCs w:val="24"/>
          <w:lang w:eastAsia="zh-CN"/>
        </w:rPr>
        <w:t>。</w:t>
      </w:r>
    </w:p>
    <w:p>
      <w:pPr>
        <w:spacing w:line="540" w:lineRule="exact"/>
        <w:ind w:firstLine="280" w:firstLineChars="100"/>
        <w:rPr>
          <w:color w:val="000000"/>
          <w:sz w:val="28"/>
          <w:szCs w:val="28"/>
        </w:rPr>
      </w:pPr>
    </w:p>
    <w:p>
      <w:pPr>
        <w:widowControl/>
        <w:jc w:val="left"/>
        <w:rPr>
          <w:color w:val="000000"/>
          <w:sz w:val="28"/>
          <w:szCs w:val="28"/>
        </w:rPr>
      </w:pPr>
      <w:r>
        <w:rPr>
          <w:color w:val="000000"/>
          <w:sz w:val="28"/>
          <w:szCs w:val="28"/>
        </w:rPr>
        <w:br w:type="page"/>
      </w:r>
    </w:p>
    <w:bookmarkEnd w:id="30"/>
    <w:bookmarkEnd w:id="31"/>
    <w:bookmarkEnd w:id="32"/>
    <w:bookmarkEnd w:id="33"/>
    <w:bookmarkEnd w:id="34"/>
    <w:bookmarkEnd w:id="35"/>
    <w:bookmarkEnd w:id="36"/>
    <w:p>
      <w:pPr>
        <w:pStyle w:val="63"/>
        <w:spacing w:beforeLines="50"/>
        <w:rPr>
          <w:rFonts w:cs="Times New Roman"/>
          <w:sz w:val="36"/>
        </w:rPr>
      </w:pPr>
      <w:bookmarkStart w:id="37" w:name="_Toc341293104"/>
      <w:bookmarkStart w:id="38" w:name="_Toc305059558"/>
      <w:bookmarkStart w:id="39" w:name="_Toc341357470"/>
      <w:bookmarkStart w:id="40" w:name="_Toc341431723"/>
      <w:bookmarkStart w:id="41" w:name="_Toc341278419"/>
      <w:bookmarkStart w:id="42" w:name="_Toc332553913"/>
      <w:bookmarkStart w:id="43" w:name="_Toc321042411"/>
      <w:bookmarkStart w:id="44" w:name="_Toc21142"/>
      <w:r>
        <w:rPr>
          <w:rFonts w:hint="eastAsia" w:cs="Times New Roman"/>
          <w:sz w:val="36"/>
        </w:rPr>
        <w:t>3</w:t>
      </w:r>
      <w:bookmarkEnd w:id="37"/>
      <w:bookmarkEnd w:id="38"/>
      <w:bookmarkEnd w:id="39"/>
      <w:bookmarkEnd w:id="40"/>
      <w:bookmarkEnd w:id="41"/>
      <w:bookmarkEnd w:id="42"/>
      <w:bookmarkEnd w:id="43"/>
      <w:r>
        <w:rPr>
          <w:rFonts w:hint="eastAsia" w:cs="Times New Roman"/>
          <w:sz w:val="36"/>
        </w:rPr>
        <w:t>工程建设情况</w:t>
      </w:r>
      <w:bookmarkEnd w:id="44"/>
    </w:p>
    <w:p>
      <w:pPr>
        <w:pStyle w:val="64"/>
        <w:rPr>
          <w:rFonts w:cs="Times New Roman"/>
          <w:sz w:val="32"/>
        </w:rPr>
      </w:pPr>
      <w:bookmarkStart w:id="45" w:name="_Toc341357471"/>
      <w:bookmarkStart w:id="46" w:name="_Toc341431724"/>
      <w:bookmarkStart w:id="47" w:name="_Toc325099457"/>
      <w:bookmarkStart w:id="48" w:name="_Toc307902787"/>
      <w:bookmarkStart w:id="49" w:name="_Toc341293105"/>
      <w:bookmarkStart w:id="50" w:name="_Toc341278420"/>
      <w:bookmarkStart w:id="51" w:name="_Toc324514075"/>
      <w:bookmarkStart w:id="52" w:name="_Toc22456"/>
      <w:bookmarkStart w:id="53" w:name="_Toc332553914"/>
      <w:bookmarkStart w:id="54" w:name="_Toc305059559"/>
      <w:bookmarkStart w:id="55" w:name="_Toc321042412"/>
      <w:r>
        <w:rPr>
          <w:rFonts w:hint="eastAsia" w:cs="Times New Roman"/>
          <w:sz w:val="32"/>
        </w:rPr>
        <w:t>3</w:t>
      </w:r>
      <w:r>
        <w:rPr>
          <w:rFonts w:cs="Times New Roman"/>
          <w:sz w:val="32"/>
        </w:rPr>
        <w:t>.1</w:t>
      </w:r>
      <w:bookmarkEnd w:id="45"/>
      <w:bookmarkEnd w:id="46"/>
      <w:bookmarkEnd w:id="47"/>
      <w:bookmarkEnd w:id="48"/>
      <w:bookmarkEnd w:id="49"/>
      <w:bookmarkEnd w:id="50"/>
      <w:bookmarkEnd w:id="51"/>
      <w:r>
        <w:rPr>
          <w:rFonts w:hint="eastAsia" w:cs="Times New Roman"/>
          <w:sz w:val="32"/>
        </w:rPr>
        <w:t>地理位置及平面布置</w:t>
      </w:r>
      <w:bookmarkEnd w:id="52"/>
    </w:p>
    <w:p>
      <w:pPr>
        <w:spacing w:line="540" w:lineRule="exact"/>
        <w:ind w:firstLine="480" w:firstLineChars="200"/>
        <w:rPr>
          <w:rFonts w:hAnsi="宋体"/>
          <w:sz w:val="24"/>
          <w:szCs w:val="24"/>
        </w:rPr>
      </w:pPr>
      <w:r>
        <w:rPr>
          <w:rFonts w:hint="eastAsia" w:hAnsi="宋体"/>
          <w:sz w:val="24"/>
          <w:szCs w:val="24"/>
          <w:lang w:eastAsia="zh-CN"/>
        </w:rPr>
        <w:t>奉节县顺全加油站改扩建项目</w:t>
      </w:r>
      <w:r>
        <w:rPr>
          <w:rFonts w:hAnsi="宋体"/>
          <w:sz w:val="24"/>
          <w:szCs w:val="24"/>
        </w:rPr>
        <w:t>位于</w:t>
      </w:r>
      <w:r>
        <w:rPr>
          <w:rFonts w:hint="eastAsia" w:hAnsi="宋体"/>
          <w:sz w:val="24"/>
          <w:szCs w:val="24"/>
          <w:lang w:eastAsia="zh-CN"/>
        </w:rPr>
        <w:t>奉节县新民镇观音庵社区6组，与省道S402相邻</w:t>
      </w:r>
      <w:r>
        <w:rPr>
          <w:rFonts w:hint="eastAsia" w:hAnsi="宋体"/>
          <w:sz w:val="24"/>
          <w:szCs w:val="24"/>
        </w:rPr>
        <w:t>。省道S402为双向两车道，项目用地南北方向长约26.5m，东西方向长约25.3m。</w:t>
      </w:r>
      <w:r>
        <w:rPr>
          <w:rFonts w:hAnsi="宋体"/>
          <w:sz w:val="24"/>
          <w:szCs w:val="24"/>
        </w:rPr>
        <w:t>项目地理位置见</w:t>
      </w:r>
      <w:r>
        <w:rPr>
          <w:rFonts w:hint="eastAsia" w:hAnsi="宋体"/>
          <w:sz w:val="24"/>
          <w:szCs w:val="24"/>
        </w:rPr>
        <w:t>附图1。</w:t>
      </w:r>
    </w:p>
    <w:p>
      <w:pPr>
        <w:spacing w:line="540" w:lineRule="exact"/>
        <w:ind w:firstLine="480" w:firstLineChars="200"/>
        <w:rPr>
          <w:rFonts w:hint="eastAsia" w:hAnsi="宋体"/>
          <w:sz w:val="24"/>
          <w:szCs w:val="24"/>
        </w:rPr>
      </w:pPr>
      <w:r>
        <w:rPr>
          <w:rFonts w:hint="eastAsia" w:hAnsi="宋体"/>
          <w:sz w:val="24"/>
          <w:szCs w:val="24"/>
        </w:rPr>
        <w:t>项目主要由生产区、非生产区、辅助设施等部分组成。生产区即加油区和埋地油罐区，其中加油区位于场址的中间，主要由加油棚和加油岛组成，加油棚面积为56m</w:t>
      </w:r>
      <w:r>
        <w:rPr>
          <w:rFonts w:hint="eastAsia" w:hAnsi="宋体"/>
          <w:sz w:val="24"/>
          <w:szCs w:val="24"/>
          <w:vertAlign w:val="superscript"/>
        </w:rPr>
        <w:t>2</w:t>
      </w:r>
      <w:r>
        <w:rPr>
          <w:rFonts w:hint="eastAsia" w:hAnsi="宋体"/>
          <w:sz w:val="24"/>
          <w:szCs w:val="24"/>
        </w:rPr>
        <w:t>，设2个加油岛、2台加油机，每台加油机设2把枪；埋地油罐区位于加油站的东北侧，该区域内设有3个埋地油罐、卸油台、检查井等。非生产区即站房，布置在场地东南侧，满足站房4 m，距道路5.5 m的间距要求，便于油罐车卸油发生异常情况时可及时撤离。该站设出入口各1个，入口设于场地西南侧，出口设于场地西北侧；站内为2车道，便于车辆进出站。场地四周空地绿化，提高了绿地率。平面布置合理。</w:t>
      </w:r>
    </w:p>
    <w:p>
      <w:pPr>
        <w:spacing w:line="540" w:lineRule="exact"/>
        <w:ind w:firstLine="480" w:firstLineChars="200"/>
        <w:rPr>
          <w:rFonts w:hAnsi="宋体"/>
          <w:sz w:val="28"/>
          <w:szCs w:val="28"/>
        </w:rPr>
      </w:pPr>
      <w:r>
        <w:rPr>
          <w:rFonts w:hint="eastAsia" w:hAnsi="宋体"/>
          <w:sz w:val="24"/>
          <w:szCs w:val="24"/>
        </w:rPr>
        <w:t>加油站平面布置具有功能分区明确，工艺布置顺畅、紧凑合理，平面布置合理。厂区总平面图见附图2。</w:t>
      </w:r>
      <w:r>
        <w:rPr>
          <w:rFonts w:hAnsi="宋体"/>
          <w:sz w:val="28"/>
          <w:szCs w:val="28"/>
        </w:rPr>
        <w:tab/>
      </w:r>
    </w:p>
    <w:p>
      <w:pPr>
        <w:pStyle w:val="64"/>
        <w:rPr>
          <w:rFonts w:cs="Times New Roman"/>
          <w:sz w:val="32"/>
        </w:rPr>
      </w:pPr>
      <w:bookmarkStart w:id="56" w:name="_Toc26433"/>
      <w:r>
        <w:rPr>
          <w:rFonts w:hint="eastAsia" w:cs="Times New Roman"/>
          <w:sz w:val="32"/>
        </w:rPr>
        <w:t>3</w:t>
      </w:r>
      <w:r>
        <w:rPr>
          <w:rFonts w:cs="Times New Roman"/>
          <w:sz w:val="32"/>
        </w:rPr>
        <w:t>.</w:t>
      </w:r>
      <w:r>
        <w:rPr>
          <w:rFonts w:hint="eastAsia" w:cs="Times New Roman"/>
          <w:sz w:val="32"/>
        </w:rPr>
        <w:t>2建设内容</w:t>
      </w:r>
      <w:bookmarkEnd w:id="56"/>
    </w:p>
    <w:p>
      <w:pPr>
        <w:spacing w:line="540" w:lineRule="exact"/>
        <w:ind w:firstLine="480" w:firstLineChars="200"/>
        <w:rPr>
          <w:rFonts w:hAnsi="宋体"/>
          <w:sz w:val="24"/>
          <w:szCs w:val="24"/>
        </w:rPr>
      </w:pPr>
      <w:r>
        <w:rPr>
          <w:rFonts w:hint="eastAsia" w:hAnsi="宋体"/>
          <w:sz w:val="24"/>
          <w:szCs w:val="24"/>
        </w:rPr>
        <w:t>1、建设内容</w:t>
      </w:r>
    </w:p>
    <w:p>
      <w:pPr>
        <w:spacing w:line="540" w:lineRule="exact"/>
        <w:ind w:firstLine="480" w:firstLineChars="200"/>
        <w:rPr>
          <w:rFonts w:hAnsi="宋体"/>
          <w:sz w:val="24"/>
          <w:szCs w:val="24"/>
        </w:rPr>
      </w:pPr>
      <w:r>
        <w:rPr>
          <w:rFonts w:hint="eastAsia" w:hAnsi="宋体"/>
          <w:sz w:val="24"/>
          <w:szCs w:val="24"/>
          <w:lang w:eastAsia="zh-CN"/>
        </w:rPr>
        <w:t>奉节县顺全加油站改扩建项目</w:t>
      </w:r>
      <w:r>
        <w:rPr>
          <w:rFonts w:hint="eastAsia" w:hAnsi="宋体"/>
          <w:sz w:val="24"/>
          <w:szCs w:val="24"/>
        </w:rPr>
        <w:t>为</w:t>
      </w:r>
      <w:r>
        <w:rPr>
          <w:rFonts w:hint="eastAsia" w:hAnsi="宋体"/>
          <w:sz w:val="24"/>
          <w:szCs w:val="24"/>
          <w:lang w:eastAsia="zh-CN"/>
        </w:rPr>
        <w:t>改扩建</w:t>
      </w:r>
      <w:r>
        <w:rPr>
          <w:rFonts w:hAnsi="宋体"/>
          <w:sz w:val="24"/>
          <w:szCs w:val="24"/>
        </w:rPr>
        <w:t>项目</w:t>
      </w:r>
      <w:r>
        <w:rPr>
          <w:rFonts w:hint="eastAsia" w:hAnsi="宋体"/>
          <w:sz w:val="24"/>
          <w:szCs w:val="24"/>
        </w:rPr>
        <w:t>。</w:t>
      </w:r>
    </w:p>
    <w:p>
      <w:pPr>
        <w:spacing w:line="540" w:lineRule="exact"/>
        <w:ind w:firstLine="480" w:firstLineChars="200"/>
        <w:rPr>
          <w:rFonts w:hint="eastAsia" w:hAnsi="宋体"/>
          <w:sz w:val="24"/>
          <w:szCs w:val="24"/>
          <w:lang w:eastAsia="zh-CN"/>
        </w:rPr>
      </w:pPr>
      <w:r>
        <w:rPr>
          <w:rFonts w:hint="eastAsia" w:hAnsi="宋体"/>
          <w:sz w:val="24"/>
          <w:szCs w:val="24"/>
        </w:rPr>
        <w:t>项目占地面积666.9m</w:t>
      </w:r>
      <w:r>
        <w:rPr>
          <w:rFonts w:hint="eastAsia" w:hAnsi="宋体"/>
          <w:sz w:val="24"/>
          <w:szCs w:val="24"/>
          <w:vertAlign w:val="superscript"/>
        </w:rPr>
        <w:t>2</w:t>
      </w:r>
      <w:r>
        <w:rPr>
          <w:rFonts w:hint="eastAsia" w:hAnsi="宋体"/>
          <w:sz w:val="24"/>
          <w:szCs w:val="24"/>
        </w:rPr>
        <w:t>，建筑面积115.4m</w:t>
      </w:r>
      <w:r>
        <w:rPr>
          <w:rFonts w:hint="eastAsia" w:hAnsi="宋体"/>
          <w:sz w:val="24"/>
          <w:szCs w:val="24"/>
          <w:vertAlign w:val="superscript"/>
        </w:rPr>
        <w:t>2</w:t>
      </w:r>
      <w:r>
        <w:rPr>
          <w:rFonts w:hint="eastAsia" w:hAnsi="宋体"/>
          <w:sz w:val="24"/>
          <w:szCs w:val="24"/>
        </w:rPr>
        <w:t>，主要由综合站房、加油岛、储油罐区、进出道路、罩棚和消防等组成，主要进行成品油（汽油、柴油）的销售。根据《汽车加油加气站设计与施工规范》(GB50156-2012)（2014年局部修订版）加油站等级划分，本站为三级加油站，项目油罐总容积为总罐容为75m</w:t>
      </w:r>
      <w:r>
        <w:rPr>
          <w:rFonts w:hint="eastAsia" w:hAnsi="宋体"/>
          <w:sz w:val="24"/>
          <w:szCs w:val="24"/>
          <w:vertAlign w:val="superscript"/>
        </w:rPr>
        <w:t>3</w:t>
      </w:r>
      <w:r>
        <w:rPr>
          <w:rFonts w:hint="eastAsia" w:hAnsi="宋体"/>
          <w:sz w:val="24"/>
          <w:szCs w:val="24"/>
        </w:rPr>
        <w:t>。加油站设储油罐3个，其中：30m</w:t>
      </w:r>
      <w:r>
        <w:rPr>
          <w:rFonts w:hint="eastAsia" w:hAnsi="宋体"/>
          <w:sz w:val="24"/>
          <w:szCs w:val="24"/>
          <w:vertAlign w:val="superscript"/>
        </w:rPr>
        <w:t xml:space="preserve">3 </w:t>
      </w:r>
      <w:r>
        <w:rPr>
          <w:rFonts w:hint="eastAsia" w:hAnsi="宋体"/>
          <w:sz w:val="24"/>
          <w:szCs w:val="24"/>
        </w:rPr>
        <w:t>92#汽油储罐1个、30m</w:t>
      </w:r>
      <w:r>
        <w:rPr>
          <w:rFonts w:hint="eastAsia" w:hAnsi="宋体"/>
          <w:sz w:val="24"/>
          <w:szCs w:val="24"/>
          <w:vertAlign w:val="superscript"/>
        </w:rPr>
        <w:t>3</w:t>
      </w:r>
      <w:r>
        <w:rPr>
          <w:rFonts w:hint="eastAsia" w:hAnsi="宋体"/>
          <w:sz w:val="24"/>
          <w:szCs w:val="24"/>
        </w:rPr>
        <w:t xml:space="preserve"> 95#汽油储罐1个、30m</w:t>
      </w:r>
      <w:r>
        <w:rPr>
          <w:rFonts w:hint="eastAsia" w:hAnsi="宋体"/>
          <w:sz w:val="24"/>
          <w:szCs w:val="24"/>
          <w:vertAlign w:val="superscript"/>
        </w:rPr>
        <w:t>3</w:t>
      </w:r>
      <w:r>
        <w:rPr>
          <w:rFonts w:hint="eastAsia" w:hAnsi="宋体"/>
          <w:sz w:val="24"/>
          <w:szCs w:val="24"/>
        </w:rPr>
        <w:t>柴油储罐1个。项目基本组成见表3-1</w:t>
      </w:r>
      <w:r>
        <w:rPr>
          <w:rFonts w:hint="eastAsia" w:hAnsi="宋体"/>
          <w:sz w:val="24"/>
          <w:szCs w:val="24"/>
          <w:lang w:eastAsia="zh-CN"/>
        </w:rPr>
        <w:t>。</w:t>
      </w:r>
    </w:p>
    <w:p>
      <w:pPr>
        <w:spacing w:line="540" w:lineRule="exact"/>
        <w:jc w:val="center"/>
        <w:rPr>
          <w:rFonts w:hAnsi="宋体"/>
          <w:b/>
          <w:sz w:val="28"/>
          <w:szCs w:val="28"/>
        </w:rPr>
      </w:pPr>
      <w:r>
        <w:rPr>
          <w:rFonts w:hint="eastAsia" w:hAnsi="宋体"/>
          <w:b/>
          <w:sz w:val="24"/>
          <w:szCs w:val="24"/>
        </w:rPr>
        <w:t>表3-1  工程基本组成</w:t>
      </w:r>
    </w:p>
    <w:tbl>
      <w:tblPr>
        <w:tblStyle w:val="28"/>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1400"/>
        <w:gridCol w:w="4367"/>
        <w:gridCol w:w="2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059" w:type="dxa"/>
            <w:gridSpan w:val="2"/>
            <w:vAlign w:val="center"/>
          </w:tcPr>
          <w:p>
            <w:pPr>
              <w:jc w:val="center"/>
              <w:rPr>
                <w:rFonts w:hAnsi="宋体"/>
                <w:b/>
                <w:sz w:val="21"/>
                <w:szCs w:val="21"/>
              </w:rPr>
            </w:pPr>
            <w:r>
              <w:rPr>
                <w:rFonts w:hint="eastAsia" w:hAnsi="宋体"/>
                <w:b/>
                <w:sz w:val="21"/>
                <w:szCs w:val="21"/>
              </w:rPr>
              <w:t>项目组成</w:t>
            </w:r>
          </w:p>
        </w:tc>
        <w:tc>
          <w:tcPr>
            <w:tcW w:w="4367" w:type="dxa"/>
            <w:tcBorders>
              <w:right w:val="single" w:color="auto" w:sz="4" w:space="0"/>
            </w:tcBorders>
            <w:vAlign w:val="center"/>
          </w:tcPr>
          <w:p>
            <w:pPr>
              <w:jc w:val="center"/>
              <w:rPr>
                <w:rFonts w:hAnsi="宋体"/>
                <w:b/>
                <w:sz w:val="21"/>
                <w:szCs w:val="21"/>
              </w:rPr>
            </w:pPr>
            <w:r>
              <w:rPr>
                <w:rFonts w:hint="eastAsia" w:hAnsi="宋体"/>
                <w:b/>
                <w:sz w:val="21"/>
                <w:szCs w:val="21"/>
              </w:rPr>
              <w:t>设计建设规模及内容</w:t>
            </w:r>
          </w:p>
        </w:tc>
        <w:tc>
          <w:tcPr>
            <w:tcW w:w="2860" w:type="dxa"/>
            <w:tcBorders>
              <w:left w:val="single" w:color="auto" w:sz="4" w:space="0"/>
            </w:tcBorders>
            <w:vAlign w:val="center"/>
          </w:tcPr>
          <w:p>
            <w:pPr>
              <w:jc w:val="center"/>
              <w:rPr>
                <w:rFonts w:hAnsi="宋体"/>
                <w:b/>
                <w:sz w:val="21"/>
                <w:szCs w:val="21"/>
              </w:rPr>
            </w:pPr>
            <w:r>
              <w:rPr>
                <w:rFonts w:hint="eastAsia" w:hAnsi="宋体"/>
                <w:b/>
                <w:sz w:val="21"/>
                <w:szCs w:val="21"/>
              </w:rPr>
              <w:t>实际建设规模及内容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restart"/>
            <w:vAlign w:val="center"/>
          </w:tcPr>
          <w:p>
            <w:pPr>
              <w:pStyle w:val="24"/>
              <w:adjustRightInd w:val="0"/>
              <w:snapToGrid w:val="0"/>
              <w:spacing w:after="0"/>
              <w:ind w:left="0" w:leftChars="0"/>
              <w:jc w:val="center"/>
              <w:rPr>
                <w:rFonts w:hAnsi="宋体"/>
                <w:sz w:val="21"/>
                <w:szCs w:val="21"/>
              </w:rPr>
            </w:pPr>
            <w:r>
              <w:rPr>
                <w:rFonts w:hint="default" w:ascii="Times New Roman" w:hAnsi="Times New Roman" w:eastAsia="宋体" w:cs="Times New Roman"/>
                <w:bCs/>
                <w:color w:val="000000"/>
                <w:sz w:val="21"/>
                <w:szCs w:val="21"/>
              </w:rPr>
              <w:t>主体工程</w:t>
            </w:r>
          </w:p>
        </w:tc>
        <w:tc>
          <w:tcPr>
            <w:tcW w:w="1400" w:type="dxa"/>
            <w:vAlign w:val="center"/>
          </w:tcPr>
          <w:p>
            <w:pPr>
              <w:adjustRightInd w:val="0"/>
              <w:snapToGrid w:val="0"/>
              <w:jc w:val="center"/>
              <w:rPr>
                <w:rFonts w:hAnsi="宋体"/>
                <w:sz w:val="21"/>
                <w:szCs w:val="21"/>
              </w:rPr>
            </w:pPr>
            <w:r>
              <w:rPr>
                <w:rFonts w:hint="default" w:ascii="Times New Roman" w:hAnsi="Times New Roman" w:eastAsia="宋体" w:cs="Times New Roman"/>
                <w:color w:val="000000"/>
                <w:sz w:val="21"/>
                <w:szCs w:val="21"/>
              </w:rPr>
              <w:t>埋地油罐区</w:t>
            </w:r>
          </w:p>
        </w:tc>
        <w:tc>
          <w:tcPr>
            <w:tcW w:w="4367" w:type="dxa"/>
            <w:tcBorders>
              <w:right w:val="single" w:color="auto" w:sz="4" w:space="0"/>
            </w:tcBorders>
            <w:vAlign w:val="center"/>
          </w:tcPr>
          <w:p>
            <w:pPr>
              <w:pStyle w:val="24"/>
              <w:adjustRightInd w:val="0"/>
              <w:snapToGrid w:val="0"/>
              <w:spacing w:after="0"/>
              <w:ind w:left="0" w:leftChars="0"/>
              <w:rPr>
                <w:rFonts w:hAnsi="宋体"/>
                <w:sz w:val="21"/>
                <w:szCs w:val="21"/>
              </w:rPr>
            </w:pPr>
            <w:r>
              <w:rPr>
                <w:rFonts w:hint="default" w:ascii="Times New Roman" w:hAnsi="Times New Roman" w:eastAsia="宋体" w:cs="Times New Roman"/>
                <w:color w:val="000000"/>
                <w:sz w:val="21"/>
                <w:szCs w:val="21"/>
              </w:rPr>
              <w:t>地下直埋卧式钢制30m</w:t>
            </w:r>
            <w:r>
              <w:rPr>
                <w:rFonts w:hint="default" w:ascii="Times New Roman" w:hAnsi="Times New Roman" w:eastAsia="宋体" w:cs="Times New Roman"/>
                <w:color w:val="000000"/>
                <w:sz w:val="21"/>
                <w:szCs w:val="21"/>
                <w:vertAlign w:val="superscript"/>
              </w:rPr>
              <w:t>3</w:t>
            </w:r>
            <w:r>
              <w:rPr>
                <w:rFonts w:hint="default" w:ascii="Times New Roman" w:hAnsi="Times New Roman" w:eastAsia="宋体" w:cs="Times New Roman"/>
                <w:color w:val="000000"/>
                <w:sz w:val="21"/>
                <w:szCs w:val="21"/>
              </w:rPr>
              <w:t>汽油双层储油罐2个，30 m</w:t>
            </w:r>
            <w:r>
              <w:rPr>
                <w:rFonts w:hint="default" w:ascii="Times New Roman" w:hAnsi="Times New Roman" w:eastAsia="宋体" w:cs="Times New Roman"/>
                <w:color w:val="000000"/>
                <w:sz w:val="21"/>
                <w:szCs w:val="21"/>
                <w:vertAlign w:val="superscript"/>
              </w:rPr>
              <w:t>3</w:t>
            </w:r>
            <w:r>
              <w:rPr>
                <w:rFonts w:hint="default" w:ascii="Times New Roman" w:hAnsi="Times New Roman" w:eastAsia="宋体" w:cs="Times New Roman"/>
                <w:color w:val="000000"/>
                <w:sz w:val="21"/>
                <w:szCs w:val="21"/>
              </w:rPr>
              <w:t>柴油储油罐1个（折半容积为15m</w:t>
            </w:r>
            <w:r>
              <w:rPr>
                <w:rFonts w:hint="default" w:ascii="Times New Roman" w:hAnsi="Times New Roman" w:eastAsia="宋体" w:cs="Times New Roman"/>
                <w:color w:val="000000"/>
                <w:sz w:val="21"/>
                <w:szCs w:val="21"/>
                <w:vertAlign w:val="superscript"/>
              </w:rPr>
              <w:t>3</w:t>
            </w:r>
            <w:r>
              <w:rPr>
                <w:rFonts w:hint="default" w:ascii="Times New Roman" w:hAnsi="Times New Roman" w:eastAsia="宋体" w:cs="Times New Roman"/>
                <w:color w:val="000000"/>
                <w:sz w:val="21"/>
                <w:szCs w:val="21"/>
              </w:rPr>
              <w:t>）</w:t>
            </w:r>
          </w:p>
        </w:tc>
        <w:tc>
          <w:tcPr>
            <w:tcW w:w="2860" w:type="dxa"/>
            <w:tcBorders>
              <w:left w:val="single" w:color="auto" w:sz="4" w:space="0"/>
            </w:tcBorders>
            <w:vAlign w:val="center"/>
          </w:tcPr>
          <w:p>
            <w:pPr>
              <w:jc w:val="center"/>
              <w:rPr>
                <w:rFonts w:ascii="Times New Roman" w:hAnsi="Times New Roman" w:eastAsia="宋体" w:cs="TimesNewRomanPSMT"/>
                <w:bCs/>
                <w:snapToGrid w:val="0"/>
                <w:color w:val="auto"/>
                <w:kern w:val="0"/>
                <w:sz w:val="21"/>
                <w:szCs w:val="21"/>
                <w:lang w:val="en-US" w:eastAsia="zh-CN" w:bidi="ar-SA"/>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continue"/>
            <w:vAlign w:val="center"/>
          </w:tcPr>
          <w:p>
            <w:pPr>
              <w:pStyle w:val="24"/>
              <w:adjustRightInd w:val="0"/>
              <w:snapToGrid w:val="0"/>
              <w:spacing w:after="0"/>
              <w:ind w:left="0" w:leftChars="0"/>
              <w:rPr>
                <w:rFonts w:hAnsi="宋体"/>
                <w:sz w:val="21"/>
                <w:szCs w:val="21"/>
              </w:rPr>
            </w:pPr>
          </w:p>
        </w:tc>
        <w:tc>
          <w:tcPr>
            <w:tcW w:w="1400" w:type="dxa"/>
            <w:vAlign w:val="center"/>
          </w:tcPr>
          <w:p>
            <w:pPr>
              <w:adjustRightInd w:val="0"/>
              <w:snapToGrid w:val="0"/>
              <w:jc w:val="center"/>
              <w:rPr>
                <w:rFonts w:hAnsi="宋体"/>
                <w:sz w:val="21"/>
                <w:szCs w:val="21"/>
              </w:rPr>
            </w:pPr>
            <w:r>
              <w:rPr>
                <w:rFonts w:hint="default" w:ascii="Times New Roman" w:hAnsi="Times New Roman" w:eastAsia="宋体" w:cs="Times New Roman"/>
                <w:color w:val="000000"/>
                <w:sz w:val="21"/>
                <w:szCs w:val="21"/>
              </w:rPr>
              <w:t>加油区</w:t>
            </w:r>
          </w:p>
        </w:tc>
        <w:tc>
          <w:tcPr>
            <w:tcW w:w="4367" w:type="dxa"/>
            <w:tcBorders>
              <w:right w:val="single" w:color="auto" w:sz="4" w:space="0"/>
            </w:tcBorders>
            <w:vAlign w:val="center"/>
          </w:tcPr>
          <w:p>
            <w:pPr>
              <w:pStyle w:val="24"/>
              <w:adjustRightInd w:val="0"/>
              <w:snapToGrid w:val="0"/>
              <w:spacing w:after="0"/>
              <w:ind w:left="0" w:leftChars="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轻钢网架加油罩棚，高度7.3m，面积56.0m</w:t>
            </w:r>
            <w:r>
              <w:rPr>
                <w:rFonts w:hint="default" w:ascii="Times New Roman" w:hAnsi="Times New Roman" w:eastAsia="宋体" w:cs="Times New Roman"/>
                <w:color w:val="000000"/>
                <w:sz w:val="21"/>
                <w:szCs w:val="21"/>
                <w:vertAlign w:val="superscript"/>
              </w:rPr>
              <w:t>2</w:t>
            </w:r>
            <w:r>
              <w:rPr>
                <w:rFonts w:hint="default" w:ascii="Times New Roman" w:hAnsi="Times New Roman" w:eastAsia="宋体" w:cs="Times New Roman"/>
                <w:color w:val="000000"/>
                <w:sz w:val="21"/>
                <w:szCs w:val="21"/>
              </w:rPr>
              <w:t>（投影面积112m</w:t>
            </w:r>
            <w:r>
              <w:rPr>
                <w:rFonts w:hint="default" w:ascii="Times New Roman" w:hAnsi="Times New Roman" w:eastAsia="宋体" w:cs="Times New Roman"/>
                <w:color w:val="000000"/>
                <w:sz w:val="21"/>
                <w:szCs w:val="21"/>
                <w:vertAlign w:val="superscript"/>
              </w:rPr>
              <w:t>2</w:t>
            </w:r>
            <w:r>
              <w:rPr>
                <w:rFonts w:hint="default" w:ascii="Times New Roman" w:hAnsi="Times New Roman" w:eastAsia="宋体" w:cs="Times New Roman"/>
                <w:color w:val="000000"/>
                <w:sz w:val="21"/>
                <w:szCs w:val="21"/>
              </w:rPr>
              <w:t>）；</w:t>
            </w:r>
          </w:p>
          <w:p>
            <w:pPr>
              <w:pStyle w:val="24"/>
              <w:adjustRightInd w:val="0"/>
              <w:snapToGrid w:val="0"/>
              <w:spacing w:after="0"/>
              <w:ind w:left="0" w:leftChars="0"/>
              <w:rPr>
                <w:rFonts w:hAnsi="宋体"/>
                <w:sz w:val="21"/>
                <w:szCs w:val="21"/>
              </w:rPr>
            </w:pPr>
            <w:r>
              <w:rPr>
                <w:rFonts w:hint="default" w:ascii="Times New Roman" w:hAnsi="Times New Roman" w:eastAsia="宋体" w:cs="Times New Roman"/>
                <w:color w:val="000000"/>
                <w:sz w:val="21"/>
                <w:szCs w:val="21"/>
              </w:rPr>
              <w:t>设自封式税控加油机，双枪加油机，共2台</w:t>
            </w:r>
          </w:p>
        </w:tc>
        <w:tc>
          <w:tcPr>
            <w:tcW w:w="2860" w:type="dxa"/>
            <w:tcBorders>
              <w:left w:val="single" w:color="auto" w:sz="4" w:space="0"/>
            </w:tcBorders>
            <w:vAlign w:val="center"/>
          </w:tcPr>
          <w:p>
            <w:pPr>
              <w:jc w:val="center"/>
              <w:rPr>
                <w:rFonts w:hAnsi="宋体"/>
                <w:sz w:val="21"/>
                <w:szCs w:val="21"/>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restart"/>
            <w:vAlign w:val="center"/>
          </w:tcPr>
          <w:p>
            <w:pPr>
              <w:pStyle w:val="24"/>
              <w:adjustRightInd w:val="0"/>
              <w:snapToGrid w:val="0"/>
              <w:spacing w:after="0"/>
              <w:ind w:left="0" w:leftChars="0"/>
              <w:jc w:val="center"/>
              <w:rPr>
                <w:rFonts w:hAnsi="宋体"/>
                <w:sz w:val="21"/>
                <w:szCs w:val="21"/>
              </w:rPr>
            </w:pPr>
            <w:r>
              <w:rPr>
                <w:rFonts w:hint="default" w:ascii="Times New Roman" w:hAnsi="Times New Roman" w:eastAsia="宋体" w:cs="Times New Roman"/>
                <w:bCs/>
                <w:color w:val="000000"/>
                <w:sz w:val="21"/>
                <w:szCs w:val="21"/>
              </w:rPr>
              <w:t>辅助工程</w:t>
            </w:r>
          </w:p>
        </w:tc>
        <w:tc>
          <w:tcPr>
            <w:tcW w:w="1400" w:type="dxa"/>
            <w:vAlign w:val="center"/>
          </w:tcPr>
          <w:p>
            <w:pPr>
              <w:adjustRightInd w:val="0"/>
              <w:snapToGrid w:val="0"/>
              <w:jc w:val="center"/>
              <w:rPr>
                <w:rFonts w:hAnsi="宋体"/>
                <w:sz w:val="21"/>
                <w:szCs w:val="21"/>
              </w:rPr>
            </w:pPr>
            <w:r>
              <w:rPr>
                <w:rFonts w:hint="default" w:ascii="Times New Roman" w:hAnsi="Times New Roman" w:eastAsia="宋体" w:cs="Times New Roman"/>
                <w:color w:val="000000"/>
                <w:sz w:val="21"/>
                <w:szCs w:val="21"/>
              </w:rPr>
              <w:t>站房</w:t>
            </w:r>
          </w:p>
        </w:tc>
        <w:tc>
          <w:tcPr>
            <w:tcW w:w="4367" w:type="dxa"/>
            <w:tcBorders>
              <w:right w:val="single" w:color="auto" w:sz="4" w:space="0"/>
            </w:tcBorders>
            <w:vAlign w:val="center"/>
          </w:tcPr>
          <w:p>
            <w:pPr>
              <w:pStyle w:val="24"/>
              <w:adjustRightInd w:val="0"/>
              <w:snapToGrid w:val="0"/>
              <w:spacing w:after="0"/>
              <w:ind w:left="0" w:leftChars="0"/>
              <w:rPr>
                <w:rFonts w:hAnsi="宋体"/>
                <w:sz w:val="21"/>
                <w:szCs w:val="21"/>
              </w:rPr>
            </w:pPr>
            <w:r>
              <w:rPr>
                <w:rFonts w:hint="default" w:ascii="Times New Roman" w:hAnsi="Times New Roman" w:eastAsia="宋体" w:cs="Times New Roman"/>
                <w:color w:val="000000"/>
                <w:sz w:val="21"/>
                <w:szCs w:val="21"/>
              </w:rPr>
              <w:t>2 F，高度7.5m，建筑面积59.4m</w:t>
            </w:r>
            <w:r>
              <w:rPr>
                <w:rFonts w:hint="default" w:ascii="Times New Roman" w:hAnsi="Times New Roman" w:eastAsia="宋体" w:cs="Times New Roman"/>
                <w:color w:val="000000"/>
                <w:sz w:val="21"/>
                <w:szCs w:val="21"/>
                <w:vertAlign w:val="superscript"/>
              </w:rPr>
              <w:t>2</w:t>
            </w:r>
          </w:p>
        </w:tc>
        <w:tc>
          <w:tcPr>
            <w:tcW w:w="2860" w:type="dxa"/>
            <w:tcBorders>
              <w:left w:val="single" w:color="auto" w:sz="4" w:space="0"/>
            </w:tcBorders>
            <w:vAlign w:val="center"/>
          </w:tcPr>
          <w:p>
            <w:pPr>
              <w:jc w:val="center"/>
              <w:rPr>
                <w:rFonts w:hAnsi="宋体"/>
                <w:sz w:val="21"/>
                <w:szCs w:val="21"/>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continue"/>
            <w:vAlign w:val="center"/>
          </w:tcPr>
          <w:p>
            <w:pPr>
              <w:pStyle w:val="24"/>
              <w:adjustRightInd w:val="0"/>
              <w:snapToGrid w:val="0"/>
              <w:spacing w:after="0"/>
              <w:ind w:left="0" w:leftChars="0"/>
              <w:jc w:val="center"/>
              <w:rPr>
                <w:rFonts w:hAnsi="宋体"/>
                <w:sz w:val="21"/>
                <w:szCs w:val="21"/>
              </w:rPr>
            </w:pPr>
          </w:p>
        </w:tc>
        <w:tc>
          <w:tcPr>
            <w:tcW w:w="1400" w:type="dxa"/>
            <w:vAlign w:val="center"/>
          </w:tcPr>
          <w:p>
            <w:pPr>
              <w:adjustRightInd w:val="0"/>
              <w:snapToGrid w:val="0"/>
              <w:jc w:val="center"/>
              <w:rPr>
                <w:rFonts w:hAnsi="宋体"/>
                <w:sz w:val="21"/>
                <w:szCs w:val="21"/>
              </w:rPr>
            </w:pPr>
            <w:r>
              <w:rPr>
                <w:rFonts w:hint="default" w:ascii="Times New Roman" w:hAnsi="Times New Roman" w:eastAsia="宋体" w:cs="Times New Roman"/>
                <w:color w:val="000000"/>
                <w:sz w:val="21"/>
                <w:szCs w:val="21"/>
              </w:rPr>
              <w:t>油气回收系统</w:t>
            </w:r>
          </w:p>
        </w:tc>
        <w:tc>
          <w:tcPr>
            <w:tcW w:w="4367" w:type="dxa"/>
            <w:tcBorders>
              <w:right w:val="single" w:color="auto" w:sz="4" w:space="0"/>
            </w:tcBorders>
            <w:vAlign w:val="center"/>
          </w:tcPr>
          <w:p>
            <w:pPr>
              <w:adjustRightInd w:val="0"/>
              <w:snapToGrid w:val="0"/>
              <w:rPr>
                <w:rFonts w:hAnsi="宋体"/>
                <w:sz w:val="21"/>
                <w:szCs w:val="21"/>
              </w:rPr>
            </w:pPr>
            <w:r>
              <w:rPr>
                <w:rFonts w:hint="default" w:ascii="Times New Roman" w:hAnsi="Times New Roman" w:eastAsia="宋体" w:cs="Times New Roman"/>
                <w:color w:val="000000"/>
                <w:sz w:val="21"/>
                <w:szCs w:val="21"/>
              </w:rPr>
              <w:t>设置了相应的卸油、加油油气回收设施</w:t>
            </w:r>
          </w:p>
        </w:tc>
        <w:tc>
          <w:tcPr>
            <w:tcW w:w="2860" w:type="dxa"/>
            <w:tcBorders>
              <w:left w:val="single" w:color="auto" w:sz="4" w:space="0"/>
            </w:tcBorders>
            <w:vAlign w:val="center"/>
          </w:tcPr>
          <w:p>
            <w:pPr>
              <w:jc w:val="center"/>
              <w:rPr>
                <w:rFonts w:hAnsi="宋体"/>
                <w:sz w:val="21"/>
                <w:szCs w:val="21"/>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continue"/>
            <w:vAlign w:val="center"/>
          </w:tcPr>
          <w:p>
            <w:pPr>
              <w:pStyle w:val="24"/>
              <w:adjustRightInd w:val="0"/>
              <w:snapToGrid w:val="0"/>
              <w:spacing w:after="0"/>
              <w:ind w:left="0" w:leftChars="0"/>
              <w:jc w:val="center"/>
              <w:rPr>
                <w:rFonts w:hAnsi="宋体"/>
                <w:sz w:val="21"/>
                <w:szCs w:val="21"/>
              </w:rPr>
            </w:pPr>
          </w:p>
        </w:tc>
        <w:tc>
          <w:tcPr>
            <w:tcW w:w="1400" w:type="dxa"/>
            <w:vAlign w:val="center"/>
          </w:tcPr>
          <w:p>
            <w:pPr>
              <w:adjustRightInd w:val="0"/>
              <w:snapToGrid w:val="0"/>
              <w:jc w:val="center"/>
              <w:rPr>
                <w:rFonts w:hAnsi="宋体"/>
                <w:sz w:val="21"/>
                <w:szCs w:val="21"/>
              </w:rPr>
            </w:pPr>
            <w:r>
              <w:rPr>
                <w:rFonts w:hint="default" w:ascii="Times New Roman" w:hAnsi="Times New Roman" w:eastAsia="宋体" w:cs="Times New Roman"/>
                <w:color w:val="000000"/>
                <w:sz w:val="21"/>
                <w:szCs w:val="21"/>
              </w:rPr>
              <w:t>油气通气管</w:t>
            </w:r>
          </w:p>
        </w:tc>
        <w:tc>
          <w:tcPr>
            <w:tcW w:w="4367" w:type="dxa"/>
            <w:tcBorders>
              <w:right w:val="single" w:color="auto" w:sz="4" w:space="0"/>
            </w:tcBorders>
            <w:vAlign w:val="center"/>
          </w:tcPr>
          <w:p>
            <w:pPr>
              <w:adjustRightInd w:val="0"/>
              <w:snapToGrid w:val="0"/>
              <w:rPr>
                <w:rFonts w:hAnsi="宋体"/>
                <w:sz w:val="21"/>
                <w:szCs w:val="21"/>
              </w:rPr>
            </w:pPr>
            <w:r>
              <w:rPr>
                <w:rFonts w:hint="default" w:ascii="Times New Roman" w:hAnsi="Times New Roman" w:eastAsia="宋体" w:cs="Times New Roman"/>
                <w:color w:val="000000"/>
                <w:sz w:val="21"/>
                <w:szCs w:val="21"/>
              </w:rPr>
              <w:t>3根，H=4.0 m，1根柴油通气管和2根汽油通气管</w:t>
            </w:r>
          </w:p>
        </w:tc>
        <w:tc>
          <w:tcPr>
            <w:tcW w:w="2860" w:type="dxa"/>
            <w:tcBorders>
              <w:left w:val="single" w:color="auto" w:sz="4" w:space="0"/>
            </w:tcBorders>
            <w:vAlign w:val="center"/>
          </w:tcPr>
          <w:p>
            <w:pPr>
              <w:jc w:val="center"/>
              <w:rPr>
                <w:rFonts w:hint="eastAsia" w:hAnsi="宋体" w:eastAsia="宋体"/>
                <w:sz w:val="21"/>
                <w:szCs w:val="21"/>
                <w:lang w:eastAsia="zh-CN"/>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continue"/>
            <w:vAlign w:val="center"/>
          </w:tcPr>
          <w:p>
            <w:pPr>
              <w:pStyle w:val="24"/>
              <w:adjustRightInd w:val="0"/>
              <w:snapToGrid w:val="0"/>
              <w:spacing w:after="0"/>
              <w:ind w:left="0" w:leftChars="0"/>
              <w:jc w:val="center"/>
              <w:rPr>
                <w:rFonts w:hAnsi="宋体"/>
                <w:sz w:val="21"/>
                <w:szCs w:val="21"/>
              </w:rPr>
            </w:pPr>
          </w:p>
        </w:tc>
        <w:tc>
          <w:tcPr>
            <w:tcW w:w="1400" w:type="dxa"/>
            <w:vAlign w:val="center"/>
          </w:tcPr>
          <w:p>
            <w:pPr>
              <w:adjustRightInd w:val="0"/>
              <w:snapToGrid w:val="0"/>
              <w:jc w:val="center"/>
              <w:rPr>
                <w:rFonts w:hAnsi="宋体"/>
                <w:sz w:val="21"/>
                <w:szCs w:val="21"/>
              </w:rPr>
            </w:pPr>
            <w:r>
              <w:rPr>
                <w:rFonts w:hint="default" w:ascii="Times New Roman" w:hAnsi="Times New Roman" w:eastAsia="宋体" w:cs="Times New Roman"/>
                <w:color w:val="000000"/>
                <w:sz w:val="21"/>
                <w:szCs w:val="21"/>
              </w:rPr>
              <w:t>防雷防静电</w:t>
            </w:r>
          </w:p>
        </w:tc>
        <w:tc>
          <w:tcPr>
            <w:tcW w:w="4367" w:type="dxa"/>
            <w:tcBorders>
              <w:right w:val="single" w:color="auto" w:sz="4" w:space="0"/>
            </w:tcBorders>
            <w:vAlign w:val="center"/>
          </w:tcPr>
          <w:p>
            <w:pPr>
              <w:adjustRightInd w:val="0"/>
              <w:snapToGrid w:val="0"/>
              <w:rPr>
                <w:rFonts w:hAnsi="宋体"/>
                <w:sz w:val="21"/>
                <w:szCs w:val="21"/>
              </w:rPr>
            </w:pPr>
            <w:r>
              <w:rPr>
                <w:rFonts w:hint="default" w:ascii="Times New Roman" w:hAnsi="Times New Roman" w:eastAsia="宋体" w:cs="Times New Roman"/>
                <w:color w:val="000000"/>
                <w:sz w:val="21"/>
                <w:szCs w:val="21"/>
              </w:rPr>
              <w:t>设置了相应的避雷带等防雷设施</w:t>
            </w:r>
          </w:p>
        </w:tc>
        <w:tc>
          <w:tcPr>
            <w:tcW w:w="2860" w:type="dxa"/>
            <w:tcBorders>
              <w:left w:val="single" w:color="auto" w:sz="4" w:space="0"/>
            </w:tcBorders>
            <w:vAlign w:val="center"/>
          </w:tcPr>
          <w:p>
            <w:pPr>
              <w:jc w:val="center"/>
              <w:rPr>
                <w:rFonts w:hAnsi="宋体"/>
                <w:sz w:val="21"/>
                <w:szCs w:val="21"/>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restart"/>
            <w:vAlign w:val="center"/>
          </w:tcPr>
          <w:p>
            <w:pPr>
              <w:pStyle w:val="24"/>
              <w:adjustRightInd w:val="0"/>
              <w:snapToGrid w:val="0"/>
              <w:spacing w:after="0"/>
              <w:ind w:left="0" w:leftChars="0"/>
              <w:jc w:val="center"/>
              <w:rPr>
                <w:rFonts w:hAnsi="宋体"/>
                <w:sz w:val="21"/>
                <w:szCs w:val="21"/>
              </w:rPr>
            </w:pPr>
            <w:r>
              <w:rPr>
                <w:rFonts w:hint="default" w:ascii="Times New Roman" w:hAnsi="Times New Roman" w:eastAsia="宋体" w:cs="Times New Roman"/>
                <w:bCs/>
                <w:color w:val="000000"/>
                <w:sz w:val="21"/>
                <w:szCs w:val="21"/>
              </w:rPr>
              <w:t>公用工程</w:t>
            </w:r>
          </w:p>
        </w:tc>
        <w:tc>
          <w:tcPr>
            <w:tcW w:w="1400" w:type="dxa"/>
            <w:vAlign w:val="center"/>
          </w:tcPr>
          <w:p>
            <w:pPr>
              <w:adjustRightInd w:val="0"/>
              <w:snapToGrid w:val="0"/>
              <w:jc w:val="center"/>
              <w:rPr>
                <w:rFonts w:hAnsi="宋体"/>
                <w:sz w:val="21"/>
                <w:szCs w:val="21"/>
              </w:rPr>
            </w:pPr>
            <w:r>
              <w:rPr>
                <w:rFonts w:hint="default" w:ascii="Times New Roman" w:hAnsi="Times New Roman" w:eastAsia="宋体" w:cs="Times New Roman"/>
                <w:color w:val="000000"/>
                <w:sz w:val="21"/>
                <w:szCs w:val="21"/>
              </w:rPr>
              <w:t>给水</w:t>
            </w:r>
          </w:p>
        </w:tc>
        <w:tc>
          <w:tcPr>
            <w:tcW w:w="4367" w:type="dxa"/>
            <w:tcBorders>
              <w:right w:val="single" w:color="auto" w:sz="4" w:space="0"/>
            </w:tcBorders>
            <w:vAlign w:val="center"/>
          </w:tcPr>
          <w:p>
            <w:pPr>
              <w:adjustRightInd w:val="0"/>
              <w:snapToGrid w:val="0"/>
              <w:rPr>
                <w:rFonts w:hint="eastAsia" w:ascii="Times New Roman" w:hAnsi="Times New Roman" w:eastAsia="宋体" w:cs="Times New Roman"/>
                <w:bCs w:val="0"/>
                <w:snapToGrid/>
                <w:color w:val="auto"/>
                <w:kern w:val="2"/>
                <w:sz w:val="21"/>
                <w:szCs w:val="21"/>
                <w:lang w:val="en-US" w:eastAsia="zh-CN" w:bidi="ar-SA"/>
              </w:rPr>
            </w:pPr>
            <w:r>
              <w:rPr>
                <w:rFonts w:hint="default" w:ascii="Times New Roman" w:hAnsi="Times New Roman" w:eastAsia="宋体" w:cs="Times New Roman"/>
                <w:color w:val="000000"/>
                <w:sz w:val="21"/>
                <w:szCs w:val="21"/>
              </w:rPr>
              <w:t>生活用水和消防用水由市政供水管网提供，年新鲜用水量为0.27703万m</w:t>
            </w:r>
            <w:r>
              <w:rPr>
                <w:rFonts w:hint="default" w:ascii="Times New Roman" w:hAnsi="Times New Roman" w:eastAsia="宋体" w:cs="Times New Roman"/>
                <w:color w:val="000000"/>
                <w:sz w:val="21"/>
                <w:szCs w:val="21"/>
                <w:vertAlign w:val="superscript"/>
              </w:rPr>
              <w:t>3</w:t>
            </w:r>
            <w:r>
              <w:rPr>
                <w:rFonts w:hint="default" w:ascii="Times New Roman" w:hAnsi="Times New Roman" w:eastAsia="宋体" w:cs="Times New Roman"/>
                <w:color w:val="000000"/>
                <w:sz w:val="21"/>
                <w:szCs w:val="21"/>
              </w:rPr>
              <w:t>/a</w:t>
            </w:r>
          </w:p>
        </w:tc>
        <w:tc>
          <w:tcPr>
            <w:tcW w:w="2860" w:type="dxa"/>
            <w:tcBorders>
              <w:left w:val="single" w:color="auto" w:sz="4" w:space="0"/>
            </w:tcBorders>
            <w:vAlign w:val="center"/>
          </w:tcPr>
          <w:p>
            <w:pPr>
              <w:jc w:val="center"/>
              <w:rPr>
                <w:rFonts w:hint="eastAsia" w:ascii="Times New Roman" w:hAnsi="Times New Roman" w:eastAsia="宋体" w:cs="Times New Roman"/>
                <w:bCs w:val="0"/>
                <w:snapToGrid/>
                <w:color w:val="auto"/>
                <w:kern w:val="2"/>
                <w:sz w:val="21"/>
                <w:szCs w:val="21"/>
                <w:lang w:val="en-US" w:eastAsia="zh-CN" w:bidi="ar-SA"/>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continue"/>
            <w:vAlign w:val="center"/>
          </w:tcPr>
          <w:p>
            <w:pPr>
              <w:pStyle w:val="24"/>
              <w:adjustRightInd w:val="0"/>
              <w:snapToGrid w:val="0"/>
              <w:spacing w:after="0"/>
              <w:ind w:left="0" w:leftChars="0"/>
              <w:jc w:val="center"/>
              <w:rPr>
                <w:rFonts w:hAnsi="宋体"/>
                <w:sz w:val="21"/>
                <w:szCs w:val="21"/>
              </w:rPr>
            </w:pPr>
          </w:p>
        </w:tc>
        <w:tc>
          <w:tcPr>
            <w:tcW w:w="1400" w:type="dxa"/>
            <w:vAlign w:val="center"/>
          </w:tcPr>
          <w:p>
            <w:pPr>
              <w:adjustRightInd w:val="0"/>
              <w:snapToGrid w:val="0"/>
              <w:jc w:val="center"/>
              <w:rPr>
                <w:rFonts w:hAnsi="宋体"/>
                <w:sz w:val="21"/>
                <w:szCs w:val="21"/>
              </w:rPr>
            </w:pPr>
            <w:r>
              <w:rPr>
                <w:rFonts w:hint="default" w:ascii="Times New Roman" w:hAnsi="Times New Roman" w:eastAsia="宋体" w:cs="Times New Roman"/>
                <w:color w:val="000000"/>
                <w:sz w:val="21"/>
                <w:szCs w:val="21"/>
              </w:rPr>
              <w:t>排水</w:t>
            </w:r>
          </w:p>
        </w:tc>
        <w:tc>
          <w:tcPr>
            <w:tcW w:w="4367" w:type="dxa"/>
            <w:tcBorders>
              <w:right w:val="single" w:color="auto" w:sz="4" w:space="0"/>
            </w:tcBorders>
            <w:vAlign w:val="center"/>
          </w:tcPr>
          <w:p>
            <w:pPr>
              <w:adjustRightInd w:val="0"/>
              <w:snapToGrid w:val="0"/>
              <w:rPr>
                <w:rFonts w:hAnsi="宋体"/>
                <w:sz w:val="21"/>
                <w:szCs w:val="21"/>
              </w:rPr>
            </w:pPr>
            <w:r>
              <w:rPr>
                <w:rFonts w:hint="default" w:ascii="Times New Roman" w:hAnsi="Times New Roman" w:eastAsia="宋体" w:cs="Times New Roman"/>
                <w:color w:val="000000"/>
                <w:sz w:val="21"/>
                <w:szCs w:val="21"/>
              </w:rPr>
              <w:t>雨污分流制，含油废水与生活污水集中处理后排入市政污水管网后进入新民镇污水处理厂作进一步处理</w:t>
            </w:r>
          </w:p>
        </w:tc>
        <w:tc>
          <w:tcPr>
            <w:tcW w:w="2860" w:type="dxa"/>
            <w:tcBorders>
              <w:left w:val="single" w:color="auto" w:sz="4" w:space="0"/>
            </w:tcBorders>
            <w:vAlign w:val="center"/>
          </w:tcPr>
          <w:p>
            <w:pPr>
              <w:jc w:val="center"/>
              <w:rPr>
                <w:rFonts w:hAnsi="宋体"/>
                <w:sz w:val="21"/>
                <w:szCs w:val="21"/>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continue"/>
            <w:vAlign w:val="center"/>
          </w:tcPr>
          <w:p>
            <w:pPr>
              <w:pStyle w:val="24"/>
              <w:adjustRightInd w:val="0"/>
              <w:snapToGrid w:val="0"/>
              <w:spacing w:after="0"/>
              <w:ind w:left="0" w:leftChars="0"/>
              <w:jc w:val="center"/>
              <w:rPr>
                <w:rFonts w:hAnsi="宋体"/>
                <w:sz w:val="21"/>
                <w:szCs w:val="21"/>
              </w:rPr>
            </w:pPr>
          </w:p>
        </w:tc>
        <w:tc>
          <w:tcPr>
            <w:tcW w:w="1400" w:type="dxa"/>
            <w:vAlign w:val="center"/>
          </w:tcPr>
          <w:p>
            <w:pPr>
              <w:adjustRightInd w:val="0"/>
              <w:snapToGrid w:val="0"/>
              <w:jc w:val="center"/>
              <w:rPr>
                <w:rFonts w:hAnsi="宋体"/>
                <w:sz w:val="21"/>
                <w:szCs w:val="21"/>
              </w:rPr>
            </w:pPr>
            <w:r>
              <w:rPr>
                <w:rFonts w:hint="default" w:ascii="Times New Roman" w:hAnsi="Times New Roman" w:eastAsia="宋体" w:cs="Times New Roman"/>
                <w:color w:val="000000"/>
                <w:sz w:val="21"/>
                <w:szCs w:val="21"/>
              </w:rPr>
              <w:t>供电</w:t>
            </w:r>
          </w:p>
        </w:tc>
        <w:tc>
          <w:tcPr>
            <w:tcW w:w="4367" w:type="dxa"/>
            <w:tcBorders>
              <w:right w:val="single" w:color="auto" w:sz="4" w:space="0"/>
            </w:tcBorders>
            <w:vAlign w:val="center"/>
          </w:tcPr>
          <w:p>
            <w:pPr>
              <w:adjustRightInd w:val="0"/>
              <w:snapToGrid w:val="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依托电源用一回路高压10KV市电引入，年耗量为0.48万kw•h</w:t>
            </w:r>
          </w:p>
          <w:p>
            <w:pPr>
              <w:adjustRightInd w:val="0"/>
              <w:snapToGrid w:val="0"/>
              <w:rPr>
                <w:rFonts w:hAnsi="宋体"/>
                <w:sz w:val="21"/>
                <w:szCs w:val="21"/>
              </w:rPr>
            </w:pPr>
            <w:r>
              <w:rPr>
                <w:rFonts w:hint="default" w:ascii="Times New Roman" w:hAnsi="Times New Roman" w:eastAsia="宋体" w:cs="Times New Roman"/>
                <w:color w:val="000000"/>
                <w:sz w:val="21"/>
                <w:szCs w:val="21"/>
              </w:rPr>
              <w:t xml:space="preserve">项目设有发配电间，配电间设置总配电柜、电度表等； </w:t>
            </w:r>
          </w:p>
        </w:tc>
        <w:tc>
          <w:tcPr>
            <w:tcW w:w="2860" w:type="dxa"/>
            <w:tcBorders>
              <w:left w:val="single" w:color="auto" w:sz="4" w:space="0"/>
            </w:tcBorders>
            <w:vAlign w:val="center"/>
          </w:tcPr>
          <w:p>
            <w:pPr>
              <w:jc w:val="center"/>
              <w:rPr>
                <w:rFonts w:hAnsi="宋体"/>
                <w:sz w:val="21"/>
                <w:szCs w:val="21"/>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continue"/>
            <w:vAlign w:val="center"/>
          </w:tcPr>
          <w:p>
            <w:pPr>
              <w:pStyle w:val="24"/>
              <w:adjustRightInd w:val="0"/>
              <w:snapToGrid w:val="0"/>
              <w:spacing w:after="0"/>
              <w:ind w:left="0" w:leftChars="0"/>
              <w:jc w:val="center"/>
              <w:rPr>
                <w:rFonts w:hAnsi="宋体"/>
                <w:sz w:val="21"/>
                <w:szCs w:val="21"/>
              </w:rPr>
            </w:pPr>
          </w:p>
        </w:tc>
        <w:tc>
          <w:tcPr>
            <w:tcW w:w="1400" w:type="dxa"/>
            <w:vAlign w:val="center"/>
          </w:tcPr>
          <w:p>
            <w:pPr>
              <w:adjustRightInd w:val="0"/>
              <w:snapToGrid w:val="0"/>
              <w:jc w:val="center"/>
              <w:rPr>
                <w:rFonts w:hAnsi="宋体"/>
                <w:sz w:val="21"/>
                <w:szCs w:val="21"/>
              </w:rPr>
            </w:pPr>
            <w:r>
              <w:rPr>
                <w:rFonts w:hint="default" w:ascii="Times New Roman" w:hAnsi="Times New Roman" w:eastAsia="宋体" w:cs="Times New Roman"/>
                <w:color w:val="000000"/>
                <w:sz w:val="21"/>
                <w:szCs w:val="21"/>
              </w:rPr>
              <w:t>防雷与防静电</w:t>
            </w:r>
          </w:p>
        </w:tc>
        <w:tc>
          <w:tcPr>
            <w:tcW w:w="4367" w:type="dxa"/>
            <w:tcBorders>
              <w:right w:val="single" w:color="auto" w:sz="4" w:space="0"/>
            </w:tcBorders>
            <w:vAlign w:val="center"/>
          </w:tcPr>
          <w:p>
            <w:pPr>
              <w:adjustRightInd w:val="0"/>
              <w:snapToGrid w:val="0"/>
              <w:rPr>
                <w:rFonts w:hAnsi="宋体"/>
                <w:sz w:val="21"/>
                <w:szCs w:val="21"/>
              </w:rPr>
            </w:pPr>
            <w:r>
              <w:rPr>
                <w:rFonts w:hint="default" w:ascii="Times New Roman" w:hAnsi="Times New Roman" w:eastAsia="宋体" w:cs="Times New Roman"/>
                <w:color w:val="000000"/>
                <w:sz w:val="21"/>
                <w:szCs w:val="21"/>
              </w:rPr>
              <w:t>利用建筑物钢筋作为防雷装置；金属工艺设备及油罐车均作防静电接地</w:t>
            </w:r>
          </w:p>
        </w:tc>
        <w:tc>
          <w:tcPr>
            <w:tcW w:w="2860" w:type="dxa"/>
            <w:tcBorders>
              <w:left w:val="single" w:color="auto" w:sz="4" w:space="0"/>
            </w:tcBorders>
            <w:vAlign w:val="center"/>
          </w:tcPr>
          <w:p>
            <w:pPr>
              <w:jc w:val="center"/>
              <w:rPr>
                <w:rFonts w:hAnsi="宋体"/>
                <w:sz w:val="21"/>
                <w:szCs w:val="21"/>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continue"/>
            <w:vAlign w:val="center"/>
          </w:tcPr>
          <w:p>
            <w:pPr>
              <w:pStyle w:val="24"/>
              <w:adjustRightInd w:val="0"/>
              <w:snapToGrid w:val="0"/>
              <w:spacing w:after="0"/>
              <w:ind w:left="0" w:leftChars="0"/>
              <w:jc w:val="center"/>
              <w:rPr>
                <w:rFonts w:hAnsi="宋体"/>
                <w:sz w:val="21"/>
                <w:szCs w:val="21"/>
              </w:rPr>
            </w:pPr>
          </w:p>
        </w:tc>
        <w:tc>
          <w:tcPr>
            <w:tcW w:w="1400" w:type="dxa"/>
            <w:vAlign w:val="center"/>
          </w:tcPr>
          <w:p>
            <w:pPr>
              <w:adjustRightInd w:val="0"/>
              <w:snapToGrid w:val="0"/>
              <w:jc w:val="center"/>
              <w:rPr>
                <w:rFonts w:hAnsi="宋体"/>
                <w:sz w:val="21"/>
                <w:szCs w:val="21"/>
              </w:rPr>
            </w:pPr>
            <w:r>
              <w:rPr>
                <w:rFonts w:hint="default" w:ascii="Times New Roman" w:hAnsi="Times New Roman" w:eastAsia="宋体" w:cs="Times New Roman"/>
                <w:color w:val="000000"/>
                <w:sz w:val="21"/>
                <w:szCs w:val="21"/>
              </w:rPr>
              <w:t>消防</w:t>
            </w:r>
          </w:p>
        </w:tc>
        <w:tc>
          <w:tcPr>
            <w:tcW w:w="4367" w:type="dxa"/>
            <w:tcBorders>
              <w:right w:val="single" w:color="auto" w:sz="4" w:space="0"/>
            </w:tcBorders>
            <w:vAlign w:val="center"/>
          </w:tcPr>
          <w:p>
            <w:pPr>
              <w:adjustRightInd w:val="0"/>
              <w:snapToGrid w:val="0"/>
              <w:rPr>
                <w:rFonts w:hAnsi="宋体"/>
                <w:sz w:val="21"/>
                <w:szCs w:val="21"/>
              </w:rPr>
            </w:pPr>
            <w:r>
              <w:rPr>
                <w:rFonts w:hint="default" w:ascii="Times New Roman" w:hAnsi="Times New Roman" w:eastAsia="宋体" w:cs="Times New Roman"/>
                <w:color w:val="000000"/>
                <w:sz w:val="21"/>
                <w:szCs w:val="21"/>
              </w:rPr>
              <w:t>站内配备有灭火器、灭火毯等相关灭火设施</w:t>
            </w:r>
          </w:p>
        </w:tc>
        <w:tc>
          <w:tcPr>
            <w:tcW w:w="2860" w:type="dxa"/>
            <w:tcBorders>
              <w:left w:val="single" w:color="auto" w:sz="4" w:space="0"/>
            </w:tcBorders>
            <w:vAlign w:val="center"/>
          </w:tcPr>
          <w:p>
            <w:pPr>
              <w:jc w:val="center"/>
              <w:rPr>
                <w:rFonts w:hint="eastAsia" w:hAnsi="宋体" w:eastAsia="宋体"/>
                <w:sz w:val="21"/>
                <w:szCs w:val="21"/>
                <w:lang w:eastAsia="zh-CN"/>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continue"/>
            <w:vAlign w:val="center"/>
          </w:tcPr>
          <w:p>
            <w:pPr>
              <w:pStyle w:val="24"/>
              <w:adjustRightInd w:val="0"/>
              <w:snapToGrid w:val="0"/>
              <w:spacing w:after="0"/>
              <w:ind w:left="0" w:leftChars="0"/>
              <w:jc w:val="center"/>
              <w:rPr>
                <w:rFonts w:hAnsi="宋体"/>
                <w:sz w:val="21"/>
                <w:szCs w:val="21"/>
              </w:rPr>
            </w:pPr>
          </w:p>
        </w:tc>
        <w:tc>
          <w:tcPr>
            <w:tcW w:w="1400" w:type="dxa"/>
            <w:vAlign w:val="center"/>
          </w:tcPr>
          <w:p>
            <w:pPr>
              <w:pStyle w:val="13"/>
              <w:adjustRightInd w:val="0"/>
              <w:snapToGrid w:val="0"/>
              <w:spacing w:after="0"/>
              <w:ind w:left="0" w:leftChars="0"/>
              <w:jc w:val="center"/>
              <w:rPr>
                <w:rFonts w:hAnsi="宋体"/>
                <w:sz w:val="21"/>
                <w:szCs w:val="21"/>
              </w:rPr>
            </w:pPr>
            <w:r>
              <w:rPr>
                <w:rFonts w:hint="default" w:ascii="Times New Roman" w:hAnsi="Times New Roman" w:eastAsia="宋体" w:cs="Times New Roman"/>
                <w:color w:val="000000"/>
                <w:sz w:val="21"/>
                <w:szCs w:val="21"/>
              </w:rPr>
              <w:t>通讯</w:t>
            </w:r>
          </w:p>
        </w:tc>
        <w:tc>
          <w:tcPr>
            <w:tcW w:w="4367" w:type="dxa"/>
            <w:tcBorders>
              <w:right w:val="single" w:color="auto" w:sz="4" w:space="0"/>
            </w:tcBorders>
            <w:vAlign w:val="center"/>
          </w:tcPr>
          <w:p>
            <w:pPr>
              <w:pStyle w:val="13"/>
              <w:adjustRightInd w:val="0"/>
              <w:snapToGrid w:val="0"/>
              <w:spacing w:after="0"/>
              <w:ind w:left="0" w:leftChars="0"/>
              <w:rPr>
                <w:rFonts w:hAnsi="宋体"/>
                <w:sz w:val="21"/>
                <w:szCs w:val="21"/>
              </w:rPr>
            </w:pPr>
            <w:r>
              <w:rPr>
                <w:rFonts w:hint="default" w:ascii="Times New Roman" w:hAnsi="Times New Roman" w:eastAsia="宋体" w:cs="Times New Roman"/>
                <w:color w:val="000000"/>
                <w:sz w:val="21"/>
                <w:szCs w:val="21"/>
              </w:rPr>
              <w:t>依托市政通信线路</w:t>
            </w:r>
          </w:p>
        </w:tc>
        <w:tc>
          <w:tcPr>
            <w:tcW w:w="2860" w:type="dxa"/>
            <w:tcBorders>
              <w:left w:val="single" w:color="auto" w:sz="4" w:space="0"/>
            </w:tcBorders>
            <w:vAlign w:val="center"/>
          </w:tcPr>
          <w:p>
            <w:pPr>
              <w:jc w:val="center"/>
              <w:rPr>
                <w:rFonts w:hAnsi="宋体"/>
                <w:sz w:val="21"/>
                <w:szCs w:val="21"/>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restart"/>
            <w:vAlign w:val="center"/>
          </w:tcPr>
          <w:p>
            <w:pPr>
              <w:pStyle w:val="24"/>
              <w:adjustRightInd w:val="0"/>
              <w:snapToGrid w:val="0"/>
              <w:spacing w:after="0"/>
              <w:ind w:left="0" w:leftChars="0"/>
              <w:jc w:val="center"/>
              <w:rPr>
                <w:rFonts w:hAnsi="宋体"/>
                <w:sz w:val="21"/>
                <w:szCs w:val="21"/>
              </w:rPr>
            </w:pPr>
            <w:r>
              <w:rPr>
                <w:rFonts w:hint="default" w:ascii="Times New Roman" w:hAnsi="Times New Roman" w:eastAsia="宋体" w:cs="Times New Roman"/>
                <w:bCs/>
                <w:color w:val="000000"/>
                <w:sz w:val="21"/>
                <w:szCs w:val="21"/>
              </w:rPr>
              <w:t>环保工程</w:t>
            </w:r>
          </w:p>
        </w:tc>
        <w:tc>
          <w:tcPr>
            <w:tcW w:w="1400" w:type="dxa"/>
            <w:vAlign w:val="center"/>
          </w:tcPr>
          <w:p>
            <w:pPr>
              <w:pStyle w:val="13"/>
              <w:adjustRightInd w:val="0"/>
              <w:snapToGrid w:val="0"/>
              <w:spacing w:after="0"/>
              <w:ind w:left="0" w:leftChars="0"/>
              <w:jc w:val="center"/>
              <w:rPr>
                <w:rFonts w:hAnsi="宋体"/>
                <w:sz w:val="21"/>
                <w:szCs w:val="21"/>
              </w:rPr>
            </w:pPr>
            <w:r>
              <w:rPr>
                <w:rFonts w:hint="default" w:ascii="Times New Roman" w:hAnsi="Times New Roman" w:eastAsia="宋体" w:cs="Times New Roman"/>
                <w:color w:val="000000"/>
                <w:sz w:val="21"/>
                <w:szCs w:val="21"/>
              </w:rPr>
              <w:t>固体废物处理</w:t>
            </w:r>
          </w:p>
        </w:tc>
        <w:tc>
          <w:tcPr>
            <w:tcW w:w="4367" w:type="dxa"/>
            <w:tcBorders>
              <w:right w:val="single" w:color="auto" w:sz="4" w:space="0"/>
            </w:tcBorders>
            <w:vAlign w:val="center"/>
          </w:tcPr>
          <w:p>
            <w:pPr>
              <w:pStyle w:val="13"/>
              <w:adjustRightInd w:val="0"/>
              <w:snapToGrid w:val="0"/>
              <w:spacing w:after="0"/>
              <w:ind w:left="0" w:leftChars="0"/>
              <w:rPr>
                <w:rFonts w:hAnsi="宋体"/>
                <w:sz w:val="21"/>
                <w:szCs w:val="21"/>
              </w:rPr>
            </w:pPr>
            <w:r>
              <w:rPr>
                <w:rFonts w:hint="default" w:ascii="Times New Roman" w:hAnsi="Times New Roman" w:eastAsia="宋体" w:cs="Times New Roman"/>
                <w:color w:val="000000"/>
                <w:sz w:val="21"/>
                <w:szCs w:val="21"/>
              </w:rPr>
              <w:t>生活垃圾交由市政环卫部门统一清运处理，日产日运；清罐油渣、清罐废水以及隔油池废油作为危险废物，交由已取得危险废物处置资质的公司进行处置</w:t>
            </w:r>
          </w:p>
        </w:tc>
        <w:tc>
          <w:tcPr>
            <w:tcW w:w="2860" w:type="dxa"/>
            <w:tcBorders>
              <w:left w:val="single" w:color="auto" w:sz="4" w:space="0"/>
            </w:tcBorders>
            <w:vAlign w:val="center"/>
          </w:tcPr>
          <w:p>
            <w:pPr>
              <w:jc w:val="center"/>
              <w:rPr>
                <w:rFonts w:hAnsi="宋体"/>
                <w:sz w:val="21"/>
                <w:szCs w:val="21"/>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continue"/>
            <w:vAlign w:val="center"/>
          </w:tcPr>
          <w:p>
            <w:pPr>
              <w:pStyle w:val="24"/>
              <w:adjustRightInd w:val="0"/>
              <w:snapToGrid w:val="0"/>
              <w:spacing w:after="0"/>
              <w:ind w:left="0" w:leftChars="0"/>
              <w:jc w:val="center"/>
              <w:rPr>
                <w:rFonts w:hAnsi="宋体"/>
                <w:sz w:val="21"/>
                <w:szCs w:val="21"/>
              </w:rPr>
            </w:pPr>
          </w:p>
        </w:tc>
        <w:tc>
          <w:tcPr>
            <w:tcW w:w="1400" w:type="dxa"/>
            <w:vAlign w:val="center"/>
          </w:tcPr>
          <w:p>
            <w:pPr>
              <w:pStyle w:val="24"/>
              <w:adjustRightInd w:val="0"/>
              <w:snapToGrid w:val="0"/>
              <w:spacing w:after="0"/>
              <w:ind w:left="0" w:leftChars="0"/>
              <w:jc w:val="center"/>
              <w:rPr>
                <w:rFonts w:hAnsi="宋体"/>
                <w:sz w:val="21"/>
                <w:szCs w:val="21"/>
              </w:rPr>
            </w:pPr>
            <w:r>
              <w:rPr>
                <w:rFonts w:hint="default" w:ascii="Times New Roman" w:hAnsi="Times New Roman" w:eastAsia="宋体" w:cs="Times New Roman"/>
                <w:bCs/>
                <w:color w:val="000000"/>
                <w:sz w:val="21"/>
                <w:szCs w:val="21"/>
              </w:rPr>
              <w:t>绿化</w:t>
            </w:r>
          </w:p>
        </w:tc>
        <w:tc>
          <w:tcPr>
            <w:tcW w:w="4367" w:type="dxa"/>
            <w:tcBorders>
              <w:right w:val="single" w:color="auto" w:sz="4" w:space="0"/>
            </w:tcBorders>
            <w:vAlign w:val="center"/>
          </w:tcPr>
          <w:p>
            <w:pPr>
              <w:pStyle w:val="24"/>
              <w:adjustRightInd w:val="0"/>
              <w:snapToGrid w:val="0"/>
              <w:spacing w:after="0"/>
              <w:ind w:left="0" w:leftChars="0"/>
              <w:rPr>
                <w:rFonts w:hAnsi="宋体"/>
                <w:sz w:val="21"/>
                <w:szCs w:val="21"/>
              </w:rPr>
            </w:pPr>
            <w:r>
              <w:rPr>
                <w:rFonts w:hint="default" w:ascii="Times New Roman" w:hAnsi="Times New Roman" w:eastAsia="宋体" w:cs="Times New Roman"/>
                <w:snapToGrid w:val="0"/>
                <w:color w:val="000000"/>
                <w:kern w:val="0"/>
                <w:sz w:val="21"/>
                <w:szCs w:val="21"/>
              </w:rPr>
              <w:t>绿化率30%，绿化面积为200m</w:t>
            </w:r>
            <w:r>
              <w:rPr>
                <w:rFonts w:hint="default" w:ascii="Times New Roman" w:hAnsi="Times New Roman" w:eastAsia="宋体" w:cs="Times New Roman"/>
                <w:snapToGrid w:val="0"/>
                <w:color w:val="000000"/>
                <w:kern w:val="0"/>
                <w:sz w:val="21"/>
                <w:szCs w:val="21"/>
                <w:vertAlign w:val="superscript"/>
              </w:rPr>
              <w:t>2</w:t>
            </w:r>
          </w:p>
        </w:tc>
        <w:tc>
          <w:tcPr>
            <w:tcW w:w="2860" w:type="dxa"/>
            <w:tcBorders>
              <w:left w:val="single" w:color="auto" w:sz="4" w:space="0"/>
            </w:tcBorders>
            <w:vAlign w:val="center"/>
          </w:tcPr>
          <w:p>
            <w:pPr>
              <w:jc w:val="center"/>
              <w:rPr>
                <w:rFonts w:hAnsi="宋体"/>
                <w:sz w:val="21"/>
                <w:szCs w:val="21"/>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continue"/>
            <w:vAlign w:val="center"/>
          </w:tcPr>
          <w:p>
            <w:pPr>
              <w:pStyle w:val="24"/>
              <w:adjustRightInd w:val="0"/>
              <w:snapToGrid w:val="0"/>
              <w:spacing w:after="0"/>
              <w:ind w:left="0" w:leftChars="0"/>
              <w:jc w:val="center"/>
              <w:rPr>
                <w:rFonts w:hAnsi="宋体"/>
                <w:sz w:val="21"/>
                <w:szCs w:val="21"/>
              </w:rPr>
            </w:pPr>
          </w:p>
        </w:tc>
        <w:tc>
          <w:tcPr>
            <w:tcW w:w="1400" w:type="dxa"/>
            <w:vAlign w:val="center"/>
          </w:tcPr>
          <w:p>
            <w:pPr>
              <w:pStyle w:val="24"/>
              <w:adjustRightInd w:val="0"/>
              <w:snapToGrid w:val="0"/>
              <w:spacing w:after="0"/>
              <w:ind w:left="0" w:leftChars="0"/>
              <w:jc w:val="center"/>
              <w:rPr>
                <w:rFonts w:hAnsi="宋体"/>
                <w:sz w:val="21"/>
                <w:szCs w:val="21"/>
              </w:rPr>
            </w:pPr>
            <w:r>
              <w:rPr>
                <w:rFonts w:hint="default" w:ascii="Times New Roman" w:hAnsi="Times New Roman" w:eastAsia="宋体" w:cs="Times New Roman"/>
                <w:bCs/>
                <w:color w:val="000000"/>
                <w:sz w:val="21"/>
                <w:szCs w:val="21"/>
              </w:rPr>
              <w:t>沉砂隔油系统</w:t>
            </w:r>
          </w:p>
        </w:tc>
        <w:tc>
          <w:tcPr>
            <w:tcW w:w="4367" w:type="dxa"/>
            <w:tcBorders>
              <w:right w:val="single" w:color="auto" w:sz="4" w:space="0"/>
            </w:tcBorders>
            <w:vAlign w:val="center"/>
          </w:tcPr>
          <w:p>
            <w:pPr>
              <w:pStyle w:val="24"/>
              <w:adjustRightInd w:val="0"/>
              <w:snapToGrid w:val="0"/>
              <w:spacing w:after="0"/>
              <w:ind w:left="0" w:leftChars="0"/>
              <w:rPr>
                <w:rFonts w:hAnsi="宋体"/>
                <w:sz w:val="21"/>
                <w:szCs w:val="21"/>
              </w:rPr>
            </w:pPr>
            <w:r>
              <w:rPr>
                <w:rFonts w:hint="default" w:ascii="Times New Roman" w:hAnsi="Times New Roman" w:eastAsia="宋体" w:cs="Times New Roman"/>
                <w:color w:val="000000"/>
                <w:sz w:val="21"/>
                <w:szCs w:val="21"/>
              </w:rPr>
              <w:t>设计规模为5m</w:t>
            </w:r>
            <w:r>
              <w:rPr>
                <w:rFonts w:hint="default" w:ascii="Times New Roman" w:hAnsi="Times New Roman" w:eastAsia="宋体" w:cs="Times New Roman"/>
                <w:color w:val="000000"/>
                <w:sz w:val="21"/>
                <w:szCs w:val="21"/>
                <w:vertAlign w:val="superscript"/>
              </w:rPr>
              <w:t>3</w:t>
            </w:r>
            <w:r>
              <w:rPr>
                <w:rFonts w:hint="default" w:ascii="Times New Roman" w:hAnsi="Times New Roman" w:eastAsia="宋体" w:cs="Times New Roman"/>
                <w:color w:val="000000"/>
                <w:sz w:val="21"/>
                <w:szCs w:val="21"/>
              </w:rPr>
              <w:t>/d，设于场地南测</w:t>
            </w:r>
          </w:p>
        </w:tc>
        <w:tc>
          <w:tcPr>
            <w:tcW w:w="2860" w:type="dxa"/>
            <w:tcBorders>
              <w:left w:val="single" w:color="auto" w:sz="4" w:space="0"/>
            </w:tcBorders>
            <w:vAlign w:val="center"/>
          </w:tcPr>
          <w:p>
            <w:pPr>
              <w:jc w:val="center"/>
              <w:rPr>
                <w:rFonts w:hint="eastAsia" w:hAnsi="宋体" w:eastAsia="宋体"/>
                <w:sz w:val="21"/>
                <w:szCs w:val="21"/>
                <w:lang w:eastAsia="zh-CN"/>
              </w:rPr>
            </w:pPr>
            <w:r>
              <w:rPr>
                <w:rFonts w:hint="eastAsia" w:cs="TimesNewRomanPSMT"/>
                <w:bCs/>
                <w:snapToGrid w:val="0"/>
                <w:color w:val="auto"/>
                <w:kern w:val="0"/>
                <w:sz w:val="21"/>
                <w:szCs w:val="21"/>
                <w:lang w:val="en-US" w:eastAsia="zh-CN" w:bidi="ar-SA"/>
              </w:rPr>
              <w:t>与环评一致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Merge w:val="continue"/>
            <w:vAlign w:val="center"/>
          </w:tcPr>
          <w:p>
            <w:pPr>
              <w:pStyle w:val="24"/>
              <w:adjustRightInd w:val="0"/>
              <w:snapToGrid w:val="0"/>
              <w:spacing w:after="0"/>
              <w:ind w:left="0" w:leftChars="0"/>
              <w:jc w:val="center"/>
              <w:rPr>
                <w:rFonts w:hAnsi="宋体"/>
                <w:sz w:val="21"/>
                <w:szCs w:val="21"/>
              </w:rPr>
            </w:pPr>
          </w:p>
        </w:tc>
        <w:tc>
          <w:tcPr>
            <w:tcW w:w="1400" w:type="dxa"/>
            <w:vAlign w:val="center"/>
          </w:tcPr>
          <w:p>
            <w:pPr>
              <w:pStyle w:val="24"/>
              <w:adjustRightInd w:val="0"/>
              <w:snapToGrid w:val="0"/>
              <w:spacing w:after="0"/>
              <w:ind w:left="0" w:leftChars="0"/>
              <w:jc w:val="center"/>
              <w:rPr>
                <w:rFonts w:hint="eastAsia" w:hAnsi="宋体"/>
                <w:sz w:val="21"/>
                <w:szCs w:val="21"/>
              </w:rPr>
            </w:pPr>
            <w:r>
              <w:rPr>
                <w:rFonts w:hint="default" w:ascii="Times New Roman" w:hAnsi="Times New Roman" w:eastAsia="宋体" w:cs="Times New Roman"/>
                <w:bCs/>
                <w:color w:val="000000"/>
                <w:sz w:val="21"/>
                <w:szCs w:val="21"/>
              </w:rPr>
              <w:t>生化系统</w:t>
            </w:r>
          </w:p>
        </w:tc>
        <w:tc>
          <w:tcPr>
            <w:tcW w:w="4367" w:type="dxa"/>
            <w:tcBorders>
              <w:right w:val="single" w:color="auto" w:sz="4" w:space="0"/>
            </w:tcBorders>
            <w:vAlign w:val="center"/>
          </w:tcPr>
          <w:p>
            <w:pPr>
              <w:pStyle w:val="24"/>
              <w:adjustRightInd w:val="0"/>
              <w:snapToGrid w:val="0"/>
              <w:spacing w:after="0"/>
              <w:ind w:left="0" w:leftChars="0"/>
              <w:rPr>
                <w:rFonts w:hAnsi="宋体"/>
                <w:sz w:val="21"/>
                <w:szCs w:val="21"/>
              </w:rPr>
            </w:pPr>
            <w:r>
              <w:rPr>
                <w:rFonts w:hint="default" w:ascii="Times New Roman" w:hAnsi="Times New Roman" w:eastAsia="宋体" w:cs="Times New Roman"/>
                <w:color w:val="000000"/>
                <w:sz w:val="21"/>
                <w:szCs w:val="21"/>
              </w:rPr>
              <w:t>设计规模为8m</w:t>
            </w:r>
            <w:r>
              <w:rPr>
                <w:rFonts w:hint="default" w:ascii="Times New Roman" w:hAnsi="Times New Roman" w:eastAsia="宋体" w:cs="Times New Roman"/>
                <w:color w:val="000000"/>
                <w:sz w:val="21"/>
                <w:szCs w:val="21"/>
                <w:vertAlign w:val="superscript"/>
              </w:rPr>
              <w:t>3</w:t>
            </w:r>
            <w:r>
              <w:rPr>
                <w:rFonts w:hint="default" w:ascii="Times New Roman" w:hAnsi="Times New Roman" w:eastAsia="宋体" w:cs="Times New Roman"/>
                <w:color w:val="000000"/>
                <w:sz w:val="21"/>
                <w:szCs w:val="21"/>
              </w:rPr>
              <w:t>/d，设于场地南侧</w:t>
            </w:r>
          </w:p>
        </w:tc>
        <w:tc>
          <w:tcPr>
            <w:tcW w:w="2860" w:type="dxa"/>
            <w:tcBorders>
              <w:left w:val="single" w:color="auto" w:sz="4" w:space="0"/>
            </w:tcBorders>
            <w:vAlign w:val="center"/>
          </w:tcPr>
          <w:p>
            <w:pPr>
              <w:jc w:val="center"/>
              <w:rPr>
                <w:rFonts w:hint="eastAsia" w:hAnsi="宋体" w:eastAsia="宋体"/>
                <w:sz w:val="21"/>
                <w:szCs w:val="21"/>
                <w:lang w:eastAsia="zh-CN"/>
              </w:rPr>
            </w:pPr>
            <w:r>
              <w:rPr>
                <w:rFonts w:hint="eastAsia" w:cs="TimesNewRomanPSMT"/>
                <w:bCs/>
                <w:snapToGrid w:val="0"/>
                <w:color w:val="auto"/>
                <w:kern w:val="0"/>
                <w:sz w:val="21"/>
                <w:szCs w:val="21"/>
                <w:lang w:val="en-US" w:eastAsia="zh-CN" w:bidi="ar-SA"/>
              </w:rPr>
              <w:t>与环评一致</w:t>
            </w:r>
          </w:p>
        </w:tc>
      </w:tr>
    </w:tbl>
    <w:p>
      <w:pPr>
        <w:spacing w:line="540" w:lineRule="exact"/>
        <w:ind w:firstLine="480" w:firstLineChars="200"/>
        <w:rPr>
          <w:rFonts w:hAnsi="宋体"/>
          <w:sz w:val="24"/>
          <w:szCs w:val="24"/>
        </w:rPr>
      </w:pPr>
      <w:r>
        <w:rPr>
          <w:rFonts w:hint="eastAsia" w:hAnsi="宋体"/>
          <w:sz w:val="24"/>
          <w:szCs w:val="24"/>
        </w:rPr>
        <w:t>2、建设规模</w:t>
      </w:r>
    </w:p>
    <w:p>
      <w:pPr>
        <w:pStyle w:val="38"/>
        <w:bidi w:val="0"/>
        <w:rPr>
          <w:rFonts w:hint="eastAsia" w:hAnsi="宋体" w:eastAsia="宋体"/>
          <w:color w:val="000000" w:themeColor="text1"/>
          <w:sz w:val="24"/>
          <w:szCs w:val="24"/>
          <w:lang w:eastAsia="zh-CN"/>
        </w:rPr>
      </w:pPr>
      <w:r>
        <w:rPr>
          <w:rFonts w:hint="eastAsia" w:hAnsi="宋体"/>
          <w:color w:val="000000" w:themeColor="text1"/>
          <w:sz w:val="24"/>
          <w:szCs w:val="24"/>
        </w:rPr>
        <w:t>三级加油站，92#汽油罐30 m</w:t>
      </w:r>
      <w:r>
        <w:rPr>
          <w:rFonts w:hint="eastAsia" w:hAnsi="宋体"/>
          <w:color w:val="000000" w:themeColor="text1"/>
          <w:sz w:val="24"/>
          <w:szCs w:val="24"/>
          <w:vertAlign w:val="superscript"/>
        </w:rPr>
        <w:t>3</w:t>
      </w:r>
      <w:r>
        <w:rPr>
          <w:rFonts w:hint="eastAsia" w:hAnsi="宋体"/>
          <w:color w:val="000000" w:themeColor="text1"/>
          <w:sz w:val="24"/>
          <w:szCs w:val="24"/>
        </w:rPr>
        <w:t>×1个，95#汽油罐30 m</w:t>
      </w:r>
      <w:r>
        <w:rPr>
          <w:rFonts w:hint="eastAsia" w:hAnsi="宋体"/>
          <w:color w:val="000000" w:themeColor="text1"/>
          <w:sz w:val="24"/>
          <w:szCs w:val="24"/>
          <w:vertAlign w:val="superscript"/>
        </w:rPr>
        <w:t>3</w:t>
      </w:r>
      <w:r>
        <w:rPr>
          <w:rFonts w:hint="eastAsia" w:hAnsi="宋体"/>
          <w:color w:val="000000" w:themeColor="text1"/>
          <w:sz w:val="24"/>
          <w:szCs w:val="24"/>
        </w:rPr>
        <w:t>×1个，0#柴油罐30 m</w:t>
      </w:r>
      <w:r>
        <w:rPr>
          <w:rFonts w:hint="eastAsia" w:hAnsi="宋体"/>
          <w:color w:val="000000" w:themeColor="text1"/>
          <w:sz w:val="24"/>
          <w:szCs w:val="24"/>
          <w:vertAlign w:val="superscript"/>
        </w:rPr>
        <w:t>3</w:t>
      </w:r>
      <w:r>
        <w:rPr>
          <w:rFonts w:hint="eastAsia" w:hAnsi="宋体"/>
          <w:color w:val="000000" w:themeColor="text1"/>
          <w:sz w:val="24"/>
          <w:szCs w:val="24"/>
        </w:rPr>
        <w:t>×1个，柴油折半计算后容积为15m</w:t>
      </w:r>
      <w:r>
        <w:rPr>
          <w:rFonts w:hint="eastAsia" w:hAnsi="宋体"/>
          <w:color w:val="000000" w:themeColor="text1"/>
          <w:sz w:val="24"/>
          <w:szCs w:val="24"/>
          <w:vertAlign w:val="superscript"/>
        </w:rPr>
        <w:t>3</w:t>
      </w:r>
      <w:r>
        <w:rPr>
          <w:rFonts w:hint="eastAsia" w:hAnsi="宋体"/>
          <w:color w:val="000000" w:themeColor="text1"/>
          <w:sz w:val="24"/>
          <w:szCs w:val="24"/>
        </w:rPr>
        <w:t>，设计总容量为75m</w:t>
      </w:r>
      <w:r>
        <w:rPr>
          <w:rFonts w:hint="eastAsia" w:hAnsi="宋体"/>
          <w:color w:val="000000" w:themeColor="text1"/>
          <w:sz w:val="24"/>
          <w:szCs w:val="24"/>
          <w:vertAlign w:val="superscript"/>
        </w:rPr>
        <w:t>3</w:t>
      </w:r>
      <w:r>
        <w:rPr>
          <w:rFonts w:hint="eastAsia" w:hAnsi="宋体"/>
          <w:color w:val="000000" w:themeColor="text1"/>
          <w:sz w:val="24"/>
          <w:szCs w:val="24"/>
        </w:rPr>
        <w:t>。符合《汽车加油加气站与施工规范》（GB50156-2012）（2014年修订）中三级加油站的规定</w:t>
      </w:r>
      <w:r>
        <w:rPr>
          <w:rFonts w:hint="eastAsia" w:hAnsi="宋体"/>
          <w:color w:val="000000" w:themeColor="text1"/>
          <w:sz w:val="24"/>
          <w:szCs w:val="24"/>
          <w:lang w:eastAsia="zh-CN"/>
        </w:rPr>
        <w:t>。</w:t>
      </w:r>
    </w:p>
    <w:p>
      <w:pPr>
        <w:spacing w:line="540" w:lineRule="exact"/>
        <w:ind w:firstLine="480" w:firstLineChars="200"/>
        <w:rPr>
          <w:rFonts w:hint="eastAsia" w:hAnsi="宋体"/>
          <w:sz w:val="24"/>
          <w:szCs w:val="24"/>
        </w:rPr>
      </w:pPr>
      <w:r>
        <w:rPr>
          <w:rFonts w:hint="eastAsia" w:hAnsi="宋体"/>
          <w:sz w:val="24"/>
          <w:szCs w:val="24"/>
        </w:rPr>
        <w:t>3、投资情况</w:t>
      </w:r>
    </w:p>
    <w:p>
      <w:pPr>
        <w:spacing w:line="540" w:lineRule="exact"/>
        <w:ind w:firstLine="480" w:firstLineChars="200"/>
        <w:rPr>
          <w:sz w:val="24"/>
          <w:szCs w:val="24"/>
        </w:rPr>
      </w:pPr>
      <w:r>
        <w:rPr>
          <w:rFonts w:hint="eastAsia"/>
          <w:sz w:val="24"/>
          <w:szCs w:val="24"/>
          <w:lang w:eastAsia="zh-CN"/>
        </w:rPr>
        <w:t>300.00万元，其中环保投资</w:t>
      </w:r>
      <w:r>
        <w:rPr>
          <w:rFonts w:hint="eastAsia"/>
          <w:sz w:val="24"/>
          <w:szCs w:val="24"/>
          <w:lang w:val="en-US" w:eastAsia="zh-CN"/>
        </w:rPr>
        <w:t>15</w:t>
      </w:r>
      <w:r>
        <w:rPr>
          <w:rFonts w:hint="eastAsia"/>
          <w:sz w:val="24"/>
          <w:szCs w:val="24"/>
          <w:lang w:eastAsia="zh-CN"/>
        </w:rPr>
        <w:t>.00万元，占总投资</w:t>
      </w:r>
      <w:r>
        <w:rPr>
          <w:rFonts w:hint="eastAsia"/>
          <w:sz w:val="24"/>
          <w:szCs w:val="24"/>
          <w:lang w:val="en-US" w:eastAsia="zh-CN"/>
        </w:rPr>
        <w:t>5</w:t>
      </w:r>
      <w:r>
        <w:rPr>
          <w:rFonts w:hint="eastAsia"/>
          <w:sz w:val="24"/>
          <w:szCs w:val="24"/>
          <w:lang w:eastAsia="zh-CN"/>
        </w:rPr>
        <w:t>%</w:t>
      </w:r>
      <w:r>
        <w:rPr>
          <w:rFonts w:hint="eastAsia"/>
          <w:sz w:val="24"/>
          <w:szCs w:val="24"/>
        </w:rPr>
        <w:t>。</w:t>
      </w:r>
    </w:p>
    <w:p>
      <w:pPr>
        <w:pStyle w:val="27"/>
        <w:spacing w:after="0" w:line="540" w:lineRule="exact"/>
        <w:ind w:firstLine="480" w:firstLineChars="200"/>
        <w:rPr>
          <w:rFonts w:eastAsiaTheme="minorEastAsia"/>
          <w:color w:val="000000"/>
          <w:sz w:val="24"/>
          <w:szCs w:val="24"/>
        </w:rPr>
      </w:pPr>
      <w:r>
        <w:rPr>
          <w:rFonts w:hint="eastAsia" w:eastAsiaTheme="minorEastAsia"/>
          <w:color w:val="000000"/>
          <w:sz w:val="24"/>
          <w:szCs w:val="24"/>
        </w:rPr>
        <w:t>4、建设内容及规模变更情况</w:t>
      </w:r>
    </w:p>
    <w:p>
      <w:pPr>
        <w:pStyle w:val="27"/>
        <w:spacing w:after="0" w:line="540" w:lineRule="exact"/>
        <w:ind w:firstLine="480" w:firstLineChars="200"/>
        <w:rPr>
          <w:rFonts w:hint="eastAsia" w:eastAsia="宋体"/>
          <w:bCs/>
          <w:sz w:val="24"/>
          <w:szCs w:val="24"/>
          <w:lang w:eastAsia="zh-CN"/>
        </w:rPr>
      </w:pPr>
      <w:r>
        <w:rPr>
          <w:rFonts w:hint="eastAsia"/>
          <w:bCs/>
          <w:sz w:val="24"/>
          <w:szCs w:val="24"/>
          <w:lang w:eastAsia="zh-CN"/>
        </w:rPr>
        <w:t>奉节县顺全加油站改扩建项目</w:t>
      </w:r>
      <w:r>
        <w:rPr>
          <w:bCs/>
          <w:sz w:val="24"/>
          <w:szCs w:val="24"/>
        </w:rPr>
        <w:t>建设</w:t>
      </w:r>
      <w:r>
        <w:rPr>
          <w:rFonts w:hint="eastAsia"/>
          <w:bCs/>
          <w:sz w:val="24"/>
          <w:szCs w:val="24"/>
        </w:rPr>
        <w:t>内容及</w:t>
      </w:r>
      <w:r>
        <w:rPr>
          <w:bCs/>
          <w:sz w:val="24"/>
          <w:szCs w:val="24"/>
        </w:rPr>
        <w:t>规模与环评和批复相比</w:t>
      </w:r>
      <w:r>
        <w:rPr>
          <w:rFonts w:hint="eastAsia"/>
          <w:bCs/>
          <w:sz w:val="24"/>
          <w:szCs w:val="24"/>
          <w:lang w:eastAsia="zh-CN"/>
        </w:rPr>
        <w:t>建设内容没有发生变化，环保投资略有增加。按照《（环办环评函〔2020〕688号）关于印发污染影响类建设项目重大变动清单（试行）的通知》中相关重大变动标准，无重大变动情况。</w:t>
      </w:r>
    </w:p>
    <w:p>
      <w:pPr>
        <w:pStyle w:val="64"/>
        <w:rPr>
          <w:rFonts w:cs="Times New Roman"/>
          <w:sz w:val="32"/>
        </w:rPr>
      </w:pPr>
      <w:bookmarkStart w:id="57" w:name="_Toc3784"/>
      <w:r>
        <w:rPr>
          <w:rFonts w:hint="eastAsia" w:cs="Times New Roman"/>
          <w:sz w:val="32"/>
        </w:rPr>
        <w:t>3</w:t>
      </w:r>
      <w:r>
        <w:rPr>
          <w:rFonts w:cs="Times New Roman"/>
          <w:sz w:val="32"/>
        </w:rPr>
        <w:t>.</w:t>
      </w:r>
      <w:r>
        <w:rPr>
          <w:rFonts w:hint="eastAsia" w:cs="Times New Roman"/>
          <w:sz w:val="32"/>
        </w:rPr>
        <w:t>3主要原辅材料及燃料</w:t>
      </w:r>
      <w:bookmarkEnd w:id="57"/>
    </w:p>
    <w:p>
      <w:pPr>
        <w:spacing w:line="460" w:lineRule="exact"/>
        <w:ind w:firstLine="520" w:firstLineChars="200"/>
        <w:rPr>
          <w:color w:val="000000"/>
          <w:sz w:val="26"/>
          <w:szCs w:val="26"/>
        </w:rPr>
      </w:pPr>
      <w:bookmarkStart w:id="58" w:name="_Toc15617"/>
      <w:r>
        <w:rPr>
          <w:rFonts w:hint="eastAsia"/>
          <w:color w:val="000000"/>
          <w:sz w:val="26"/>
          <w:szCs w:val="26"/>
        </w:rPr>
        <w:t>根据《汽车加油加气站设计与施工规范》</w:t>
      </w:r>
      <w:r>
        <w:rPr>
          <w:color w:val="000000"/>
          <w:sz w:val="26"/>
          <w:szCs w:val="26"/>
        </w:rPr>
        <w:t>（</w:t>
      </w:r>
      <w:r>
        <w:rPr>
          <w:rFonts w:hint="eastAsia"/>
          <w:color w:val="000000"/>
          <w:sz w:val="26"/>
          <w:szCs w:val="26"/>
        </w:rPr>
        <w:t>GB50156-2012</w:t>
      </w:r>
      <w:r>
        <w:rPr>
          <w:color w:val="000000"/>
          <w:sz w:val="26"/>
          <w:szCs w:val="26"/>
        </w:rPr>
        <w:t>）</w:t>
      </w:r>
      <w:r>
        <w:rPr>
          <w:rFonts w:hint="eastAsia"/>
          <w:color w:val="000000"/>
          <w:sz w:val="26"/>
          <w:szCs w:val="26"/>
        </w:rPr>
        <w:t>（2014年修正）条文说明及建设单位提供的数据</w:t>
      </w:r>
      <w:r>
        <w:rPr>
          <w:color w:val="000000"/>
          <w:sz w:val="26"/>
          <w:szCs w:val="26"/>
        </w:rPr>
        <w:t>，该加油站每年油品销售量及水、动力消耗量分别为：</w:t>
      </w:r>
    </w:p>
    <w:p>
      <w:pPr>
        <w:spacing w:line="460" w:lineRule="exact"/>
        <w:ind w:firstLine="507" w:firstLineChars="195"/>
        <w:rPr>
          <w:color w:val="000000"/>
          <w:sz w:val="26"/>
          <w:szCs w:val="26"/>
        </w:rPr>
      </w:pPr>
      <w:r>
        <w:rPr>
          <w:rFonts w:hint="eastAsia"/>
          <w:color w:val="000000"/>
          <w:sz w:val="26"/>
          <w:szCs w:val="26"/>
        </w:rPr>
        <w:t>（1）油品</w:t>
      </w:r>
      <w:r>
        <w:rPr>
          <w:color w:val="000000"/>
          <w:sz w:val="26"/>
          <w:szCs w:val="26"/>
        </w:rPr>
        <w:t>销售量</w:t>
      </w:r>
      <w:r>
        <w:rPr>
          <w:rFonts w:hint="eastAsia"/>
          <w:color w:val="000000"/>
          <w:sz w:val="26"/>
          <w:szCs w:val="26"/>
        </w:rPr>
        <w:t>26280m</w:t>
      </w:r>
      <w:r>
        <w:rPr>
          <w:rFonts w:hint="eastAsia"/>
          <w:color w:val="000000"/>
          <w:sz w:val="26"/>
          <w:szCs w:val="26"/>
          <w:vertAlign w:val="superscript"/>
        </w:rPr>
        <w:t>3</w:t>
      </w:r>
      <w:r>
        <w:rPr>
          <w:color w:val="000000"/>
          <w:sz w:val="26"/>
          <w:szCs w:val="26"/>
        </w:rPr>
        <w:t>/a</w:t>
      </w:r>
    </w:p>
    <w:p>
      <w:pPr>
        <w:spacing w:line="460" w:lineRule="exact"/>
        <w:ind w:firstLine="507" w:firstLineChars="195"/>
        <w:rPr>
          <w:color w:val="000000"/>
          <w:sz w:val="26"/>
          <w:szCs w:val="26"/>
        </w:rPr>
      </w:pPr>
      <w:r>
        <w:rPr>
          <w:rFonts w:hint="eastAsia"/>
          <w:color w:val="000000"/>
          <w:sz w:val="26"/>
          <w:szCs w:val="26"/>
        </w:rPr>
        <w:t>其中</w:t>
      </w:r>
      <w:r>
        <w:rPr>
          <w:color w:val="000000"/>
          <w:sz w:val="26"/>
          <w:szCs w:val="26"/>
        </w:rPr>
        <w:t>汽油年销售量约</w:t>
      </w:r>
      <w:r>
        <w:rPr>
          <w:rFonts w:hint="eastAsia"/>
          <w:color w:val="000000"/>
          <w:sz w:val="26"/>
          <w:szCs w:val="26"/>
        </w:rPr>
        <w:t xml:space="preserve"> 17520m</w:t>
      </w:r>
      <w:r>
        <w:rPr>
          <w:rFonts w:hint="eastAsia"/>
          <w:color w:val="000000"/>
          <w:sz w:val="26"/>
          <w:szCs w:val="26"/>
          <w:vertAlign w:val="superscript"/>
        </w:rPr>
        <w:t>3</w:t>
      </w:r>
      <w:r>
        <w:rPr>
          <w:rFonts w:hint="eastAsia"/>
          <w:color w:val="000000"/>
          <w:sz w:val="26"/>
          <w:szCs w:val="26"/>
        </w:rPr>
        <w:t>，日均销售量为48 m</w:t>
      </w:r>
      <w:r>
        <w:rPr>
          <w:rFonts w:hint="eastAsia"/>
          <w:color w:val="000000"/>
          <w:sz w:val="26"/>
          <w:szCs w:val="26"/>
          <w:vertAlign w:val="superscript"/>
        </w:rPr>
        <w:t>3</w:t>
      </w:r>
      <w:r>
        <w:rPr>
          <w:color w:val="000000"/>
          <w:sz w:val="26"/>
          <w:szCs w:val="26"/>
        </w:rPr>
        <w:t>，柴油年销售量约</w:t>
      </w:r>
      <w:r>
        <w:rPr>
          <w:rFonts w:hint="eastAsia"/>
          <w:color w:val="000000"/>
          <w:sz w:val="26"/>
          <w:szCs w:val="26"/>
        </w:rPr>
        <w:t>8760m</w:t>
      </w:r>
      <w:r>
        <w:rPr>
          <w:rFonts w:hint="eastAsia"/>
          <w:color w:val="000000"/>
          <w:sz w:val="26"/>
          <w:szCs w:val="26"/>
          <w:vertAlign w:val="superscript"/>
        </w:rPr>
        <w:t>3</w:t>
      </w:r>
      <w:r>
        <w:rPr>
          <w:rFonts w:hint="eastAsia"/>
          <w:color w:val="000000"/>
          <w:sz w:val="26"/>
          <w:szCs w:val="26"/>
        </w:rPr>
        <w:t>，日均销售量为24m</w:t>
      </w:r>
      <w:r>
        <w:rPr>
          <w:rFonts w:hint="eastAsia"/>
          <w:color w:val="000000"/>
          <w:sz w:val="26"/>
          <w:szCs w:val="26"/>
          <w:vertAlign w:val="superscript"/>
        </w:rPr>
        <w:t>3</w:t>
      </w:r>
      <w:r>
        <w:rPr>
          <w:color w:val="000000"/>
          <w:sz w:val="26"/>
          <w:szCs w:val="26"/>
        </w:rPr>
        <w:t>。</w:t>
      </w:r>
    </w:p>
    <w:p>
      <w:pPr>
        <w:spacing w:line="460" w:lineRule="exact"/>
        <w:ind w:firstLine="507" w:firstLineChars="195"/>
        <w:rPr>
          <w:rFonts w:hint="eastAsia" w:ascii="Times New Roman" w:hAnsi="Times New Roman" w:cs="Times New Roman"/>
          <w:color w:val="000000"/>
          <w:sz w:val="26"/>
          <w:szCs w:val="26"/>
        </w:rPr>
      </w:pPr>
      <w:r>
        <w:rPr>
          <w:rFonts w:hint="eastAsia" w:ascii="Times New Roman" w:hAnsi="Times New Roman" w:cs="Times New Roman"/>
          <w:color w:val="000000"/>
          <w:sz w:val="26"/>
          <w:szCs w:val="26"/>
        </w:rPr>
        <w:t>（2）电耗：0.48万kW•h/a，日均消耗量为13.15kW•h。</w:t>
      </w:r>
    </w:p>
    <w:p>
      <w:pPr>
        <w:spacing w:line="460" w:lineRule="exact"/>
        <w:ind w:firstLine="507" w:firstLineChars="195"/>
        <w:rPr>
          <w:rFonts w:hint="eastAsia" w:ascii="Times New Roman" w:hAnsi="Times New Roman" w:cs="Times New Roman"/>
          <w:color w:val="000000"/>
          <w:sz w:val="26"/>
          <w:szCs w:val="26"/>
        </w:rPr>
      </w:pPr>
      <w:r>
        <w:rPr>
          <w:rFonts w:hint="eastAsia" w:ascii="Times New Roman" w:hAnsi="Times New Roman" w:cs="Times New Roman"/>
          <w:color w:val="000000"/>
          <w:sz w:val="26"/>
          <w:szCs w:val="26"/>
        </w:rPr>
        <w:t>（3）总用水量：0.27703万t/a。</w:t>
      </w:r>
    </w:p>
    <w:p>
      <w:pPr>
        <w:pStyle w:val="64"/>
        <w:rPr>
          <w:rFonts w:hint="eastAsia" w:ascii="Times New Roman" w:hAnsi="Times New Roman" w:cs="Times New Roman"/>
          <w:sz w:val="32"/>
        </w:rPr>
      </w:pPr>
      <w:r>
        <w:rPr>
          <w:rFonts w:hint="eastAsia" w:ascii="Times New Roman" w:hAnsi="Times New Roman" w:cs="Times New Roman"/>
          <w:sz w:val="32"/>
        </w:rPr>
        <w:t>3.4水源</w:t>
      </w:r>
      <w:bookmarkEnd w:id="58"/>
    </w:p>
    <w:p>
      <w:pPr>
        <w:tabs>
          <w:tab w:val="left" w:pos="6480"/>
        </w:tabs>
        <w:spacing w:line="540" w:lineRule="exact"/>
        <w:ind w:firstLine="480" w:firstLineChars="200"/>
        <w:rPr>
          <w:color w:val="000000"/>
          <w:sz w:val="24"/>
          <w:szCs w:val="24"/>
        </w:rPr>
      </w:pPr>
      <w:r>
        <w:rPr>
          <w:rFonts w:hint="eastAsia"/>
          <w:color w:val="000000"/>
          <w:sz w:val="24"/>
          <w:szCs w:val="24"/>
        </w:rPr>
        <w:t>本工程用水水源来至市政自来水管网。</w:t>
      </w:r>
    </w:p>
    <w:p>
      <w:pPr>
        <w:pStyle w:val="64"/>
        <w:rPr>
          <w:rFonts w:hint="default" w:ascii="Times New Roman" w:hAnsi="Times New Roman" w:cs="Times New Roman" w:eastAsiaTheme="minorEastAsia"/>
          <w:sz w:val="24"/>
          <w:szCs w:val="24"/>
          <w:lang w:eastAsia="zh-CN"/>
        </w:rPr>
      </w:pPr>
      <w:bookmarkStart w:id="59" w:name="_Toc362535747"/>
      <w:bookmarkStart w:id="60" w:name="_Toc361841099"/>
      <w:bookmarkStart w:id="61" w:name="_Toc361646651"/>
      <w:bookmarkStart w:id="62" w:name="_Toc3672"/>
      <w:r>
        <w:rPr>
          <w:rFonts w:hint="eastAsia" w:cs="Times New Roman"/>
          <w:color w:val="auto"/>
          <w:sz w:val="32"/>
        </w:rPr>
        <w:t>3.</w:t>
      </w:r>
      <w:bookmarkEnd w:id="59"/>
      <w:bookmarkEnd w:id="60"/>
      <w:bookmarkEnd w:id="61"/>
      <w:r>
        <w:rPr>
          <w:rFonts w:hint="eastAsia" w:cs="Times New Roman"/>
          <w:color w:val="auto"/>
          <w:sz w:val="32"/>
        </w:rPr>
        <w:t>5生产工艺</w:t>
      </w:r>
      <w:bookmarkEnd w:id="62"/>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项目为加油站项目，营运期主要为过往车辆加油。加油站工艺流程主要包括接卸油、储存、加油及洗车等系统。</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1. 汽油作业工艺流程</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 xml:space="preserve">汽油作业工艺流程及产污环节见下图 </w:t>
      </w:r>
      <w:r>
        <w:rPr>
          <w:rFonts w:hint="eastAsia"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val="en-US" w:eastAsia="zh-CN"/>
        </w:rPr>
        <w:t>1</w:t>
      </w:r>
      <w:r>
        <w:rPr>
          <w:rFonts w:hint="default" w:ascii="Times New Roman" w:hAnsi="Times New Roman" w:cs="Times New Roman" w:eastAsiaTheme="minorEastAsia"/>
          <w:sz w:val="24"/>
          <w:szCs w:val="24"/>
          <w:lang w:eastAsia="zh-CN"/>
        </w:rPr>
        <w:t>。</w:t>
      </w:r>
    </w:p>
    <w:p>
      <w:pPr>
        <w:spacing w:line="240" w:lineRule="auto"/>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drawing>
          <wp:inline distT="0" distB="0" distL="114300" distR="114300">
            <wp:extent cx="5638800" cy="1619250"/>
            <wp:effectExtent l="0" t="0" r="0" b="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9"/>
                    <a:stretch>
                      <a:fillRect/>
                    </a:stretch>
                  </pic:blipFill>
                  <pic:spPr>
                    <a:xfrm>
                      <a:off x="0" y="0"/>
                      <a:ext cx="5638800" cy="1619250"/>
                    </a:xfrm>
                    <a:prstGeom prst="rect">
                      <a:avLst/>
                    </a:prstGeom>
                  </pic:spPr>
                </pic:pic>
              </a:graphicData>
            </a:graphic>
          </wp:inline>
        </w:drawing>
      </w:r>
    </w:p>
    <w:p>
      <w:pPr>
        <w:spacing w:line="440" w:lineRule="exact"/>
        <w:ind w:firstLine="482" w:firstLineChars="200"/>
        <w:jc w:val="center"/>
        <w:rPr>
          <w:rFonts w:hint="default" w:ascii="Times New Roman" w:hAnsi="Times New Roman" w:cs="Times New Roman" w:eastAsiaTheme="minorEastAsia"/>
          <w:b/>
          <w:bCs/>
          <w:sz w:val="24"/>
          <w:szCs w:val="24"/>
          <w:lang w:eastAsia="zh-CN"/>
        </w:rPr>
      </w:pPr>
      <w:r>
        <w:rPr>
          <w:rFonts w:hint="default" w:ascii="Times New Roman" w:hAnsi="Times New Roman" w:cs="Times New Roman" w:eastAsiaTheme="minorEastAsia"/>
          <w:b/>
          <w:bCs/>
          <w:sz w:val="24"/>
          <w:szCs w:val="24"/>
          <w:lang w:eastAsia="zh-CN"/>
        </w:rPr>
        <w:t xml:space="preserve">图 </w:t>
      </w:r>
      <w:r>
        <w:rPr>
          <w:rFonts w:hint="eastAsia" w:ascii="Times New Roman" w:hAnsi="Times New Roman" w:cs="Times New Roman" w:eastAsiaTheme="minorEastAsia"/>
          <w:b/>
          <w:bCs/>
          <w:sz w:val="24"/>
          <w:szCs w:val="24"/>
          <w:lang w:val="en-US" w:eastAsia="zh-CN"/>
        </w:rPr>
        <w:t>3</w:t>
      </w:r>
      <w:r>
        <w:rPr>
          <w:rFonts w:hint="default" w:ascii="Times New Roman" w:hAnsi="Times New Roman" w:cs="Times New Roman" w:eastAsiaTheme="minorEastAsia"/>
          <w:b/>
          <w:bCs/>
          <w:sz w:val="24"/>
          <w:szCs w:val="24"/>
          <w:lang w:eastAsia="zh-CN"/>
        </w:rPr>
        <w:t>-</w:t>
      </w:r>
      <w:r>
        <w:rPr>
          <w:rFonts w:hint="eastAsia" w:ascii="Times New Roman" w:hAnsi="Times New Roman" w:cs="Times New Roman" w:eastAsiaTheme="minorEastAsia"/>
          <w:b/>
          <w:bCs/>
          <w:sz w:val="24"/>
          <w:szCs w:val="24"/>
          <w:lang w:val="en-US" w:eastAsia="zh-CN"/>
        </w:rPr>
        <w:t>1</w:t>
      </w:r>
      <w:r>
        <w:rPr>
          <w:rFonts w:hint="default" w:ascii="Times New Roman" w:hAnsi="Times New Roman" w:cs="Times New Roman" w:eastAsiaTheme="minorEastAsia"/>
          <w:b/>
          <w:bCs/>
          <w:sz w:val="24"/>
          <w:szCs w:val="24"/>
          <w:lang w:eastAsia="zh-CN"/>
        </w:rPr>
        <w:t xml:space="preserve"> 汽油作业工艺流程及产污环节图</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工艺说明：</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①汽油卸油</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油品由油罐车通过公路运输至本站后，温油15min，用能监测接地状态的静电接地仪、接地夹接地后，通过插入式软管快速接头卸入相应油罐。卸油时，油罐内油气由卸油油气回收管经快速接头排入油罐车（通气管管口设阻火器）。拟建项目安装卸油油气回收系统即一次油气回收系统，对92#、95#</w:t>
      </w:r>
      <w:r>
        <w:rPr>
          <w:rFonts w:hint="eastAsia" w:cs="Times New Roman" w:eastAsiaTheme="minorEastAsia"/>
          <w:sz w:val="24"/>
          <w:szCs w:val="24"/>
          <w:lang w:eastAsia="zh-CN"/>
        </w:rPr>
        <w:t>、</w:t>
      </w:r>
      <w:r>
        <w:rPr>
          <w:rFonts w:hint="eastAsia" w:cs="Times New Roman" w:eastAsiaTheme="minorEastAsia"/>
          <w:sz w:val="24"/>
          <w:szCs w:val="24"/>
          <w:lang w:val="en-US" w:eastAsia="zh-CN"/>
        </w:rPr>
        <w:t>98#</w:t>
      </w:r>
      <w:r>
        <w:rPr>
          <w:rFonts w:hint="default" w:ascii="Times New Roman" w:hAnsi="Times New Roman" w:cs="Times New Roman" w:eastAsiaTheme="minorEastAsia"/>
          <w:sz w:val="24"/>
          <w:szCs w:val="24"/>
          <w:lang w:eastAsia="zh-CN"/>
        </w:rPr>
        <w:t>汽油卸油时产生的油气进行回收。卸油油气回收系统主要工作原理为：在卸油过程中油罐车内压力减小，埋地油罐内压力增加，埋地油罐与油罐车间形成压差，使卸油过程中挥发的油气通过密闭管线回到油罐车内，运回储油库处理，达到油气回收的目的。加油站和油罐车均安装卸油油气快速接头，油罐车同时配备带快速接头的软管。卸油过程罐车与埋地油罐内油气气压基本平衡，气液等体积置换，卸油过程管道密闭，卸油油气回收效率可达 95%。</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②汽油加油</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加油时，加油机通过加油枪给汽车油箱加油，油品通过潜油泵从埋地油罐输送至加油机，加油过程中通过计量器进行计量。加油过程产生加油机运行噪声和逸散油气。</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在汽油加油过程中，通过真空泵产生一定真空度，车辆油箱中的油气由油气回收油枪、同轴皮管和油气回收管等油气回收设备机中回收，经加油油气回收管进入油罐，控制油气外排。加油油气经 1.1:1 的气液比进行回收，回收后在油罐内平衡后多余油气经通气立管外排。加油油气回收效率可达 90%。</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③清罐</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根据加油站实际清罐情况，油罐一般每5年清洗一次，清罐工艺流程见图</w:t>
      </w:r>
      <w:r>
        <w:rPr>
          <w:rFonts w:hint="eastAsia"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lang w:eastAsia="zh-CN"/>
        </w:rPr>
        <w:t>。</w:t>
      </w:r>
    </w:p>
    <w:p>
      <w:pPr>
        <w:spacing w:line="240" w:lineRule="auto"/>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drawing>
          <wp:inline distT="0" distB="0" distL="114300" distR="114300">
            <wp:extent cx="5695950" cy="2139950"/>
            <wp:effectExtent l="0" t="0" r="0" b="12700"/>
            <wp:docPr id="10" name="图片 10"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2"/>
                    <pic:cNvPicPr>
                      <a:picLocks noChangeAspect="1"/>
                    </pic:cNvPicPr>
                  </pic:nvPicPr>
                  <pic:blipFill>
                    <a:blip r:embed="rId10"/>
                    <a:stretch>
                      <a:fillRect/>
                    </a:stretch>
                  </pic:blipFill>
                  <pic:spPr>
                    <a:xfrm>
                      <a:off x="0" y="0"/>
                      <a:ext cx="5695950" cy="2139950"/>
                    </a:xfrm>
                    <a:prstGeom prst="rect">
                      <a:avLst/>
                    </a:prstGeom>
                  </pic:spPr>
                </pic:pic>
              </a:graphicData>
            </a:graphic>
          </wp:inline>
        </w:drawing>
      </w:r>
    </w:p>
    <w:p>
      <w:pPr>
        <w:spacing w:line="440" w:lineRule="exact"/>
        <w:ind w:firstLine="482" w:firstLineChars="200"/>
        <w:jc w:val="center"/>
        <w:rPr>
          <w:rFonts w:hint="default" w:ascii="Times New Roman" w:hAnsi="Times New Roman" w:cs="Times New Roman" w:eastAsiaTheme="minorEastAsia"/>
          <w:b/>
          <w:bCs/>
          <w:sz w:val="24"/>
          <w:szCs w:val="24"/>
          <w:lang w:eastAsia="zh-CN"/>
        </w:rPr>
      </w:pPr>
      <w:r>
        <w:rPr>
          <w:rFonts w:hint="default" w:ascii="Times New Roman" w:hAnsi="Times New Roman" w:cs="Times New Roman" w:eastAsiaTheme="minorEastAsia"/>
          <w:b/>
          <w:bCs/>
          <w:sz w:val="24"/>
          <w:szCs w:val="24"/>
          <w:lang w:eastAsia="zh-CN"/>
        </w:rPr>
        <w:t xml:space="preserve">图 </w:t>
      </w:r>
      <w:r>
        <w:rPr>
          <w:rFonts w:hint="eastAsia" w:ascii="Times New Roman" w:hAnsi="Times New Roman" w:cs="Times New Roman" w:eastAsiaTheme="minorEastAsia"/>
          <w:b/>
          <w:bCs/>
          <w:sz w:val="24"/>
          <w:szCs w:val="24"/>
          <w:lang w:val="en-US" w:eastAsia="zh-CN"/>
        </w:rPr>
        <w:t>3</w:t>
      </w:r>
      <w:r>
        <w:rPr>
          <w:rFonts w:hint="default" w:ascii="Times New Roman" w:hAnsi="Times New Roman" w:cs="Times New Roman" w:eastAsiaTheme="minorEastAsia"/>
          <w:b/>
          <w:bCs/>
          <w:sz w:val="24"/>
          <w:szCs w:val="24"/>
          <w:lang w:eastAsia="zh-CN"/>
        </w:rPr>
        <w:t>-</w:t>
      </w:r>
      <w:r>
        <w:rPr>
          <w:rFonts w:hint="eastAsia" w:ascii="Times New Roman" w:hAnsi="Times New Roman" w:cs="Times New Roman" w:eastAsiaTheme="minorEastAsia"/>
          <w:b/>
          <w:bCs/>
          <w:sz w:val="24"/>
          <w:szCs w:val="24"/>
          <w:lang w:val="en-US" w:eastAsia="zh-CN"/>
        </w:rPr>
        <w:t>2</w:t>
      </w:r>
      <w:r>
        <w:rPr>
          <w:rFonts w:hint="default" w:ascii="Times New Roman" w:hAnsi="Times New Roman" w:cs="Times New Roman" w:eastAsiaTheme="minorEastAsia"/>
          <w:b/>
          <w:bCs/>
          <w:sz w:val="24"/>
          <w:szCs w:val="24"/>
          <w:lang w:eastAsia="zh-CN"/>
        </w:rPr>
        <w:t xml:space="preserve"> 清罐工艺流程及产排污节点图</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工艺说明：</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油罐检修之前，先尽量将油品排空，然后拆卸输油管线，脱离开油罐与其他罐、管的连接，并加盲板封堵，将阀门关闭，防止油气进入；打开人孔、通气孔和排污口，使罐内充分通风；清洗油罐，最后将检修场地清理干净。化学清洗剂由专业的检修单位提供，评价要求尽量使用能满足工艺要求的不燃或难燃性化学清洗剂。</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从油罐、加油机等设备中清出的含油废渣，交由有资质的专业单位处置。</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含油污水不可随意排入下水管道，应交由具有危废处置资质的单位处置。</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 柴油作业工艺流程</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 xml:space="preserve">柴油的卸油、加油及清罐工艺与汽油一致，柴油的挥发性较汽油弱，未设置油气回收系统。柴油作业工艺流程及产污环节见下图 </w:t>
      </w:r>
      <w:r>
        <w:rPr>
          <w:rFonts w:hint="eastAsia"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w:t>
      </w:r>
    </w:p>
    <w:p>
      <w:pPr>
        <w:spacing w:line="240" w:lineRule="auto"/>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drawing>
          <wp:inline distT="0" distB="0" distL="114300" distR="114300">
            <wp:extent cx="5403850" cy="1047750"/>
            <wp:effectExtent l="0" t="0" r="6350" b="0"/>
            <wp:docPr id="11" name="图片 11"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3"/>
                    <pic:cNvPicPr>
                      <a:picLocks noChangeAspect="1"/>
                    </pic:cNvPicPr>
                  </pic:nvPicPr>
                  <pic:blipFill>
                    <a:blip r:embed="rId11"/>
                    <a:stretch>
                      <a:fillRect/>
                    </a:stretch>
                  </pic:blipFill>
                  <pic:spPr>
                    <a:xfrm>
                      <a:off x="0" y="0"/>
                      <a:ext cx="5403850" cy="1047750"/>
                    </a:xfrm>
                    <a:prstGeom prst="rect">
                      <a:avLst/>
                    </a:prstGeom>
                  </pic:spPr>
                </pic:pic>
              </a:graphicData>
            </a:graphic>
          </wp:inline>
        </w:drawing>
      </w:r>
    </w:p>
    <w:p>
      <w:pPr>
        <w:spacing w:line="440" w:lineRule="exact"/>
        <w:ind w:firstLine="482" w:firstLineChars="200"/>
        <w:jc w:val="center"/>
        <w:rPr>
          <w:rFonts w:hint="default" w:ascii="Times New Roman" w:hAnsi="Times New Roman" w:cs="Times New Roman" w:eastAsiaTheme="minorEastAsia"/>
          <w:b/>
          <w:bCs/>
          <w:sz w:val="24"/>
          <w:szCs w:val="24"/>
          <w:lang w:eastAsia="zh-CN"/>
        </w:rPr>
      </w:pPr>
      <w:r>
        <w:rPr>
          <w:rFonts w:hint="default" w:ascii="Times New Roman" w:hAnsi="Times New Roman" w:cs="Times New Roman" w:eastAsiaTheme="minorEastAsia"/>
          <w:b/>
          <w:bCs/>
          <w:sz w:val="24"/>
          <w:szCs w:val="24"/>
          <w:lang w:eastAsia="zh-CN"/>
        </w:rPr>
        <w:t xml:space="preserve">图 </w:t>
      </w:r>
      <w:r>
        <w:rPr>
          <w:rFonts w:hint="eastAsia" w:ascii="Times New Roman" w:hAnsi="Times New Roman" w:cs="Times New Roman" w:eastAsiaTheme="minorEastAsia"/>
          <w:b/>
          <w:bCs/>
          <w:sz w:val="24"/>
          <w:szCs w:val="24"/>
          <w:lang w:val="en-US" w:eastAsia="zh-CN"/>
        </w:rPr>
        <w:t>3</w:t>
      </w:r>
      <w:r>
        <w:rPr>
          <w:rFonts w:hint="default" w:ascii="Times New Roman" w:hAnsi="Times New Roman" w:cs="Times New Roman" w:eastAsiaTheme="minorEastAsia"/>
          <w:b/>
          <w:bCs/>
          <w:sz w:val="24"/>
          <w:szCs w:val="24"/>
          <w:lang w:eastAsia="zh-CN"/>
        </w:rPr>
        <w:t>-</w:t>
      </w:r>
      <w:r>
        <w:rPr>
          <w:rFonts w:hint="eastAsia" w:ascii="Times New Roman" w:hAnsi="Times New Roman" w:cs="Times New Roman" w:eastAsiaTheme="minorEastAsia"/>
          <w:b/>
          <w:bCs/>
          <w:sz w:val="24"/>
          <w:szCs w:val="24"/>
          <w:lang w:val="en-US" w:eastAsia="zh-CN"/>
        </w:rPr>
        <w:t>3</w:t>
      </w:r>
      <w:r>
        <w:rPr>
          <w:rFonts w:hint="default" w:ascii="Times New Roman" w:hAnsi="Times New Roman" w:cs="Times New Roman" w:eastAsiaTheme="minorEastAsia"/>
          <w:b/>
          <w:bCs/>
          <w:sz w:val="24"/>
          <w:szCs w:val="24"/>
          <w:lang w:eastAsia="zh-CN"/>
        </w:rPr>
        <w:t xml:space="preserve"> 柴油作业工艺流程及产污环节图</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工艺说明：</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①柴油卸油</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油罐车将柴油运至场地内通过密闭卸油点将柴油卸至埋地油罐。在卸油过程中油罐车内压力减小，埋地油罐内压力增加，埋地油罐与油罐车内的压差使卸油过程中埋地油罐内产生的油气通过立管排放，油罐车内产生的油气通过呼吸控制阀排放。</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②柴油加油</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柴油通过潜油泵从埋地油罐输送至加油机，再通过配套加油枪给加油车辆加油。加油过程中通过计量器进行计量，加油车辆油箱随着柴油的注入，油箱内产生的油气逸散至大气中。</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③清罐</w:t>
      </w:r>
    </w:p>
    <w:p>
      <w:pPr>
        <w:spacing w:line="440" w:lineRule="exact"/>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同上汽油清罐工艺。</w:t>
      </w:r>
    </w:p>
    <w:bookmarkEnd w:id="53"/>
    <w:bookmarkEnd w:id="54"/>
    <w:bookmarkEnd w:id="55"/>
    <w:p>
      <w:pPr>
        <w:pStyle w:val="64"/>
        <w:rPr>
          <w:rFonts w:cs="Times New Roman"/>
          <w:color w:val="auto"/>
          <w:sz w:val="32"/>
        </w:rPr>
      </w:pPr>
      <w:bookmarkStart w:id="63" w:name="_Toc26368"/>
      <w:bookmarkStart w:id="64" w:name="_Toc341357473"/>
      <w:bookmarkStart w:id="65" w:name="_Toc341431726"/>
      <w:bookmarkStart w:id="66" w:name="_Toc332553919"/>
      <w:bookmarkStart w:id="67" w:name="_Toc305059565"/>
      <w:bookmarkStart w:id="68" w:name="_Toc321042418"/>
      <w:bookmarkStart w:id="69" w:name="_Toc341278424"/>
      <w:bookmarkStart w:id="70" w:name="_Toc341293109"/>
      <w:r>
        <w:rPr>
          <w:rFonts w:hint="eastAsia" w:cs="Times New Roman"/>
          <w:color w:val="auto"/>
          <w:sz w:val="32"/>
        </w:rPr>
        <w:t>3.6项目变动情况</w:t>
      </w:r>
      <w:bookmarkEnd w:id="63"/>
    </w:p>
    <w:p>
      <w:pPr>
        <w:spacing w:line="540" w:lineRule="exact"/>
        <w:ind w:firstLine="480" w:firstLineChars="200"/>
        <w:rPr>
          <w:b/>
          <w:bCs/>
          <w:kern w:val="0"/>
          <w:sz w:val="36"/>
          <w:szCs w:val="20"/>
        </w:rPr>
      </w:pPr>
      <w:r>
        <w:rPr>
          <w:rFonts w:hint="eastAsia"/>
          <w:bCs/>
          <w:sz w:val="24"/>
          <w:szCs w:val="24"/>
          <w:lang w:eastAsia="zh-CN"/>
        </w:rPr>
        <w:t>奉节县顺全加油站改扩建项目建设内容及规模与环评和批复相比建设内容没有发生变化，环保投资略有增加。按照《（环办环评函〔2020〕688号） 关于印发污染影响类建设项目重大变动清单（试行）的通知》中相关重大变动标准，无重大变动情况，纳入竣工环境保护验收管理。</w:t>
      </w:r>
      <w:r>
        <w:rPr>
          <w:sz w:val="36"/>
        </w:rPr>
        <w:br w:type="page"/>
      </w:r>
    </w:p>
    <w:p>
      <w:pPr>
        <w:pStyle w:val="63"/>
        <w:spacing w:beforeLines="50"/>
        <w:rPr>
          <w:rFonts w:cs="Times New Roman"/>
          <w:sz w:val="36"/>
        </w:rPr>
      </w:pPr>
      <w:bookmarkStart w:id="71" w:name="_Toc5356"/>
      <w:r>
        <w:rPr>
          <w:rFonts w:hint="eastAsia" w:cs="Times New Roman"/>
          <w:sz w:val="36"/>
        </w:rPr>
        <w:t>4</w:t>
      </w:r>
      <w:bookmarkEnd w:id="64"/>
      <w:bookmarkEnd w:id="65"/>
      <w:bookmarkEnd w:id="66"/>
      <w:bookmarkEnd w:id="67"/>
      <w:bookmarkEnd w:id="68"/>
      <w:bookmarkEnd w:id="69"/>
      <w:bookmarkEnd w:id="70"/>
      <w:r>
        <w:rPr>
          <w:rFonts w:hint="eastAsia" w:cs="Times New Roman"/>
          <w:sz w:val="36"/>
        </w:rPr>
        <w:t>环境保护设施</w:t>
      </w:r>
      <w:bookmarkEnd w:id="71"/>
    </w:p>
    <w:p>
      <w:pPr>
        <w:pStyle w:val="64"/>
        <w:rPr>
          <w:rFonts w:cs="Times New Roman"/>
          <w:color w:val="auto"/>
          <w:sz w:val="32"/>
        </w:rPr>
      </w:pPr>
      <w:bookmarkStart w:id="72" w:name="_Toc18862"/>
      <w:r>
        <w:rPr>
          <w:rFonts w:hint="eastAsia" w:cs="Times New Roman"/>
          <w:color w:val="auto"/>
          <w:sz w:val="32"/>
        </w:rPr>
        <w:t>4.1污染物治理及处置设施</w:t>
      </w:r>
      <w:bookmarkEnd w:id="72"/>
    </w:p>
    <w:p>
      <w:pPr>
        <w:adjustRightInd w:val="0"/>
        <w:snapToGrid w:val="0"/>
        <w:spacing w:line="360" w:lineRule="auto"/>
        <w:rPr>
          <w:b/>
          <w:sz w:val="28"/>
          <w:szCs w:val="28"/>
          <w:lang w:val="en-IE"/>
        </w:rPr>
      </w:pPr>
      <w:r>
        <w:rPr>
          <w:rFonts w:hint="eastAsia"/>
          <w:b/>
          <w:sz w:val="28"/>
          <w:szCs w:val="28"/>
          <w:lang w:val="en-IE"/>
        </w:rPr>
        <w:t>4</w:t>
      </w:r>
      <w:r>
        <w:rPr>
          <w:b/>
          <w:sz w:val="28"/>
          <w:szCs w:val="28"/>
          <w:lang w:val="en-IE"/>
        </w:rPr>
        <w:t>.</w:t>
      </w:r>
      <w:r>
        <w:rPr>
          <w:rFonts w:hint="eastAsia"/>
          <w:b/>
          <w:sz w:val="28"/>
          <w:szCs w:val="28"/>
          <w:lang w:val="en-IE"/>
        </w:rPr>
        <w:t>1</w:t>
      </w:r>
      <w:r>
        <w:rPr>
          <w:b/>
          <w:sz w:val="28"/>
          <w:szCs w:val="28"/>
          <w:lang w:val="en-IE"/>
        </w:rPr>
        <w:t>.1  废水</w:t>
      </w:r>
    </w:p>
    <w:p>
      <w:pPr>
        <w:adjustRightInd w:val="0"/>
        <w:snapToGrid w:val="0"/>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本项目废水为生活废水</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和场地冲洗水。</w:t>
      </w:r>
    </w:p>
    <w:p>
      <w:pPr>
        <w:adjustRightInd w:val="0"/>
        <w:snapToGrid w:val="0"/>
        <w:spacing w:line="360" w:lineRule="auto"/>
        <w:ind w:firstLine="480" w:firstLineChars="200"/>
        <w:rPr>
          <w:rFonts w:hint="default" w:ascii="Times New Roman" w:hAnsi="Times New Roman" w:cs="Times New Roman" w:eastAsiaTheme="minorEastAsia"/>
          <w:sz w:val="24"/>
          <w:szCs w:val="24"/>
        </w:rPr>
      </w:pPr>
      <w:bookmarkStart w:id="200" w:name="_GoBack"/>
      <w:r>
        <w:rPr>
          <w:rFonts w:hint="default" w:ascii="Times New Roman" w:hAnsi="Times New Roman" w:cs="Times New Roman" w:eastAsiaTheme="minorEastAsia"/>
          <w:sz w:val="24"/>
          <w:szCs w:val="24"/>
        </w:rPr>
        <w:t>场地冲洗后的含油废水经三段式水封井（隔油池）处理后排入生化池，与生活污水一并经生化池处理达《污水综合排放标准》（GB8978-1996）中三级标准后进入市政污水管网，在新民污水处理厂做进一步处理达《城镇污水处理厂污染物排放标准》（GB18918-2002）中一级B标后排入新民河</w:t>
      </w:r>
      <w:bookmarkEnd w:id="200"/>
      <w:r>
        <w:rPr>
          <w:rFonts w:hint="default" w:ascii="Times New Roman" w:hAnsi="Times New Roman" w:cs="Times New Roman" w:eastAsiaTheme="minorEastAsia"/>
          <w:sz w:val="24"/>
          <w:szCs w:val="24"/>
        </w:rPr>
        <w:t>。</w:t>
      </w:r>
    </w:p>
    <w:p>
      <w:pPr>
        <w:adjustRightInd w:val="0"/>
        <w:snapToGrid w:val="0"/>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本项目废水</w:t>
      </w:r>
      <w:r>
        <w:rPr>
          <w:rFonts w:hint="eastAsia" w:ascii="Times New Roman" w:hAnsi="Times New Roman" w:cs="Times New Roman" w:eastAsiaTheme="minorEastAsia"/>
          <w:sz w:val="24"/>
          <w:szCs w:val="24"/>
          <w:lang w:eastAsia="zh-CN"/>
        </w:rPr>
        <w:t>处理工艺</w:t>
      </w:r>
      <w:r>
        <w:rPr>
          <w:rFonts w:hint="default" w:ascii="Times New Roman" w:hAnsi="Times New Roman" w:cs="Times New Roman" w:eastAsiaTheme="minorEastAsia"/>
          <w:sz w:val="24"/>
          <w:szCs w:val="24"/>
        </w:rPr>
        <w:t>见图4-</w:t>
      </w:r>
      <w:r>
        <w:rPr>
          <w:rFonts w:hint="eastAsia" w:ascii="Times New Roman" w:hAnsi="Times New Roman" w:cs="Times New Roman" w:eastAsiaTheme="minorEastAsia"/>
          <w:sz w:val="24"/>
          <w:szCs w:val="24"/>
          <w:lang w:val="en-US" w:eastAsia="zh-CN"/>
        </w:rPr>
        <w:t>1</w:t>
      </w:r>
      <w:r>
        <w:rPr>
          <w:rFonts w:hint="default" w:ascii="Times New Roman" w:hAnsi="Times New Roman" w:cs="Times New Roman" w:eastAsiaTheme="minorEastAsia"/>
          <w:sz w:val="24"/>
          <w:szCs w:val="24"/>
        </w:rPr>
        <w:t>。</w:t>
      </w:r>
    </w:p>
    <w:p>
      <w:pPr>
        <w:adjustRightInd w:val="0"/>
        <w:snapToGrid w:val="0"/>
        <w:spacing w:line="360" w:lineRule="auto"/>
        <w:ind w:firstLine="420" w:firstLineChars="200"/>
      </w:pPr>
      <w:r>
        <w:drawing>
          <wp:inline distT="0" distB="0" distL="114300" distR="114300">
            <wp:extent cx="4537710" cy="1172845"/>
            <wp:effectExtent l="0" t="0" r="15240" b="825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2"/>
                    <a:srcRect l="402" r="229"/>
                    <a:stretch>
                      <a:fillRect/>
                    </a:stretch>
                  </pic:blipFill>
                  <pic:spPr>
                    <a:xfrm>
                      <a:off x="0" y="0"/>
                      <a:ext cx="4537710" cy="1172845"/>
                    </a:xfrm>
                    <a:prstGeom prst="rect">
                      <a:avLst/>
                    </a:prstGeom>
                    <a:noFill/>
                    <a:ln>
                      <a:noFill/>
                    </a:ln>
                  </pic:spPr>
                </pic:pic>
              </a:graphicData>
            </a:graphic>
          </wp:inline>
        </w:drawing>
      </w:r>
    </w:p>
    <w:p>
      <w:pPr>
        <w:jc w:val="center"/>
        <w:rPr>
          <w:rFonts w:asciiTheme="minorEastAsia" w:hAnsiTheme="minorEastAsia" w:eastAsiaTheme="minorEastAsia"/>
          <w:b/>
          <w:sz w:val="24"/>
          <w:szCs w:val="24"/>
          <w:lang w:val="en-IE"/>
        </w:rPr>
      </w:pPr>
      <w:r>
        <w:rPr>
          <w:rFonts w:hAnsiTheme="minorEastAsia" w:eastAsiaTheme="minorEastAsia"/>
          <w:b/>
          <w:color w:val="000000"/>
          <w:sz w:val="24"/>
          <w:szCs w:val="24"/>
        </w:rPr>
        <w:t>图</w:t>
      </w:r>
      <w:r>
        <w:rPr>
          <w:rFonts w:hint="eastAsia" w:hAnsiTheme="minorEastAsia" w:eastAsiaTheme="minorEastAsia"/>
          <w:b/>
          <w:color w:val="000000"/>
          <w:sz w:val="24"/>
          <w:szCs w:val="24"/>
        </w:rPr>
        <w:t>4</w:t>
      </w:r>
      <w:r>
        <w:rPr>
          <w:rFonts w:hAnsiTheme="minorEastAsia" w:eastAsiaTheme="minorEastAsia"/>
          <w:b/>
          <w:color w:val="000000"/>
          <w:sz w:val="24"/>
          <w:szCs w:val="24"/>
        </w:rPr>
        <w:t>-</w:t>
      </w:r>
      <w:r>
        <w:rPr>
          <w:rFonts w:hint="eastAsia" w:hAnsiTheme="minorEastAsia" w:eastAsiaTheme="minorEastAsia"/>
          <w:b/>
          <w:color w:val="000000"/>
          <w:sz w:val="24"/>
          <w:szCs w:val="24"/>
          <w:lang w:val="en-US" w:eastAsia="zh-CN"/>
        </w:rPr>
        <w:t xml:space="preserve">1 </w:t>
      </w:r>
      <w:r>
        <w:rPr>
          <w:rFonts w:hint="eastAsia" w:hAnsiTheme="minorEastAsia" w:eastAsiaTheme="minorEastAsia"/>
          <w:b/>
          <w:color w:val="000000"/>
          <w:sz w:val="24"/>
          <w:szCs w:val="24"/>
          <w:lang w:eastAsia="zh-CN"/>
        </w:rPr>
        <w:t>废水处理工艺流程图</w:t>
      </w:r>
    </w:p>
    <w:p>
      <w:pPr>
        <w:adjustRightInd w:val="0"/>
        <w:snapToGrid w:val="0"/>
        <w:spacing w:line="360" w:lineRule="auto"/>
        <w:ind w:firstLine="420" w:firstLineChars="200"/>
        <w:rPr>
          <w:rFonts w:hint="default"/>
        </w:rPr>
      </w:pPr>
    </w:p>
    <w:p>
      <w:pPr>
        <w:adjustRightInd w:val="0"/>
        <w:snapToGrid w:val="0"/>
        <w:spacing w:line="360" w:lineRule="auto"/>
        <w:ind w:firstLine="480" w:firstLineChars="200"/>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本项目废水收集处理设施见图4-</w:t>
      </w:r>
      <w:r>
        <w:rPr>
          <w:rFonts w:hint="eastAsia" w:ascii="Times New Roman" w:hAnsi="Times New Roman" w:cs="Times New Roman" w:eastAsiaTheme="minorEastAsia"/>
          <w:sz w:val="24"/>
          <w:szCs w:val="24"/>
          <w:lang w:val="en-US" w:eastAsia="zh-CN"/>
        </w:rPr>
        <w:t>2</w:t>
      </w:r>
      <w:r>
        <w:rPr>
          <w:rFonts w:hint="default" w:ascii="Times New Roman" w:hAnsi="Times New Roman" w:cs="Times New Roman" w:eastAsiaTheme="minorEastAsia"/>
          <w:sz w:val="24"/>
          <w:szCs w:val="24"/>
        </w:rPr>
        <w:t>。</w:t>
      </w:r>
    </w:p>
    <w:tbl>
      <w:tblPr>
        <w:tblStyle w:val="2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2"/>
        <w:gridCol w:w="4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7" w:hRule="atLeast"/>
        </w:trPr>
        <w:tc>
          <w:tcPr>
            <w:tcW w:w="2505" w:type="pct"/>
          </w:tcPr>
          <w:p>
            <w:pPr>
              <w:spacing w:line="360" w:lineRule="auto"/>
              <w:jc w:val="center"/>
              <w:rPr>
                <w:rFonts w:hint="eastAsia" w:hAnsiTheme="minorEastAsia" w:eastAsiaTheme="minorEastAsia"/>
                <w:b/>
                <w:color w:val="000000"/>
                <w:sz w:val="28"/>
                <w:vertAlign w:val="baseline"/>
                <w:lang w:eastAsia="zh-CN"/>
              </w:rPr>
            </w:pPr>
            <w:r>
              <w:rPr>
                <w:rFonts w:hint="eastAsia" w:hAnsiTheme="minorEastAsia" w:eastAsiaTheme="minorEastAsia"/>
                <w:b/>
                <w:color w:val="000000"/>
                <w:sz w:val="28"/>
                <w:vertAlign w:val="baseline"/>
                <w:lang w:eastAsia="zh-CN"/>
              </w:rPr>
              <w:drawing>
                <wp:inline distT="0" distB="0" distL="114300" distR="114300">
                  <wp:extent cx="2708275" cy="2032000"/>
                  <wp:effectExtent l="0" t="0" r="15875" b="6350"/>
                  <wp:docPr id="5" name="图片 5" descr="5d0c7a23f234fb9044118c8b79944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d0c7a23f234fb9044118c8b79944ee"/>
                          <pic:cNvPicPr>
                            <a:picLocks noChangeAspect="1"/>
                          </pic:cNvPicPr>
                        </pic:nvPicPr>
                        <pic:blipFill>
                          <a:blip r:embed="rId13"/>
                          <a:stretch>
                            <a:fillRect/>
                          </a:stretch>
                        </pic:blipFill>
                        <pic:spPr>
                          <a:xfrm>
                            <a:off x="0" y="0"/>
                            <a:ext cx="2708275" cy="2032000"/>
                          </a:xfrm>
                          <a:prstGeom prst="rect">
                            <a:avLst/>
                          </a:prstGeom>
                        </pic:spPr>
                      </pic:pic>
                    </a:graphicData>
                  </a:graphic>
                </wp:inline>
              </w:drawing>
            </w:r>
          </w:p>
        </w:tc>
        <w:tc>
          <w:tcPr>
            <w:tcW w:w="2494" w:type="pct"/>
          </w:tcPr>
          <w:p>
            <w:pPr>
              <w:spacing w:line="360" w:lineRule="auto"/>
              <w:jc w:val="center"/>
              <w:rPr>
                <w:rFonts w:hAnsiTheme="minorEastAsia" w:eastAsiaTheme="minorEastAsia"/>
                <w:b/>
                <w:color w:val="000000"/>
                <w:sz w:val="28"/>
                <w:vertAlign w:val="baseline"/>
              </w:rPr>
            </w:pPr>
            <w:r>
              <w:rPr>
                <w:rFonts w:hAnsiTheme="minorEastAsia" w:eastAsiaTheme="minorEastAsia"/>
                <w:b/>
                <w:color w:val="000000"/>
                <w:sz w:val="28"/>
                <w:vertAlign w:val="baseline"/>
              </w:rPr>
              <w:drawing>
                <wp:inline distT="0" distB="0" distL="114300" distR="114300">
                  <wp:extent cx="2708275" cy="2032000"/>
                  <wp:effectExtent l="0" t="0" r="15875" b="6350"/>
                  <wp:docPr id="6" name="图片 6" descr="9ae2164c4109e7b57a814c2c22b23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ae2164c4109e7b57a814c2c22b23d9"/>
                          <pic:cNvPicPr>
                            <a:picLocks noChangeAspect="1"/>
                          </pic:cNvPicPr>
                        </pic:nvPicPr>
                        <pic:blipFill>
                          <a:blip r:embed="rId14"/>
                          <a:stretch>
                            <a:fillRect/>
                          </a:stretch>
                        </pic:blipFill>
                        <pic:spPr>
                          <a:xfrm>
                            <a:off x="0" y="0"/>
                            <a:ext cx="2708275" cy="2032000"/>
                          </a:xfrm>
                          <a:prstGeom prst="rect">
                            <a:avLst/>
                          </a:prstGeom>
                        </pic:spPr>
                      </pic:pic>
                    </a:graphicData>
                  </a:graphic>
                </wp:inline>
              </w:drawing>
            </w:r>
          </w:p>
        </w:tc>
      </w:tr>
    </w:tbl>
    <w:p>
      <w:pPr>
        <w:jc w:val="center"/>
        <w:rPr>
          <w:rFonts w:asciiTheme="minorEastAsia" w:hAnsiTheme="minorEastAsia" w:eastAsiaTheme="minorEastAsia"/>
          <w:b/>
          <w:sz w:val="24"/>
          <w:szCs w:val="24"/>
          <w:lang w:val="en-IE"/>
        </w:rPr>
      </w:pPr>
      <w:r>
        <w:rPr>
          <w:rFonts w:hAnsiTheme="minorEastAsia" w:eastAsiaTheme="minorEastAsia"/>
          <w:b/>
          <w:color w:val="000000"/>
          <w:sz w:val="24"/>
          <w:szCs w:val="24"/>
        </w:rPr>
        <w:t>图</w:t>
      </w:r>
      <w:r>
        <w:rPr>
          <w:rFonts w:hint="eastAsia" w:hAnsiTheme="minorEastAsia" w:eastAsiaTheme="minorEastAsia"/>
          <w:b/>
          <w:color w:val="000000"/>
          <w:sz w:val="24"/>
          <w:szCs w:val="24"/>
        </w:rPr>
        <w:t>4</w:t>
      </w:r>
      <w:r>
        <w:rPr>
          <w:rFonts w:hAnsiTheme="minorEastAsia" w:eastAsiaTheme="minorEastAsia"/>
          <w:b/>
          <w:color w:val="000000"/>
          <w:sz w:val="24"/>
          <w:szCs w:val="24"/>
        </w:rPr>
        <w:t>-</w:t>
      </w:r>
      <w:r>
        <w:rPr>
          <w:rFonts w:hint="eastAsia" w:hAnsiTheme="minorEastAsia" w:eastAsiaTheme="minorEastAsia"/>
          <w:b/>
          <w:color w:val="000000"/>
          <w:sz w:val="24"/>
          <w:szCs w:val="24"/>
          <w:lang w:val="en-US" w:eastAsia="zh-CN"/>
        </w:rPr>
        <w:t xml:space="preserve">2 </w:t>
      </w:r>
      <w:r>
        <w:rPr>
          <w:rFonts w:hint="eastAsia" w:hAnsiTheme="minorEastAsia" w:eastAsiaTheme="minorEastAsia"/>
          <w:b/>
          <w:color w:val="000000"/>
          <w:sz w:val="24"/>
          <w:szCs w:val="24"/>
          <w:lang w:eastAsia="zh-CN"/>
        </w:rPr>
        <w:t>隔油池及截流沟设施图</w:t>
      </w:r>
    </w:p>
    <w:p>
      <w:pPr>
        <w:adjustRightInd w:val="0"/>
        <w:snapToGrid w:val="0"/>
        <w:spacing w:line="360" w:lineRule="auto"/>
        <w:rPr>
          <w:b/>
          <w:sz w:val="28"/>
          <w:szCs w:val="28"/>
          <w:lang w:val="en-IE"/>
        </w:rPr>
      </w:pPr>
      <w:r>
        <w:rPr>
          <w:rFonts w:hint="eastAsia"/>
          <w:b/>
          <w:sz w:val="28"/>
          <w:szCs w:val="28"/>
          <w:lang w:val="en-IE"/>
        </w:rPr>
        <w:t>4</w:t>
      </w:r>
      <w:r>
        <w:rPr>
          <w:b/>
          <w:sz w:val="28"/>
          <w:szCs w:val="28"/>
          <w:lang w:val="en-IE"/>
        </w:rPr>
        <w:t>.</w:t>
      </w:r>
      <w:r>
        <w:rPr>
          <w:rFonts w:hint="eastAsia"/>
          <w:b/>
          <w:sz w:val="28"/>
          <w:szCs w:val="28"/>
          <w:lang w:val="en-IE"/>
        </w:rPr>
        <w:t>1</w:t>
      </w:r>
      <w:r>
        <w:rPr>
          <w:b/>
          <w:sz w:val="28"/>
          <w:szCs w:val="28"/>
          <w:lang w:val="en-IE"/>
        </w:rPr>
        <w:t>.2  废气</w:t>
      </w:r>
    </w:p>
    <w:p>
      <w:pPr>
        <w:adjustRightInd w:val="0"/>
        <w:snapToGrid w:val="0"/>
        <w:spacing w:line="360" w:lineRule="auto"/>
        <w:ind w:firstLine="480" w:firstLineChars="200"/>
        <w:rPr>
          <w:rFonts w:hint="eastAsia" w:eastAsiaTheme="minorEastAsia"/>
          <w:bCs/>
          <w:sz w:val="24"/>
          <w:szCs w:val="24"/>
        </w:rPr>
      </w:pPr>
      <w:r>
        <w:rPr>
          <w:rFonts w:hint="eastAsia" w:asciiTheme="minorEastAsia" w:hAnsiTheme="minorEastAsia" w:eastAsiaTheme="minorEastAsia"/>
          <w:bCs/>
          <w:sz w:val="24"/>
          <w:szCs w:val="24"/>
        </w:rPr>
        <w:t>项目废气主要为卸油废气、储存废气、机动车加油废气。汽车卸油过程中通过一次油气回收系统回收后运回油库进行油气回收处理，且卸油区设置油气回收阀；加油站采用埋地式储油罐，密闭型较好，油罐呼吸由机械呼吸阀排放，储油罐罐室内气温比较稳定，受大气环境稳定影响较小，延缓油品变质，油罐储存小呼吸蒸发损耗较小；加油过程油气设二次回收系统，经回收后进入油罐</w:t>
      </w:r>
      <w:r>
        <w:rPr>
          <w:rFonts w:hint="eastAsia" w:eastAsiaTheme="minorEastAsia"/>
          <w:bCs/>
          <w:sz w:val="24"/>
          <w:szCs w:val="24"/>
        </w:rPr>
        <w:t>。</w:t>
      </w:r>
    </w:p>
    <w:tbl>
      <w:tblPr>
        <w:tblStyle w:val="29"/>
        <w:tblW w:w="0" w:type="auto"/>
        <w:tblInd w:w="2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0" w:type="dxa"/>
          </w:tcPr>
          <w:p>
            <w:pPr>
              <w:adjustRightInd w:val="0"/>
              <w:snapToGrid w:val="0"/>
              <w:spacing w:line="360" w:lineRule="auto"/>
              <w:jc w:val="center"/>
              <w:rPr>
                <w:rFonts w:hint="eastAsia" w:eastAsiaTheme="minorEastAsia"/>
                <w:bCs/>
                <w:sz w:val="24"/>
                <w:szCs w:val="24"/>
                <w:vertAlign w:val="baseline"/>
                <w:lang w:eastAsia="zh-CN"/>
              </w:rPr>
            </w:pPr>
            <w:r>
              <w:rPr>
                <w:rFonts w:hint="eastAsia" w:eastAsiaTheme="minorEastAsia"/>
                <w:bCs/>
                <w:sz w:val="24"/>
                <w:szCs w:val="24"/>
                <w:vertAlign w:val="baseline"/>
                <w:lang w:eastAsia="zh-CN"/>
              </w:rPr>
              <w:drawing>
                <wp:inline distT="0" distB="0" distL="114300" distR="114300">
                  <wp:extent cx="2458085" cy="1843405"/>
                  <wp:effectExtent l="0" t="0" r="18415" b="4445"/>
                  <wp:docPr id="8" name="图片 8" descr="f0802e1e3fe8954506c54a217c651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0802e1e3fe8954506c54a217c651c8"/>
                          <pic:cNvPicPr>
                            <a:picLocks noChangeAspect="1"/>
                          </pic:cNvPicPr>
                        </pic:nvPicPr>
                        <pic:blipFill>
                          <a:blip r:embed="rId15"/>
                          <a:stretch>
                            <a:fillRect/>
                          </a:stretch>
                        </pic:blipFill>
                        <pic:spPr>
                          <a:xfrm>
                            <a:off x="0" y="0"/>
                            <a:ext cx="2458085" cy="1843405"/>
                          </a:xfrm>
                          <a:prstGeom prst="rect">
                            <a:avLst/>
                          </a:prstGeom>
                        </pic:spPr>
                      </pic:pic>
                    </a:graphicData>
                  </a:graphic>
                </wp:inline>
              </w:drawing>
            </w:r>
          </w:p>
        </w:tc>
      </w:tr>
    </w:tbl>
    <w:p>
      <w:pPr>
        <w:jc w:val="center"/>
        <w:rPr>
          <w:rFonts w:asciiTheme="minorEastAsia" w:hAnsiTheme="minorEastAsia" w:eastAsiaTheme="minorEastAsia"/>
          <w:b/>
          <w:sz w:val="24"/>
          <w:szCs w:val="24"/>
          <w:lang w:val="en-IE"/>
        </w:rPr>
      </w:pPr>
      <w:r>
        <w:rPr>
          <w:rFonts w:hAnsiTheme="minorEastAsia" w:eastAsiaTheme="minorEastAsia"/>
          <w:b/>
          <w:color w:val="000000"/>
          <w:sz w:val="24"/>
          <w:szCs w:val="24"/>
        </w:rPr>
        <w:t>图</w:t>
      </w:r>
      <w:r>
        <w:rPr>
          <w:rFonts w:hint="eastAsia" w:hAnsiTheme="minorEastAsia" w:eastAsiaTheme="minorEastAsia"/>
          <w:b/>
          <w:color w:val="000000"/>
          <w:sz w:val="24"/>
          <w:szCs w:val="24"/>
        </w:rPr>
        <w:t>4</w:t>
      </w:r>
      <w:r>
        <w:rPr>
          <w:rFonts w:hAnsiTheme="minorEastAsia" w:eastAsiaTheme="minorEastAsia"/>
          <w:b/>
          <w:color w:val="000000"/>
          <w:sz w:val="24"/>
          <w:szCs w:val="24"/>
        </w:rPr>
        <w:t>-</w:t>
      </w:r>
      <w:r>
        <w:rPr>
          <w:rFonts w:hint="eastAsia" w:hAnsiTheme="minorEastAsia" w:eastAsiaTheme="minorEastAsia"/>
          <w:b/>
          <w:color w:val="000000"/>
          <w:sz w:val="24"/>
          <w:szCs w:val="24"/>
          <w:lang w:val="en-US" w:eastAsia="zh-CN"/>
        </w:rPr>
        <w:t xml:space="preserve">3 </w:t>
      </w:r>
      <w:r>
        <w:rPr>
          <w:rFonts w:hint="eastAsia" w:hAnsiTheme="minorEastAsia" w:eastAsiaTheme="minorEastAsia"/>
          <w:b/>
          <w:color w:val="000000"/>
          <w:sz w:val="24"/>
          <w:szCs w:val="24"/>
          <w:lang w:eastAsia="zh-CN"/>
        </w:rPr>
        <w:t>废气设施图</w:t>
      </w:r>
    </w:p>
    <w:p>
      <w:pPr>
        <w:adjustRightInd w:val="0"/>
        <w:snapToGrid w:val="0"/>
        <w:spacing w:line="360" w:lineRule="auto"/>
        <w:rPr>
          <w:b/>
          <w:sz w:val="28"/>
          <w:szCs w:val="28"/>
          <w:lang w:val="en-IE"/>
        </w:rPr>
      </w:pPr>
      <w:r>
        <w:rPr>
          <w:rFonts w:hint="eastAsia"/>
          <w:b/>
          <w:sz w:val="28"/>
          <w:szCs w:val="28"/>
          <w:lang w:val="en-IE"/>
        </w:rPr>
        <w:t>4</w:t>
      </w:r>
      <w:r>
        <w:rPr>
          <w:b/>
          <w:sz w:val="28"/>
          <w:szCs w:val="28"/>
          <w:lang w:val="en-IE"/>
        </w:rPr>
        <w:t>.</w:t>
      </w:r>
      <w:r>
        <w:rPr>
          <w:rFonts w:hint="eastAsia"/>
          <w:b/>
          <w:sz w:val="28"/>
          <w:szCs w:val="28"/>
          <w:lang w:val="en-IE"/>
        </w:rPr>
        <w:t>1</w:t>
      </w:r>
      <w:r>
        <w:rPr>
          <w:b/>
          <w:sz w:val="28"/>
          <w:szCs w:val="28"/>
          <w:lang w:val="en-IE"/>
        </w:rPr>
        <w:t>.3  噪声</w:t>
      </w:r>
    </w:p>
    <w:p>
      <w:pPr>
        <w:adjustRightInd w:val="0"/>
        <w:snapToGrid w:val="0"/>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本项目</w:t>
      </w:r>
      <w:r>
        <w:rPr>
          <w:rFonts w:asciiTheme="minorEastAsia" w:hAnsiTheme="minorEastAsia" w:eastAsiaTheme="minorEastAsia"/>
          <w:bCs/>
          <w:sz w:val="24"/>
          <w:szCs w:val="24"/>
        </w:rPr>
        <w:t>噪声源主要来自</w:t>
      </w:r>
      <w:r>
        <w:rPr>
          <w:rFonts w:hint="eastAsia" w:asciiTheme="minorEastAsia" w:hAnsiTheme="minorEastAsia" w:eastAsiaTheme="minorEastAsia"/>
          <w:bCs/>
          <w:sz w:val="24"/>
          <w:szCs w:val="24"/>
        </w:rPr>
        <w:t>加油泵、加油机、柴油发电机等设备噪声以及进出车辆的交通噪声，柴油发电机位于站房内，采用建筑隔音。</w:t>
      </w:r>
    </w:p>
    <w:p>
      <w:pPr>
        <w:adjustRightInd w:val="0"/>
        <w:snapToGrid w:val="0"/>
        <w:spacing w:line="360" w:lineRule="auto"/>
        <w:rPr>
          <w:b/>
          <w:sz w:val="28"/>
          <w:szCs w:val="28"/>
          <w:lang w:val="en-IE"/>
        </w:rPr>
      </w:pPr>
      <w:r>
        <w:rPr>
          <w:rFonts w:hint="eastAsia"/>
          <w:b/>
          <w:sz w:val="28"/>
          <w:szCs w:val="28"/>
          <w:lang w:val="en-IE"/>
        </w:rPr>
        <w:t>4</w:t>
      </w:r>
      <w:r>
        <w:rPr>
          <w:b/>
          <w:sz w:val="28"/>
          <w:szCs w:val="28"/>
          <w:lang w:val="en-IE"/>
        </w:rPr>
        <w:t>.</w:t>
      </w:r>
      <w:r>
        <w:rPr>
          <w:rFonts w:hint="eastAsia"/>
          <w:b/>
          <w:sz w:val="28"/>
          <w:szCs w:val="28"/>
          <w:lang w:val="en-IE"/>
        </w:rPr>
        <w:t>1</w:t>
      </w:r>
      <w:r>
        <w:rPr>
          <w:b/>
          <w:sz w:val="28"/>
          <w:szCs w:val="28"/>
          <w:lang w:val="en-IE"/>
        </w:rPr>
        <w:t>.4  固体废物</w:t>
      </w:r>
    </w:p>
    <w:p>
      <w:pPr>
        <w:adjustRightInd w:val="0"/>
        <w:snapToGrid w:val="0"/>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sz w:val="24"/>
          <w:szCs w:val="24"/>
        </w:rPr>
        <w:t>本项目产生的</w:t>
      </w:r>
      <w:r>
        <w:rPr>
          <w:rFonts w:hint="eastAsia" w:asciiTheme="minorEastAsia" w:hAnsiTheme="minorEastAsia" w:eastAsiaTheme="minorEastAsia"/>
          <w:bCs/>
          <w:sz w:val="24"/>
          <w:szCs w:val="24"/>
        </w:rPr>
        <w:t>固体</w:t>
      </w:r>
      <w:r>
        <w:rPr>
          <w:rFonts w:hint="eastAsia" w:asciiTheme="minorEastAsia" w:hAnsiTheme="minorEastAsia" w:eastAsiaTheme="minorEastAsia"/>
          <w:sz w:val="24"/>
          <w:szCs w:val="24"/>
        </w:rPr>
        <w:t>废物包括包括生活垃圾、生化池污泥、便利店包装废物、危险废物</w:t>
      </w:r>
      <w:r>
        <w:rPr>
          <w:rFonts w:hint="eastAsia" w:asciiTheme="minorEastAsia" w:hAnsiTheme="minorEastAsia" w:eastAsiaTheme="minorEastAsia"/>
          <w:bCs/>
          <w:sz w:val="24"/>
          <w:szCs w:val="24"/>
        </w:rPr>
        <w:t>。</w:t>
      </w:r>
    </w:p>
    <w:p>
      <w:pPr>
        <w:adjustRightInd w:val="0"/>
        <w:snapToGrid w:val="0"/>
        <w:spacing w:line="360" w:lineRule="auto"/>
        <w:ind w:firstLine="480" w:firstLineChars="200"/>
        <w:rPr>
          <w:rFonts w:hint="eastAsia" w:asciiTheme="minorEastAsia" w:hAnsiTheme="minorEastAsia" w:eastAsiaTheme="minorEastAsia"/>
          <w:bCs/>
          <w:sz w:val="24"/>
          <w:szCs w:val="24"/>
        </w:rPr>
      </w:pPr>
      <w:r>
        <w:rPr>
          <w:rFonts w:asciiTheme="minorEastAsia" w:hAnsiTheme="minorEastAsia" w:eastAsiaTheme="minorEastAsia"/>
          <w:sz w:val="24"/>
          <w:szCs w:val="24"/>
        </w:rPr>
        <w:t>油罐清洗废物、</w:t>
      </w:r>
      <w:r>
        <w:rPr>
          <w:rFonts w:hint="eastAsia" w:asciiTheme="minorEastAsia" w:hAnsiTheme="minorEastAsia" w:eastAsiaTheme="minorEastAsia"/>
          <w:sz w:val="24"/>
          <w:szCs w:val="24"/>
        </w:rPr>
        <w:t>隔油池油泥、废油、</w:t>
      </w:r>
      <w:r>
        <w:rPr>
          <w:rFonts w:hint="eastAsia" w:asciiTheme="minorEastAsia" w:hAnsiTheme="minorEastAsia" w:eastAsiaTheme="minorEastAsia"/>
          <w:bCs/>
          <w:sz w:val="24"/>
          <w:szCs w:val="24"/>
        </w:rPr>
        <w:t>含油棉纱及手套、油水混合物</w:t>
      </w:r>
      <w:r>
        <w:rPr>
          <w:rFonts w:hint="eastAsia" w:asciiTheme="minorEastAsia" w:hAnsiTheme="minorEastAsia" w:eastAsiaTheme="minorEastAsia"/>
          <w:sz w:val="24"/>
          <w:szCs w:val="24"/>
        </w:rPr>
        <w:t>等危险废物暂存于铁桶内，定期交有危废资质单位处理</w:t>
      </w:r>
      <w:r>
        <w:rPr>
          <w:rFonts w:hint="eastAsia"/>
          <w:bCs/>
          <w:sz w:val="24"/>
          <w:szCs w:val="24"/>
        </w:rPr>
        <w:t>；</w:t>
      </w:r>
      <w:r>
        <w:rPr>
          <w:rFonts w:asciiTheme="minorEastAsia" w:hAnsiTheme="minorEastAsia" w:eastAsiaTheme="minorEastAsia"/>
          <w:bCs/>
          <w:sz w:val="24"/>
          <w:szCs w:val="24"/>
        </w:rPr>
        <w:t>生活垃圾由环卫部门收集后</w:t>
      </w:r>
      <w:r>
        <w:rPr>
          <w:rFonts w:hint="eastAsia" w:asciiTheme="minorEastAsia" w:hAnsiTheme="minorEastAsia" w:eastAsiaTheme="minorEastAsia"/>
          <w:bCs/>
          <w:sz w:val="24"/>
          <w:szCs w:val="24"/>
        </w:rPr>
        <w:t>处理，生化池污泥由由指定单位定期清掏并送城市生活垃圾填埋场处置。</w:t>
      </w:r>
    </w:p>
    <w:p>
      <w:pPr>
        <w:pStyle w:val="64"/>
        <w:rPr>
          <w:rFonts w:cs="Times New Roman"/>
          <w:color w:val="auto"/>
          <w:sz w:val="32"/>
        </w:rPr>
      </w:pPr>
      <w:bookmarkStart w:id="73" w:name="_Toc32072"/>
      <w:r>
        <w:rPr>
          <w:rFonts w:hint="eastAsia" w:cs="Times New Roman"/>
          <w:color w:val="auto"/>
          <w:sz w:val="32"/>
        </w:rPr>
        <w:t>4.2其他环保设施</w:t>
      </w:r>
      <w:bookmarkEnd w:id="73"/>
    </w:p>
    <w:p>
      <w:pPr>
        <w:adjustRightInd w:val="0"/>
        <w:snapToGrid w:val="0"/>
        <w:spacing w:line="360" w:lineRule="auto"/>
        <w:rPr>
          <w:b/>
          <w:sz w:val="28"/>
          <w:szCs w:val="28"/>
          <w:lang w:val="en-IE"/>
        </w:rPr>
      </w:pPr>
      <w:r>
        <w:rPr>
          <w:rFonts w:hint="eastAsia"/>
          <w:b/>
          <w:sz w:val="28"/>
          <w:szCs w:val="28"/>
          <w:lang w:val="en-IE"/>
        </w:rPr>
        <w:t>4</w:t>
      </w:r>
      <w:r>
        <w:rPr>
          <w:b/>
          <w:sz w:val="28"/>
          <w:szCs w:val="28"/>
          <w:lang w:val="en-IE"/>
        </w:rPr>
        <w:t>.</w:t>
      </w:r>
      <w:r>
        <w:rPr>
          <w:rFonts w:hint="eastAsia"/>
          <w:b/>
          <w:sz w:val="28"/>
          <w:szCs w:val="28"/>
          <w:lang w:val="en-IE"/>
        </w:rPr>
        <w:t>2</w:t>
      </w:r>
      <w:r>
        <w:rPr>
          <w:b/>
          <w:sz w:val="28"/>
          <w:szCs w:val="28"/>
          <w:lang w:val="en-IE"/>
        </w:rPr>
        <w:t>.</w:t>
      </w:r>
      <w:r>
        <w:rPr>
          <w:rFonts w:hint="eastAsia"/>
          <w:b/>
          <w:sz w:val="28"/>
          <w:szCs w:val="28"/>
          <w:lang w:val="en-IE"/>
        </w:rPr>
        <w:t>1环境风险防范设施</w:t>
      </w:r>
    </w:p>
    <w:p>
      <w:pPr>
        <w:adjustRightInd w:val="0"/>
        <w:snapToGrid w:val="0"/>
        <w:spacing w:line="5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本项目编制了《突发环境事件应急预案》、《突发环境事件风险评估报告》确保事故发生时能够得到及时有效的处理。</w:t>
      </w:r>
    </w:p>
    <w:p>
      <w:pPr>
        <w:adjustRightInd w:val="0"/>
        <w:snapToGrid w:val="0"/>
        <w:spacing w:line="5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本项目油罐均为双层油罐，均设置了液位仪和测漏仪，若油罐破裂，油品泄漏在罐内，不会外泄，同时终端会声音报警，罐池采用防渗钢筋混凝土整体浇筑。</w:t>
      </w:r>
    </w:p>
    <w:p>
      <w:pPr>
        <w:adjustRightInd w:val="0"/>
        <w:snapToGrid w:val="0"/>
        <w:spacing w:line="5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本项目配</w:t>
      </w:r>
      <w:r>
        <w:rPr>
          <w:rFonts w:hAnsiTheme="minorEastAsia" w:eastAsiaTheme="minorEastAsia"/>
          <w:bCs/>
          <w:sz w:val="24"/>
          <w:szCs w:val="24"/>
        </w:rPr>
        <w:t>备应急物资与装备，详见表</w:t>
      </w:r>
      <w:r>
        <w:rPr>
          <w:rFonts w:eastAsiaTheme="minorEastAsia"/>
          <w:bCs/>
          <w:sz w:val="24"/>
          <w:szCs w:val="24"/>
        </w:rPr>
        <w:t>4-1</w:t>
      </w:r>
      <w:r>
        <w:rPr>
          <w:rFonts w:hAnsiTheme="minorEastAsia" w:eastAsiaTheme="minorEastAsia"/>
          <w:bCs/>
          <w:sz w:val="24"/>
          <w:szCs w:val="24"/>
        </w:rPr>
        <w:t>，图</w:t>
      </w:r>
      <w:r>
        <w:rPr>
          <w:rFonts w:eastAsiaTheme="minorEastAsia"/>
          <w:bCs/>
          <w:sz w:val="24"/>
          <w:szCs w:val="24"/>
        </w:rPr>
        <w:t>4-</w:t>
      </w:r>
      <w:r>
        <w:rPr>
          <w:rFonts w:hint="eastAsia" w:eastAsiaTheme="minorEastAsia"/>
          <w:bCs/>
          <w:sz w:val="24"/>
          <w:szCs w:val="24"/>
          <w:lang w:val="en-US" w:eastAsia="zh-CN"/>
        </w:rPr>
        <w:t>4</w:t>
      </w:r>
      <w:r>
        <w:rPr>
          <w:rFonts w:hAnsiTheme="minorEastAsia" w:eastAsiaTheme="minorEastAsia"/>
          <w:bCs/>
          <w:sz w:val="24"/>
          <w:szCs w:val="24"/>
        </w:rPr>
        <w:t>。</w:t>
      </w:r>
    </w:p>
    <w:p>
      <w:pPr>
        <w:adjustRightInd w:val="0"/>
        <w:snapToGrid w:val="0"/>
        <w:spacing w:line="540" w:lineRule="exact"/>
        <w:jc w:val="center"/>
        <w:rPr>
          <w:rFonts w:hAnsiTheme="minorEastAsia" w:eastAsiaTheme="minorEastAsia"/>
          <w:b/>
          <w:bCs/>
          <w:sz w:val="24"/>
          <w:szCs w:val="24"/>
        </w:rPr>
      </w:pPr>
      <w:r>
        <w:rPr>
          <w:rFonts w:hAnsiTheme="minorEastAsia" w:eastAsiaTheme="minorEastAsia"/>
          <w:b/>
          <w:bCs/>
          <w:sz w:val="24"/>
          <w:szCs w:val="24"/>
        </w:rPr>
        <w:t>表</w:t>
      </w:r>
      <w:r>
        <w:rPr>
          <w:rFonts w:eastAsiaTheme="minorEastAsia"/>
          <w:b/>
          <w:bCs/>
          <w:sz w:val="24"/>
          <w:szCs w:val="24"/>
        </w:rPr>
        <w:t xml:space="preserve">4-1 </w:t>
      </w:r>
      <w:r>
        <w:rPr>
          <w:rFonts w:hAnsiTheme="minorEastAsia" w:eastAsiaTheme="minorEastAsia"/>
          <w:b/>
          <w:bCs/>
          <w:sz w:val="24"/>
          <w:szCs w:val="24"/>
        </w:rPr>
        <w:t>应急物资表</w:t>
      </w:r>
    </w:p>
    <w:tbl>
      <w:tblPr>
        <w:tblStyle w:val="28"/>
        <w:tblW w:w="5000" w:type="pct"/>
        <w:jc w:val="center"/>
        <w:tblBorders>
          <w:top w:val="single" w:color="auto" w:sz="2" w:space="0"/>
          <w:left w:val="none" w:color="auto" w:sz="0" w:space="0"/>
          <w:bottom w:val="single" w:color="auto" w:sz="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96"/>
        <w:gridCol w:w="2073"/>
        <w:gridCol w:w="169"/>
        <w:gridCol w:w="2424"/>
        <w:gridCol w:w="546"/>
        <w:gridCol w:w="2217"/>
        <w:gridCol w:w="1161"/>
      </w:tblGrid>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noWrap w:val="0"/>
            <w:vAlign w:val="center"/>
          </w:tcPr>
          <w:p>
            <w:pPr>
              <w:tabs>
                <w:tab w:val="center" w:pos="4819"/>
                <w:tab w:val="left" w:pos="7660"/>
              </w:tabs>
              <w:jc w:val="center"/>
              <w:rPr>
                <w:rFonts w:ascii="Times New Roman" w:hAnsi="Times New Roman"/>
                <w:b/>
                <w:kern w:val="0"/>
                <w:szCs w:val="21"/>
                <w:lang w:val="en-US" w:eastAsia="zh-CN"/>
              </w:rPr>
            </w:pPr>
            <w:r>
              <w:rPr>
                <w:bCs/>
                <w:sz w:val="21"/>
                <w:szCs w:val="21"/>
              </w:rPr>
              <w:t>序号</w:t>
            </w:r>
          </w:p>
        </w:tc>
        <w:tc>
          <w:tcPr>
            <w:tcW w:w="1116" w:type="pct"/>
            <w:noWrap w:val="0"/>
            <w:vAlign w:val="center"/>
          </w:tcPr>
          <w:p>
            <w:pPr>
              <w:tabs>
                <w:tab w:val="center" w:pos="4819"/>
                <w:tab w:val="left" w:pos="7660"/>
              </w:tabs>
              <w:jc w:val="center"/>
              <w:rPr>
                <w:rFonts w:ascii="Times New Roman" w:hAnsi="Times New Roman"/>
                <w:b/>
                <w:kern w:val="0"/>
                <w:szCs w:val="21"/>
                <w:lang w:val="en-US" w:eastAsia="zh-CN"/>
              </w:rPr>
            </w:pPr>
            <w:r>
              <w:rPr>
                <w:bCs/>
                <w:sz w:val="21"/>
                <w:szCs w:val="21"/>
              </w:rPr>
              <w:t>安全设施</w:t>
            </w:r>
          </w:p>
        </w:tc>
        <w:tc>
          <w:tcPr>
            <w:tcW w:w="1396" w:type="pct"/>
            <w:gridSpan w:val="2"/>
            <w:noWrap w:val="0"/>
            <w:vAlign w:val="center"/>
          </w:tcPr>
          <w:p>
            <w:pPr>
              <w:tabs>
                <w:tab w:val="center" w:pos="4819"/>
                <w:tab w:val="left" w:pos="7660"/>
              </w:tabs>
              <w:jc w:val="center"/>
              <w:rPr>
                <w:rFonts w:ascii="Times New Roman" w:hAnsi="Times New Roman"/>
                <w:b/>
                <w:kern w:val="0"/>
                <w:szCs w:val="21"/>
                <w:lang w:val="en-US" w:eastAsia="zh-CN"/>
              </w:rPr>
            </w:pPr>
            <w:r>
              <w:rPr>
                <w:bCs/>
                <w:sz w:val="21"/>
                <w:szCs w:val="21"/>
              </w:rPr>
              <w:t>已设置的安全设施</w:t>
            </w:r>
          </w:p>
        </w:tc>
        <w:tc>
          <w:tcPr>
            <w:tcW w:w="1488" w:type="pct"/>
            <w:gridSpan w:val="2"/>
            <w:noWrap w:val="0"/>
            <w:vAlign w:val="center"/>
          </w:tcPr>
          <w:p>
            <w:pPr>
              <w:tabs>
                <w:tab w:val="center" w:pos="4819"/>
                <w:tab w:val="left" w:pos="7660"/>
              </w:tabs>
              <w:jc w:val="center"/>
              <w:rPr>
                <w:rFonts w:ascii="Times New Roman" w:hAnsi="Times New Roman"/>
                <w:b/>
                <w:kern w:val="0"/>
                <w:szCs w:val="21"/>
                <w:lang w:val="en-US" w:eastAsia="zh-CN"/>
              </w:rPr>
            </w:pPr>
            <w:r>
              <w:rPr>
                <w:bCs/>
                <w:sz w:val="21"/>
                <w:szCs w:val="21"/>
              </w:rPr>
              <w:t>设置的部位</w:t>
            </w:r>
          </w:p>
        </w:tc>
        <w:tc>
          <w:tcPr>
            <w:tcW w:w="622" w:type="pct"/>
            <w:noWrap w:val="0"/>
            <w:vAlign w:val="center"/>
          </w:tcPr>
          <w:p>
            <w:pPr>
              <w:tabs>
                <w:tab w:val="center" w:pos="4819"/>
                <w:tab w:val="left" w:pos="7660"/>
              </w:tabs>
              <w:jc w:val="center"/>
              <w:rPr>
                <w:rFonts w:ascii="Times New Roman" w:hAnsi="Times New Roman"/>
                <w:b/>
                <w:kern w:val="0"/>
                <w:szCs w:val="21"/>
                <w:lang w:val="en-US" w:eastAsia="zh-CN"/>
              </w:rPr>
            </w:pPr>
            <w:r>
              <w:rPr>
                <w:bCs/>
                <w:sz w:val="21"/>
                <w:szCs w:val="21"/>
              </w:rPr>
              <w:t>数量</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00" w:type="pct"/>
            <w:gridSpan w:val="7"/>
            <w:noWrap w:val="0"/>
            <w:vAlign w:val="center"/>
          </w:tcPr>
          <w:p>
            <w:pPr>
              <w:tabs>
                <w:tab w:val="center" w:pos="4819"/>
                <w:tab w:val="left" w:pos="7660"/>
              </w:tabs>
              <w:jc w:val="center"/>
              <w:rPr>
                <w:rFonts w:ascii="Times New Roman" w:hAnsi="Times New Roman"/>
                <w:b/>
                <w:kern w:val="0"/>
                <w:szCs w:val="21"/>
                <w:lang w:val="en-US" w:eastAsia="zh-CN"/>
              </w:rPr>
            </w:pPr>
            <w:r>
              <w:rPr>
                <w:b w:val="0"/>
                <w:sz w:val="21"/>
                <w:szCs w:val="21"/>
              </w:rPr>
              <w:t>一、预防事故设施</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restar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1</w:t>
            </w:r>
          </w:p>
        </w:tc>
        <w:tc>
          <w:tcPr>
            <w:tcW w:w="1207" w:type="pct"/>
            <w:gridSpan w:val="2"/>
            <w:vMerge w:val="restart"/>
            <w:noWrap w:val="0"/>
            <w:vAlign w:val="center"/>
          </w:tcPr>
          <w:p>
            <w:pPr>
              <w:tabs>
                <w:tab w:val="center" w:pos="4819"/>
                <w:tab w:val="left" w:pos="7660"/>
              </w:tabs>
              <w:jc w:val="center"/>
              <w:rPr>
                <w:rFonts w:ascii="Times New Roman" w:hAnsi="Times New Roman"/>
                <w:b/>
                <w:kern w:val="0"/>
                <w:szCs w:val="21"/>
                <w:lang w:val="en-US" w:eastAsia="zh-CN"/>
              </w:rPr>
            </w:pPr>
            <w:r>
              <w:rPr>
                <w:b w:val="0"/>
                <w:sz w:val="21"/>
                <w:szCs w:val="21"/>
              </w:rPr>
              <w:t>检测、报警设施</w:t>
            </w:r>
          </w:p>
        </w:tc>
        <w:tc>
          <w:tcPr>
            <w:tcW w:w="1599" w:type="pct"/>
            <w:gridSpan w:val="2"/>
            <w:noWrap w:val="0"/>
            <w:vAlign w:val="center"/>
          </w:tcPr>
          <w:p>
            <w:pPr>
              <w:tabs>
                <w:tab w:val="center" w:pos="4819"/>
                <w:tab w:val="left" w:pos="7660"/>
              </w:tabs>
              <w:jc w:val="center"/>
              <w:rPr>
                <w:rFonts w:ascii="Times New Roman" w:hAnsi="Times New Roman"/>
                <w:kern w:val="0"/>
                <w:szCs w:val="21"/>
                <w:lang w:val="en-US" w:eastAsia="zh-CN"/>
              </w:rPr>
            </w:pPr>
            <w:r>
              <w:rPr>
                <w:rFonts w:hint="eastAsia" w:ascii="Times New Roman" w:hAnsi="Times New Roman" w:cs="Times New Roman"/>
                <w:b w:val="0"/>
                <w:sz w:val="21"/>
                <w:szCs w:val="21"/>
                <w:lang w:val="en-US" w:eastAsia="zh-CN"/>
              </w:rPr>
              <w:t>防雷防静电接地设施</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rFonts w:ascii="Times New Roman" w:hAnsi="Times New Roman" w:cs="Times New Roman"/>
                <w:b w:val="0"/>
                <w:sz w:val="21"/>
                <w:szCs w:val="21"/>
              </w:rPr>
              <w:t>卸油区</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rFonts w:ascii="Times New Roman" w:hAnsi="Times New Roman" w:cs="Times New Roman"/>
                <w:b w:val="0"/>
                <w:sz w:val="21"/>
                <w:szCs w:val="21"/>
              </w:rPr>
              <w:t>1套</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Times New Roman"/>
                <w:szCs w:val="21"/>
                <w:lang w:val="en-US" w:eastAsia="zh-CN"/>
              </w:rPr>
            </w:pPr>
          </w:p>
        </w:tc>
        <w:tc>
          <w:tcPr>
            <w:tcW w:w="1599" w:type="pct"/>
            <w:gridSpan w:val="2"/>
            <w:noWrap w:val="0"/>
            <w:vAlign w:val="center"/>
          </w:tcPr>
          <w:p>
            <w:pPr>
              <w:tabs>
                <w:tab w:val="center" w:pos="4819"/>
                <w:tab w:val="left" w:pos="7660"/>
              </w:tabs>
              <w:jc w:val="center"/>
              <w:rPr>
                <w:rFonts w:ascii="Times New Roman" w:hAnsi="Times New Roman"/>
                <w:kern w:val="0"/>
                <w:szCs w:val="21"/>
                <w:lang w:val="en-US" w:eastAsia="zh-CN"/>
              </w:rPr>
            </w:pPr>
            <w:r>
              <w:rPr>
                <w:rFonts w:ascii="Times New Roman" w:hAnsi="Times New Roman" w:cs="Times New Roman"/>
                <w:b w:val="0"/>
                <w:sz w:val="21"/>
                <w:szCs w:val="21"/>
              </w:rPr>
              <w:t>视频监控</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rFonts w:hint="eastAsia" w:ascii="Times New Roman" w:hAnsi="Times New Roman" w:cs="Times New Roman"/>
                <w:b w:val="0"/>
                <w:sz w:val="21"/>
                <w:szCs w:val="21"/>
                <w:lang w:val="en-US" w:eastAsia="zh-CN"/>
              </w:rPr>
              <w:t>办公室</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rFonts w:ascii="Times New Roman" w:hAnsi="Times New Roman" w:cs="Times New Roman"/>
                <w:b w:val="0"/>
                <w:sz w:val="21"/>
                <w:szCs w:val="21"/>
              </w:rPr>
              <w:t>1套</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Times New Roman"/>
                <w:b/>
                <w:kern w:val="0"/>
                <w:szCs w:val="21"/>
                <w:lang w:val="en-US" w:eastAsia="zh-CN"/>
              </w:rPr>
            </w:pPr>
          </w:p>
        </w:tc>
        <w:tc>
          <w:tcPr>
            <w:tcW w:w="1599" w:type="pct"/>
            <w:gridSpan w:val="2"/>
            <w:noWrap w:val="0"/>
            <w:vAlign w:val="center"/>
          </w:tcPr>
          <w:p>
            <w:pPr>
              <w:tabs>
                <w:tab w:val="center" w:pos="4819"/>
                <w:tab w:val="left" w:pos="7660"/>
              </w:tabs>
              <w:jc w:val="center"/>
              <w:rPr>
                <w:rFonts w:ascii="Times New Roman" w:hAnsi="Times New Roman"/>
                <w:kern w:val="0"/>
                <w:szCs w:val="21"/>
                <w:lang w:val="en-US" w:eastAsia="zh-CN"/>
              </w:rPr>
            </w:pPr>
            <w:r>
              <w:rPr>
                <w:rFonts w:hint="eastAsia" w:ascii="Times New Roman" w:hAnsi="Times New Roman" w:cs="Times New Roman"/>
                <w:b w:val="0"/>
                <w:sz w:val="21"/>
                <w:szCs w:val="21"/>
                <w:lang w:val="en-US" w:eastAsia="zh-CN"/>
              </w:rPr>
              <w:t>防渗漏监测井</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rFonts w:ascii="Times New Roman" w:hAnsi="Times New Roman" w:cs="Times New Roman"/>
                <w:b w:val="0"/>
                <w:sz w:val="21"/>
                <w:szCs w:val="21"/>
              </w:rPr>
              <w:t>油罐</w:t>
            </w:r>
            <w:r>
              <w:rPr>
                <w:rFonts w:hint="eastAsia" w:ascii="Times New Roman" w:hAnsi="Times New Roman" w:cs="Times New Roman"/>
                <w:b w:val="0"/>
                <w:sz w:val="21"/>
                <w:szCs w:val="21"/>
                <w:lang w:eastAsia="zh-CN"/>
              </w:rPr>
              <w:t>区</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rFonts w:hint="eastAsia" w:ascii="Times New Roman" w:hAnsi="Times New Roman" w:cs="Times New Roman"/>
                <w:b w:val="0"/>
                <w:sz w:val="21"/>
                <w:szCs w:val="21"/>
                <w:lang w:val="en-US" w:eastAsia="zh-CN"/>
              </w:rPr>
              <w:t>1个</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restar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2</w:t>
            </w:r>
          </w:p>
        </w:tc>
        <w:tc>
          <w:tcPr>
            <w:tcW w:w="1207" w:type="pct"/>
            <w:gridSpan w:val="2"/>
            <w:vMerge w:val="restart"/>
            <w:noWrap w:val="0"/>
            <w:vAlign w:val="center"/>
          </w:tcPr>
          <w:p>
            <w:pPr>
              <w:tabs>
                <w:tab w:val="center" w:pos="4819"/>
                <w:tab w:val="left" w:pos="7660"/>
              </w:tabs>
              <w:jc w:val="center"/>
              <w:rPr>
                <w:rFonts w:ascii="Times New Roman" w:hAnsi="Times New Roman"/>
                <w:szCs w:val="21"/>
                <w:lang w:val="en-US" w:eastAsia="zh-CN"/>
              </w:rPr>
            </w:pPr>
            <w:r>
              <w:rPr>
                <w:b w:val="0"/>
                <w:sz w:val="21"/>
                <w:szCs w:val="21"/>
              </w:rPr>
              <w:t>设备安全防护设施</w:t>
            </w:r>
          </w:p>
        </w:tc>
        <w:tc>
          <w:tcPr>
            <w:tcW w:w="1599" w:type="pct"/>
            <w:gridSpan w:val="2"/>
            <w:noWrap w:val="0"/>
            <w:vAlign w:val="center"/>
          </w:tcPr>
          <w:p>
            <w:pPr>
              <w:tabs>
                <w:tab w:val="center" w:pos="4819"/>
                <w:tab w:val="left" w:pos="7660"/>
              </w:tabs>
              <w:jc w:val="center"/>
              <w:rPr>
                <w:rFonts w:ascii="Times New Roman" w:hAnsi="Times New Roman"/>
                <w:szCs w:val="21"/>
                <w:lang w:val="en-US" w:eastAsia="zh-CN"/>
              </w:rPr>
            </w:pPr>
            <w:r>
              <w:rPr>
                <w:rFonts w:hint="eastAsia" w:ascii="Times New Roman" w:hAnsi="Times New Roman" w:cs="Times New Roman"/>
                <w:b w:val="0"/>
                <w:sz w:val="21"/>
                <w:szCs w:val="21"/>
                <w:lang w:val="en-US" w:eastAsia="zh-CN"/>
              </w:rPr>
              <w:t>防渗罐池</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rFonts w:ascii="Times New Roman" w:hAnsi="Times New Roman" w:cs="Times New Roman"/>
                <w:b w:val="0"/>
                <w:sz w:val="21"/>
                <w:szCs w:val="21"/>
              </w:rPr>
              <w:t>油罐</w:t>
            </w:r>
            <w:r>
              <w:rPr>
                <w:rFonts w:hint="eastAsia" w:ascii="Times New Roman" w:hAnsi="Times New Roman" w:cs="Times New Roman"/>
                <w:b w:val="0"/>
                <w:sz w:val="21"/>
                <w:szCs w:val="21"/>
                <w:lang w:eastAsia="zh-CN"/>
              </w:rPr>
              <w:t>区</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rFonts w:ascii="Times New Roman" w:hAnsi="Times New Roman" w:cs="Times New Roman"/>
                <w:b w:val="0"/>
                <w:sz w:val="21"/>
                <w:szCs w:val="21"/>
              </w:rPr>
              <w:t>1套</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Times New Roman"/>
                <w:szCs w:val="21"/>
                <w:lang w:val="en-US" w:eastAsia="zh-CN"/>
              </w:rPr>
            </w:pPr>
          </w:p>
        </w:tc>
        <w:tc>
          <w:tcPr>
            <w:tcW w:w="1599" w:type="pct"/>
            <w:gridSpan w:val="2"/>
            <w:noWrap w:val="0"/>
            <w:vAlign w:val="center"/>
          </w:tcPr>
          <w:p>
            <w:pPr>
              <w:tabs>
                <w:tab w:val="center" w:pos="4819"/>
                <w:tab w:val="left" w:pos="7660"/>
              </w:tabs>
              <w:jc w:val="center"/>
              <w:rPr>
                <w:rFonts w:ascii="Times New Roman" w:hAnsi="Times New Roman" w:cs="Times New Roman"/>
                <w:b w:val="0"/>
                <w:sz w:val="21"/>
                <w:szCs w:val="21"/>
              </w:rPr>
            </w:pPr>
            <w:r>
              <w:rPr>
                <w:rFonts w:ascii="Times New Roman" w:hAnsi="Times New Roman" w:cs="Times New Roman"/>
                <w:b w:val="0"/>
                <w:sz w:val="21"/>
                <w:szCs w:val="21"/>
              </w:rPr>
              <w:t>汽油加油、卸油</w:t>
            </w:r>
          </w:p>
          <w:p>
            <w:pPr>
              <w:tabs>
                <w:tab w:val="center" w:pos="4819"/>
                <w:tab w:val="left" w:pos="7660"/>
              </w:tabs>
              <w:jc w:val="center"/>
              <w:rPr>
                <w:rFonts w:ascii="Times New Roman" w:hAnsi="Times New Roman"/>
                <w:szCs w:val="21"/>
                <w:lang w:val="en-US" w:eastAsia="zh-CN"/>
              </w:rPr>
            </w:pPr>
            <w:r>
              <w:rPr>
                <w:rFonts w:ascii="Times New Roman" w:hAnsi="Times New Roman" w:cs="Times New Roman"/>
                <w:b w:val="0"/>
                <w:sz w:val="21"/>
                <w:szCs w:val="21"/>
              </w:rPr>
              <w:t>油气回收系统</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rFonts w:ascii="Times New Roman" w:hAnsi="Times New Roman" w:cs="Times New Roman"/>
                <w:b w:val="0"/>
                <w:sz w:val="21"/>
                <w:szCs w:val="21"/>
              </w:rPr>
              <w:t>加油区、卸油区</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rFonts w:ascii="Times New Roman" w:hAnsi="Times New Roman" w:cs="Times New Roman"/>
                <w:b w:val="0"/>
                <w:sz w:val="21"/>
                <w:szCs w:val="21"/>
              </w:rPr>
              <w:t>1套</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restar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3</w:t>
            </w:r>
          </w:p>
        </w:tc>
        <w:tc>
          <w:tcPr>
            <w:tcW w:w="1207" w:type="pct"/>
            <w:gridSpan w:val="2"/>
            <w:vMerge w:val="restart"/>
            <w:noWrap w:val="0"/>
            <w:vAlign w:val="center"/>
          </w:tcPr>
          <w:p>
            <w:pPr>
              <w:tabs>
                <w:tab w:val="center" w:pos="4819"/>
                <w:tab w:val="left" w:pos="7660"/>
              </w:tabs>
              <w:jc w:val="center"/>
              <w:rPr>
                <w:rFonts w:ascii="Times New Roman" w:hAnsi="Times New Roman"/>
                <w:szCs w:val="21"/>
                <w:lang w:val="en-US" w:eastAsia="zh-CN"/>
              </w:rPr>
            </w:pPr>
            <w:r>
              <w:rPr>
                <w:b w:val="0"/>
                <w:sz w:val="21"/>
                <w:szCs w:val="21"/>
              </w:rPr>
              <w:t>防爆设施</w:t>
            </w:r>
          </w:p>
        </w:tc>
        <w:tc>
          <w:tcPr>
            <w:tcW w:w="1599" w:type="pct"/>
            <w:gridSpan w:val="2"/>
            <w:noWrap w:val="0"/>
            <w:vAlign w:val="center"/>
          </w:tcPr>
          <w:p>
            <w:pPr>
              <w:tabs>
                <w:tab w:val="center" w:pos="4819"/>
                <w:tab w:val="left" w:pos="7660"/>
              </w:tabs>
              <w:jc w:val="center"/>
              <w:rPr>
                <w:rFonts w:ascii="Times New Roman" w:hAnsi="Times New Roman"/>
                <w:szCs w:val="21"/>
                <w:lang w:val="en-US" w:eastAsia="zh-CN"/>
              </w:rPr>
            </w:pPr>
            <w:r>
              <w:rPr>
                <w:b w:val="0"/>
                <w:sz w:val="21"/>
                <w:szCs w:val="21"/>
              </w:rPr>
              <w:t>防爆</w:t>
            </w:r>
            <w:r>
              <w:rPr>
                <w:rFonts w:hint="eastAsia"/>
                <w:b w:val="0"/>
                <w:sz w:val="21"/>
                <w:szCs w:val="21"/>
                <w:lang w:eastAsia="zh-CN"/>
              </w:rPr>
              <w:t>加油机</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rFonts w:ascii="Times New Roman" w:hAnsi="Times New Roman" w:cs="Times New Roman"/>
                <w:b w:val="0"/>
                <w:sz w:val="21"/>
                <w:szCs w:val="21"/>
              </w:rPr>
              <w:t>加油区</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rFonts w:hint="eastAsia"/>
                <w:b w:val="0"/>
                <w:sz w:val="21"/>
                <w:szCs w:val="21"/>
                <w:lang w:val="en-US" w:eastAsia="zh-CN"/>
              </w:rPr>
              <w:t>2</w:t>
            </w:r>
            <w:r>
              <w:rPr>
                <w:b w:val="0"/>
                <w:sz w:val="21"/>
                <w:szCs w:val="21"/>
              </w:rPr>
              <w:t>个</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Times New Roman"/>
                <w:szCs w:val="21"/>
                <w:lang w:val="en-US" w:eastAsia="zh-CN"/>
              </w:rPr>
            </w:pPr>
          </w:p>
        </w:tc>
        <w:tc>
          <w:tcPr>
            <w:tcW w:w="1599" w:type="pct"/>
            <w:gridSpan w:val="2"/>
            <w:noWrap w:val="0"/>
            <w:vAlign w:val="center"/>
          </w:tcPr>
          <w:p>
            <w:pPr>
              <w:tabs>
                <w:tab w:val="center" w:pos="4819"/>
                <w:tab w:val="left" w:pos="7660"/>
              </w:tabs>
              <w:jc w:val="center"/>
              <w:rPr>
                <w:rFonts w:ascii="Times New Roman" w:hAnsi="Times New Roman"/>
                <w:szCs w:val="21"/>
                <w:lang w:val="en-US" w:eastAsia="zh-CN"/>
              </w:rPr>
            </w:pPr>
            <w:r>
              <w:rPr>
                <w:b w:val="0"/>
                <w:sz w:val="21"/>
                <w:szCs w:val="21"/>
              </w:rPr>
              <w:t>防爆电筒</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rFonts w:hint="eastAsia"/>
                <w:b w:val="0"/>
                <w:sz w:val="21"/>
                <w:szCs w:val="21"/>
                <w:lang w:eastAsia="zh-CN"/>
              </w:rPr>
              <w:t>办公室</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1套</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restar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4</w:t>
            </w:r>
          </w:p>
        </w:tc>
        <w:tc>
          <w:tcPr>
            <w:tcW w:w="1207" w:type="pct"/>
            <w:gridSpan w:val="2"/>
            <w:vMerge w:val="restart"/>
            <w:noWrap w:val="0"/>
            <w:vAlign w:val="center"/>
          </w:tcPr>
          <w:p>
            <w:pPr>
              <w:tabs>
                <w:tab w:val="center" w:pos="4819"/>
                <w:tab w:val="left" w:pos="7660"/>
              </w:tabs>
              <w:jc w:val="center"/>
              <w:rPr>
                <w:rFonts w:ascii="Times New Roman" w:hAnsi="Times New Roman"/>
                <w:szCs w:val="21"/>
                <w:lang w:val="en-US" w:eastAsia="zh-CN"/>
              </w:rPr>
            </w:pPr>
            <w:r>
              <w:rPr>
                <w:b w:val="0"/>
                <w:sz w:val="21"/>
                <w:szCs w:val="21"/>
              </w:rPr>
              <w:t>作业场所防护设施</w:t>
            </w:r>
          </w:p>
        </w:tc>
        <w:tc>
          <w:tcPr>
            <w:tcW w:w="1599" w:type="pct"/>
            <w:gridSpan w:val="2"/>
            <w:noWrap w:val="0"/>
            <w:vAlign w:val="center"/>
          </w:tcPr>
          <w:p>
            <w:pPr>
              <w:tabs>
                <w:tab w:val="center" w:pos="4819"/>
                <w:tab w:val="left" w:pos="7660"/>
              </w:tabs>
              <w:jc w:val="center"/>
              <w:rPr>
                <w:rFonts w:ascii="Times New Roman" w:hAnsi="Times New Roman"/>
                <w:szCs w:val="21"/>
                <w:lang w:val="en-US" w:eastAsia="zh-CN"/>
              </w:rPr>
            </w:pPr>
            <w:r>
              <w:rPr>
                <w:b w:val="0"/>
                <w:sz w:val="21"/>
                <w:szCs w:val="21"/>
              </w:rPr>
              <w:t>防撞柱</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加油岛</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rFonts w:hint="eastAsia"/>
                <w:b w:val="0"/>
                <w:sz w:val="21"/>
                <w:szCs w:val="21"/>
                <w:lang w:val="en-US" w:eastAsia="zh-CN"/>
              </w:rPr>
              <w:t>2</w:t>
            </w:r>
            <w:r>
              <w:rPr>
                <w:b w:val="0"/>
                <w:sz w:val="21"/>
                <w:szCs w:val="21"/>
              </w:rPr>
              <w:t>个</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Times New Roman"/>
                <w:szCs w:val="21"/>
                <w:lang w:val="en-US" w:eastAsia="zh-CN"/>
              </w:rPr>
            </w:pPr>
          </w:p>
        </w:tc>
        <w:tc>
          <w:tcPr>
            <w:tcW w:w="1599" w:type="pct"/>
            <w:gridSpan w:val="2"/>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通风设施</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加油站罩棚、配电室</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自然通风</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restar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5</w:t>
            </w:r>
          </w:p>
        </w:tc>
        <w:tc>
          <w:tcPr>
            <w:tcW w:w="1207" w:type="pct"/>
            <w:gridSpan w:val="2"/>
            <w:vMerge w:val="restart"/>
            <w:noWrap w:val="0"/>
            <w:vAlign w:val="center"/>
          </w:tcPr>
          <w:p>
            <w:pPr>
              <w:tabs>
                <w:tab w:val="center" w:pos="4819"/>
                <w:tab w:val="left" w:pos="7660"/>
              </w:tabs>
              <w:jc w:val="center"/>
              <w:rPr>
                <w:rFonts w:ascii="Times New Roman" w:hAnsi="Times New Roman"/>
                <w:szCs w:val="21"/>
                <w:lang w:val="en-US" w:eastAsia="zh-CN"/>
              </w:rPr>
            </w:pPr>
            <w:r>
              <w:rPr>
                <w:b w:val="0"/>
                <w:sz w:val="21"/>
                <w:szCs w:val="21"/>
              </w:rPr>
              <w:t>安全警示标志</w:t>
            </w:r>
          </w:p>
        </w:tc>
        <w:tc>
          <w:tcPr>
            <w:tcW w:w="1599" w:type="pct"/>
            <w:gridSpan w:val="2"/>
            <w:noWrap w:val="0"/>
            <w:vAlign w:val="center"/>
          </w:tcPr>
          <w:p>
            <w:pPr>
              <w:tabs>
                <w:tab w:val="center" w:pos="4819"/>
                <w:tab w:val="left" w:pos="7660"/>
              </w:tabs>
              <w:jc w:val="center"/>
              <w:rPr>
                <w:rFonts w:ascii="Times New Roman" w:hAnsi="Times New Roman"/>
                <w:szCs w:val="21"/>
                <w:lang w:val="en-US" w:eastAsia="zh-CN"/>
              </w:rPr>
            </w:pPr>
            <w:r>
              <w:rPr>
                <w:b w:val="0"/>
                <w:sz w:val="21"/>
                <w:szCs w:val="21"/>
              </w:rPr>
              <w:t>进出口标识</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进、出口</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2处</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599" w:type="pct"/>
            <w:gridSpan w:val="2"/>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严禁烟火</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罩棚、储罐区</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5处</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Times New Roman"/>
                <w:szCs w:val="21"/>
                <w:lang w:val="en-US" w:eastAsia="zh-CN"/>
              </w:rPr>
            </w:pPr>
          </w:p>
        </w:tc>
        <w:tc>
          <w:tcPr>
            <w:tcW w:w="1599" w:type="pct"/>
            <w:gridSpan w:val="2"/>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禁止拨打手机</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罩棚</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4处</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Times New Roman"/>
                <w:b/>
                <w:kern w:val="0"/>
                <w:szCs w:val="21"/>
                <w:lang w:val="en-US" w:eastAsia="zh-CN"/>
              </w:rPr>
            </w:pPr>
          </w:p>
        </w:tc>
        <w:tc>
          <w:tcPr>
            <w:tcW w:w="1599" w:type="pct"/>
            <w:gridSpan w:val="2"/>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小心触电</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配电室</w:t>
            </w:r>
          </w:p>
        </w:tc>
        <w:tc>
          <w:tcPr>
            <w:tcW w:w="622" w:type="pct"/>
            <w:noWrap w:val="0"/>
            <w:vAlign w:val="center"/>
          </w:tcPr>
          <w:p>
            <w:pPr>
              <w:tabs>
                <w:tab w:val="center" w:pos="4819"/>
                <w:tab w:val="left" w:pos="7660"/>
              </w:tabs>
              <w:jc w:val="center"/>
              <w:rPr>
                <w:rFonts w:ascii="Times New Roman" w:hAnsi="Times New Roman"/>
                <w:szCs w:val="21"/>
                <w:lang w:val="en-US" w:eastAsia="zh-CN"/>
              </w:rPr>
            </w:pPr>
            <w:r>
              <w:rPr>
                <w:b w:val="0"/>
                <w:sz w:val="21"/>
                <w:szCs w:val="21"/>
              </w:rPr>
              <w:t>1处</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00" w:type="pct"/>
            <w:gridSpan w:val="7"/>
            <w:noWrap w:val="0"/>
            <w:vAlign w:val="center"/>
          </w:tcPr>
          <w:p>
            <w:pPr>
              <w:tabs>
                <w:tab w:val="center" w:pos="4819"/>
                <w:tab w:val="left" w:pos="7660"/>
              </w:tabs>
              <w:jc w:val="center"/>
              <w:rPr>
                <w:rFonts w:ascii="Times New Roman" w:hAnsi="Times New Roman"/>
                <w:szCs w:val="21"/>
                <w:lang w:val="en-US" w:eastAsia="zh-CN"/>
              </w:rPr>
            </w:pPr>
            <w:r>
              <w:rPr>
                <w:b w:val="0"/>
                <w:sz w:val="21"/>
                <w:szCs w:val="21"/>
              </w:rPr>
              <w:t>二、控制事故设施</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6</w:t>
            </w:r>
          </w:p>
        </w:tc>
        <w:tc>
          <w:tcPr>
            <w:tcW w:w="1207" w:type="pct"/>
            <w:gridSpan w:val="2"/>
            <w:noWrap w:val="0"/>
            <w:vAlign w:val="center"/>
          </w:tcPr>
          <w:p>
            <w:pPr>
              <w:tabs>
                <w:tab w:val="center" w:pos="4819"/>
                <w:tab w:val="left" w:pos="7660"/>
              </w:tabs>
              <w:jc w:val="center"/>
              <w:rPr>
                <w:rFonts w:ascii="Times New Roman" w:hAnsi="Times New Roman"/>
                <w:szCs w:val="21"/>
                <w:lang w:val="en-US" w:eastAsia="zh-CN"/>
              </w:rPr>
            </w:pPr>
            <w:r>
              <w:rPr>
                <w:b w:val="0"/>
                <w:sz w:val="21"/>
                <w:szCs w:val="21"/>
              </w:rPr>
              <w:t>泄压和止逆设施</w:t>
            </w:r>
          </w:p>
        </w:tc>
        <w:tc>
          <w:tcPr>
            <w:tcW w:w="1599" w:type="pct"/>
            <w:gridSpan w:val="2"/>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排气等设施</w:t>
            </w:r>
          </w:p>
        </w:tc>
        <w:tc>
          <w:tcPr>
            <w:tcW w:w="1194" w:type="pct"/>
            <w:noWrap w:val="0"/>
            <w:vAlign w:val="center"/>
          </w:tcPr>
          <w:p>
            <w:pPr>
              <w:tabs>
                <w:tab w:val="center" w:pos="4819"/>
                <w:tab w:val="left" w:pos="7660"/>
              </w:tabs>
              <w:jc w:val="center"/>
              <w:rPr>
                <w:rFonts w:ascii="Times New Roman" w:hAnsi="Times New Roman" w:eastAsia="宋体" w:cs="Times New Roman"/>
                <w:b w:val="0"/>
                <w:sz w:val="21"/>
                <w:szCs w:val="21"/>
                <w:lang w:val="en-US" w:eastAsia="zh-CN"/>
              </w:rPr>
            </w:pPr>
            <w:r>
              <w:rPr>
                <w:rFonts w:hint="eastAsia"/>
                <w:b w:val="0"/>
                <w:bCs/>
                <w:sz w:val="21"/>
                <w:szCs w:val="21"/>
                <w:lang w:eastAsia="zh-CN"/>
              </w:rPr>
              <w:t>通气管</w:t>
            </w:r>
          </w:p>
        </w:tc>
        <w:tc>
          <w:tcPr>
            <w:tcW w:w="622" w:type="pct"/>
            <w:noWrap w:val="0"/>
            <w:vAlign w:val="center"/>
          </w:tcPr>
          <w:p>
            <w:pPr>
              <w:tabs>
                <w:tab w:val="center" w:pos="4819"/>
                <w:tab w:val="left" w:pos="7660"/>
              </w:tabs>
              <w:jc w:val="center"/>
              <w:rPr>
                <w:rFonts w:ascii="Times New Roman" w:hAnsi="Times New Roman"/>
                <w:szCs w:val="21"/>
                <w:lang w:val="en-US" w:eastAsia="zh-CN"/>
              </w:rPr>
            </w:pPr>
            <w:r>
              <w:rPr>
                <w:rFonts w:hint="eastAsia"/>
                <w:b w:val="0"/>
                <w:sz w:val="21"/>
                <w:szCs w:val="21"/>
                <w:lang w:val="en-US" w:eastAsia="zh-CN"/>
              </w:rPr>
              <w:t>3</w:t>
            </w:r>
            <w:r>
              <w:rPr>
                <w:b w:val="0"/>
                <w:sz w:val="21"/>
                <w:szCs w:val="21"/>
              </w:rPr>
              <w:t>根</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restar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7</w:t>
            </w:r>
          </w:p>
        </w:tc>
        <w:tc>
          <w:tcPr>
            <w:tcW w:w="1207" w:type="pct"/>
            <w:gridSpan w:val="2"/>
            <w:vMerge w:val="restart"/>
            <w:noWrap w:val="0"/>
            <w:vAlign w:val="center"/>
          </w:tcPr>
          <w:p>
            <w:pPr>
              <w:tabs>
                <w:tab w:val="center" w:pos="4819"/>
                <w:tab w:val="left" w:pos="7660"/>
              </w:tabs>
              <w:jc w:val="center"/>
              <w:rPr>
                <w:rFonts w:ascii="Times New Roman" w:hAnsi="Times New Roman"/>
                <w:szCs w:val="21"/>
                <w:lang w:val="en-US" w:eastAsia="zh-CN"/>
              </w:rPr>
            </w:pPr>
            <w:r>
              <w:rPr>
                <w:b w:val="0"/>
                <w:sz w:val="21"/>
                <w:szCs w:val="21"/>
              </w:rPr>
              <w:t>紧急处理设施</w:t>
            </w:r>
          </w:p>
        </w:tc>
        <w:tc>
          <w:tcPr>
            <w:tcW w:w="1599" w:type="pct"/>
            <w:gridSpan w:val="2"/>
            <w:noWrap w:val="0"/>
            <w:vAlign w:val="center"/>
          </w:tcPr>
          <w:p>
            <w:pPr>
              <w:tabs>
                <w:tab w:val="center" w:pos="4819"/>
                <w:tab w:val="left" w:pos="7660"/>
              </w:tabs>
              <w:jc w:val="center"/>
              <w:rPr>
                <w:rFonts w:ascii="Times New Roman" w:hAnsi="Times New Roman"/>
                <w:kern w:val="0"/>
                <w:szCs w:val="21"/>
                <w:lang w:val="en-US" w:eastAsia="zh-CN"/>
              </w:rPr>
            </w:pPr>
            <w:r>
              <w:rPr>
                <w:rFonts w:hint="eastAsia"/>
                <w:b w:val="0"/>
                <w:sz w:val="21"/>
                <w:szCs w:val="21"/>
              </w:rPr>
              <w:t>发电机</w:t>
            </w:r>
          </w:p>
        </w:tc>
        <w:tc>
          <w:tcPr>
            <w:tcW w:w="1194" w:type="pct"/>
            <w:noWrap w:val="0"/>
            <w:vAlign w:val="center"/>
          </w:tcPr>
          <w:p>
            <w:pPr>
              <w:tabs>
                <w:tab w:val="center" w:pos="4819"/>
                <w:tab w:val="left" w:pos="7660"/>
              </w:tabs>
              <w:jc w:val="center"/>
              <w:rPr>
                <w:rFonts w:ascii="Times New Roman" w:hAnsi="Times New Roman" w:eastAsia="宋体" w:cs="Times New Roman"/>
                <w:b w:val="0"/>
                <w:sz w:val="21"/>
                <w:szCs w:val="21"/>
                <w:lang w:val="en-US" w:eastAsia="zh-CN"/>
              </w:rPr>
            </w:pPr>
            <w:r>
              <w:rPr>
                <w:rFonts w:hint="eastAsia"/>
                <w:b w:val="0"/>
                <w:bCs/>
                <w:sz w:val="21"/>
                <w:szCs w:val="21"/>
                <w:lang w:val="en-US" w:eastAsia="zh-CN"/>
              </w:rPr>
              <w:t>发电机房</w:t>
            </w:r>
          </w:p>
        </w:tc>
        <w:tc>
          <w:tcPr>
            <w:tcW w:w="622" w:type="pct"/>
            <w:noWrap w:val="0"/>
            <w:vAlign w:val="center"/>
          </w:tcPr>
          <w:p>
            <w:pPr>
              <w:tabs>
                <w:tab w:val="center" w:pos="4819"/>
                <w:tab w:val="left" w:pos="7660"/>
              </w:tabs>
              <w:jc w:val="center"/>
              <w:rPr>
                <w:rFonts w:ascii="Times New Roman" w:hAnsi="Times New Roman"/>
                <w:szCs w:val="21"/>
                <w:lang w:val="en-US" w:eastAsia="zh-CN"/>
              </w:rPr>
            </w:pPr>
            <w:r>
              <w:rPr>
                <w:rFonts w:hint="eastAsia"/>
                <w:b w:val="0"/>
                <w:sz w:val="21"/>
                <w:szCs w:val="21"/>
                <w:lang w:val="en-US" w:eastAsia="zh-CN"/>
              </w:rPr>
              <w:t>1个</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b/>
                <w:kern w:val="0"/>
                <w:szCs w:val="21"/>
                <w:lang w:val="en-US" w:eastAsia="zh-CN"/>
              </w:rPr>
            </w:pPr>
          </w:p>
        </w:tc>
        <w:tc>
          <w:tcPr>
            <w:tcW w:w="1207" w:type="pct"/>
            <w:gridSpan w:val="2"/>
            <w:vMerge w:val="continue"/>
            <w:noWrap w:val="0"/>
            <w:vAlign w:val="center"/>
          </w:tcPr>
          <w:p>
            <w:pPr>
              <w:tabs>
                <w:tab w:val="center" w:pos="4819"/>
                <w:tab w:val="left" w:pos="7660"/>
              </w:tabs>
              <w:jc w:val="center"/>
            </w:pPr>
          </w:p>
        </w:tc>
        <w:tc>
          <w:tcPr>
            <w:tcW w:w="1599" w:type="pct"/>
            <w:gridSpan w:val="2"/>
            <w:noWrap w:val="0"/>
            <w:vAlign w:val="center"/>
          </w:tcPr>
          <w:p>
            <w:pPr>
              <w:tabs>
                <w:tab w:val="center" w:pos="4819"/>
                <w:tab w:val="left" w:pos="7660"/>
              </w:tabs>
              <w:jc w:val="center"/>
            </w:pPr>
            <w:r>
              <w:rPr>
                <w:b w:val="0"/>
                <w:sz w:val="21"/>
                <w:szCs w:val="21"/>
              </w:rPr>
              <w:t>紧急切换阀</w:t>
            </w:r>
          </w:p>
        </w:tc>
        <w:tc>
          <w:tcPr>
            <w:tcW w:w="1194" w:type="pct"/>
            <w:noWrap w:val="0"/>
            <w:vAlign w:val="center"/>
          </w:tcPr>
          <w:p>
            <w:pPr>
              <w:tabs>
                <w:tab w:val="center" w:pos="4819"/>
                <w:tab w:val="left" w:pos="7660"/>
              </w:tabs>
              <w:jc w:val="center"/>
              <w:rPr>
                <w:rFonts w:ascii="Times New Roman" w:hAnsi="Times New Roman" w:eastAsia="宋体" w:cs="Times New Roman"/>
                <w:b w:val="0"/>
                <w:sz w:val="21"/>
                <w:szCs w:val="21"/>
              </w:rPr>
            </w:pPr>
            <w:r>
              <w:rPr>
                <w:rFonts w:hint="eastAsia"/>
                <w:b w:val="0"/>
                <w:bCs/>
                <w:sz w:val="21"/>
                <w:szCs w:val="21"/>
                <w:lang w:eastAsia="zh-CN"/>
              </w:rPr>
              <w:t>加油岛</w:t>
            </w:r>
          </w:p>
        </w:tc>
        <w:tc>
          <w:tcPr>
            <w:tcW w:w="622" w:type="pct"/>
            <w:noWrap w:val="0"/>
            <w:vAlign w:val="center"/>
          </w:tcPr>
          <w:p>
            <w:pPr>
              <w:tabs>
                <w:tab w:val="center" w:pos="4819"/>
                <w:tab w:val="left" w:pos="7660"/>
              </w:tabs>
              <w:jc w:val="center"/>
            </w:pPr>
            <w:r>
              <w:rPr>
                <w:rFonts w:hint="eastAsia"/>
                <w:b w:val="0"/>
                <w:sz w:val="21"/>
                <w:szCs w:val="21"/>
                <w:lang w:val="en-US" w:eastAsia="zh-CN"/>
              </w:rPr>
              <w:t>2</w:t>
            </w:r>
            <w:r>
              <w:rPr>
                <w:b w:val="0"/>
                <w:sz w:val="21"/>
                <w:szCs w:val="21"/>
              </w:rPr>
              <w:t>个</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00" w:type="pct"/>
            <w:gridSpan w:val="7"/>
            <w:noWrap w:val="0"/>
            <w:vAlign w:val="center"/>
          </w:tcPr>
          <w:p>
            <w:pPr>
              <w:tabs>
                <w:tab w:val="center" w:pos="4819"/>
                <w:tab w:val="left" w:pos="7660"/>
              </w:tabs>
              <w:jc w:val="center"/>
              <w:rPr>
                <w:rFonts w:ascii="Times New Roman" w:hAnsi="Times New Roman"/>
                <w:kern w:val="0"/>
                <w:szCs w:val="21"/>
                <w:lang w:val="en-US" w:eastAsia="zh-CN"/>
              </w:rPr>
            </w:pPr>
            <w:r>
              <w:rPr>
                <w:b w:val="0"/>
                <w:bCs/>
                <w:sz w:val="21"/>
                <w:szCs w:val="21"/>
              </w:rPr>
              <w:t>三、减少事故影响设施</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restar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8</w:t>
            </w:r>
          </w:p>
        </w:tc>
        <w:tc>
          <w:tcPr>
            <w:tcW w:w="1207" w:type="pct"/>
            <w:gridSpan w:val="2"/>
            <w:vMerge w:val="restart"/>
            <w:noWrap w:val="0"/>
            <w:vAlign w:val="center"/>
          </w:tcPr>
          <w:p>
            <w:pPr>
              <w:tabs>
                <w:tab w:val="center" w:pos="4819"/>
                <w:tab w:val="left" w:pos="7660"/>
              </w:tabs>
              <w:jc w:val="center"/>
              <w:rPr>
                <w:rFonts w:ascii="Times New Roman" w:hAnsi="Times New Roman"/>
                <w:b/>
                <w:kern w:val="0"/>
                <w:szCs w:val="21"/>
                <w:lang w:val="en-US" w:eastAsia="zh-CN"/>
              </w:rPr>
            </w:pPr>
            <w:r>
              <w:rPr>
                <w:b w:val="0"/>
                <w:sz w:val="21"/>
                <w:szCs w:val="21"/>
              </w:rPr>
              <w:t>防止火灾蔓延设施</w:t>
            </w:r>
          </w:p>
        </w:tc>
        <w:tc>
          <w:tcPr>
            <w:tcW w:w="1599" w:type="pct"/>
            <w:gridSpan w:val="2"/>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阻火器</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rFonts w:hint="eastAsia"/>
                <w:b w:val="0"/>
                <w:sz w:val="21"/>
                <w:szCs w:val="21"/>
                <w:lang w:eastAsia="zh-CN"/>
              </w:rPr>
              <w:t>加油区</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rFonts w:hint="eastAsia"/>
                <w:b w:val="0"/>
                <w:sz w:val="21"/>
                <w:szCs w:val="21"/>
                <w:lang w:val="en-US" w:eastAsia="zh-CN"/>
              </w:rPr>
              <w:t>4</w:t>
            </w:r>
            <w:r>
              <w:rPr>
                <w:b w:val="0"/>
                <w:sz w:val="21"/>
                <w:szCs w:val="21"/>
              </w:rPr>
              <w:t>个</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599" w:type="pct"/>
            <w:gridSpan w:val="2"/>
            <w:noWrap w:val="0"/>
            <w:vAlign w:val="center"/>
          </w:tcPr>
          <w:p>
            <w:pPr>
              <w:tabs>
                <w:tab w:val="center" w:pos="4819"/>
                <w:tab w:val="left" w:pos="7660"/>
              </w:tabs>
              <w:jc w:val="center"/>
              <w:rPr>
                <w:rFonts w:ascii="Times New Roman" w:hAnsi="Times New Roman"/>
                <w:kern w:val="0"/>
                <w:szCs w:val="21"/>
                <w:lang w:val="en-US" w:eastAsia="zh-CN"/>
              </w:rPr>
            </w:pPr>
            <w:r>
              <w:rPr>
                <w:rFonts w:hint="eastAsia"/>
                <w:b w:val="0"/>
                <w:sz w:val="21"/>
                <w:szCs w:val="21"/>
                <w:lang w:eastAsia="zh-CN"/>
              </w:rPr>
              <w:t>隔油池</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rFonts w:hint="eastAsia"/>
                <w:b w:val="0"/>
                <w:bCs/>
                <w:sz w:val="21"/>
                <w:szCs w:val="21"/>
                <w:lang w:eastAsia="zh-CN"/>
              </w:rPr>
              <w:t>进口处</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rFonts w:hint="eastAsia"/>
                <w:b w:val="0"/>
                <w:sz w:val="21"/>
                <w:szCs w:val="21"/>
                <w:lang w:val="en-US" w:eastAsia="zh-CN"/>
              </w:rPr>
              <w:t>2个</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restart"/>
            <w:noWrap w:val="0"/>
            <w:vAlign w:val="center"/>
          </w:tcPr>
          <w:p>
            <w:pPr>
              <w:tabs>
                <w:tab w:val="center" w:pos="4819"/>
                <w:tab w:val="left" w:pos="7660"/>
              </w:tabs>
              <w:jc w:val="center"/>
              <w:rPr>
                <w:rFonts w:ascii="Times New Roman" w:hAnsi="Times New Roman"/>
                <w:b/>
                <w:kern w:val="0"/>
                <w:szCs w:val="21"/>
                <w:lang w:val="en-US" w:eastAsia="zh-CN"/>
              </w:rPr>
            </w:pPr>
            <w:r>
              <w:rPr>
                <w:b w:val="0"/>
                <w:sz w:val="21"/>
                <w:szCs w:val="21"/>
              </w:rPr>
              <w:t>9</w:t>
            </w:r>
          </w:p>
        </w:tc>
        <w:tc>
          <w:tcPr>
            <w:tcW w:w="1207" w:type="pct"/>
            <w:gridSpan w:val="2"/>
            <w:vMerge w:val="restart"/>
            <w:noWrap w:val="0"/>
            <w:vAlign w:val="center"/>
          </w:tcPr>
          <w:p>
            <w:pPr>
              <w:tabs>
                <w:tab w:val="center" w:pos="4819"/>
                <w:tab w:val="left" w:pos="7660"/>
              </w:tabs>
              <w:jc w:val="center"/>
            </w:pPr>
            <w:r>
              <w:rPr>
                <w:b w:val="0"/>
                <w:sz w:val="21"/>
                <w:szCs w:val="21"/>
              </w:rPr>
              <w:t>灭火设施</w:t>
            </w:r>
          </w:p>
        </w:tc>
        <w:tc>
          <w:tcPr>
            <w:tcW w:w="1599" w:type="pct"/>
            <w:gridSpan w:val="2"/>
            <w:noWrap w:val="0"/>
            <w:vAlign w:val="center"/>
          </w:tcPr>
          <w:p>
            <w:pPr>
              <w:jc w:val="center"/>
            </w:pPr>
            <w:r>
              <w:rPr>
                <w:rFonts w:hint="eastAsia"/>
                <w:b w:val="0"/>
                <w:color w:val="000000"/>
                <w:sz w:val="21"/>
                <w:szCs w:val="21"/>
              </w:rPr>
              <w:t>手提式干粉灭火器</w:t>
            </w:r>
          </w:p>
        </w:tc>
        <w:tc>
          <w:tcPr>
            <w:tcW w:w="1194" w:type="pct"/>
            <w:noWrap w:val="0"/>
            <w:vAlign w:val="center"/>
          </w:tcPr>
          <w:p>
            <w:pPr>
              <w:jc w:val="center"/>
            </w:pPr>
            <w:r>
              <w:rPr>
                <w:rFonts w:hint="eastAsia"/>
                <w:b w:val="0"/>
                <w:color w:val="000000"/>
                <w:sz w:val="21"/>
                <w:szCs w:val="21"/>
                <w:lang w:val="de-DE"/>
              </w:rPr>
              <w:t>8kg</w:t>
            </w:r>
          </w:p>
        </w:tc>
        <w:tc>
          <w:tcPr>
            <w:tcW w:w="622" w:type="pct"/>
            <w:noWrap w:val="0"/>
            <w:vAlign w:val="center"/>
          </w:tcPr>
          <w:p>
            <w:pPr>
              <w:jc w:val="center"/>
            </w:pPr>
            <w:r>
              <w:rPr>
                <w:rFonts w:hint="eastAsia"/>
                <w:b w:val="0"/>
                <w:color w:val="000000"/>
                <w:sz w:val="21"/>
                <w:szCs w:val="21"/>
                <w:lang w:val="en-US" w:eastAsia="zh-CN"/>
              </w:rPr>
              <w:t>4</w:t>
            </w:r>
            <w:r>
              <w:rPr>
                <w:b w:val="0"/>
                <w:color w:val="000000"/>
                <w:sz w:val="21"/>
                <w:szCs w:val="21"/>
                <w:lang w:val="en-US" w:eastAsia="zh-CN"/>
              </w:rPr>
              <w:t>具</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Times New Roman"/>
                <w:b/>
                <w:kern w:val="0"/>
                <w:szCs w:val="21"/>
                <w:lang w:val="en-US" w:eastAsia="zh-CN"/>
              </w:rPr>
            </w:pPr>
          </w:p>
        </w:tc>
        <w:tc>
          <w:tcPr>
            <w:tcW w:w="1599" w:type="pct"/>
            <w:gridSpan w:val="2"/>
            <w:noWrap w:val="0"/>
            <w:vAlign w:val="center"/>
          </w:tcPr>
          <w:p>
            <w:pPr>
              <w:jc w:val="center"/>
              <w:rPr>
                <w:rFonts w:ascii="Times New Roman" w:hAnsi="Times New Roman"/>
                <w:kern w:val="0"/>
                <w:szCs w:val="21"/>
                <w:lang w:val="en-US" w:eastAsia="zh-CN"/>
              </w:rPr>
            </w:pPr>
            <w:r>
              <w:rPr>
                <w:rFonts w:hint="eastAsia"/>
                <w:b w:val="0"/>
                <w:color w:val="000000"/>
                <w:sz w:val="21"/>
                <w:szCs w:val="21"/>
              </w:rPr>
              <w:t>泡沫灭火器</w:t>
            </w:r>
          </w:p>
        </w:tc>
        <w:tc>
          <w:tcPr>
            <w:tcW w:w="1194" w:type="pct"/>
            <w:noWrap w:val="0"/>
            <w:vAlign w:val="center"/>
          </w:tcPr>
          <w:p>
            <w:pPr>
              <w:jc w:val="center"/>
              <w:rPr>
                <w:rFonts w:ascii="Times New Roman" w:hAnsi="Times New Roman"/>
                <w:kern w:val="0"/>
                <w:szCs w:val="21"/>
                <w:lang w:val="en-US" w:eastAsia="zh-CN"/>
              </w:rPr>
            </w:pPr>
            <w:r>
              <w:rPr>
                <w:rFonts w:hint="eastAsia"/>
                <w:b w:val="0"/>
                <w:color w:val="000000"/>
                <w:sz w:val="21"/>
                <w:szCs w:val="21"/>
                <w:lang w:val="de-DE"/>
              </w:rPr>
              <w:t>9L</w:t>
            </w:r>
          </w:p>
        </w:tc>
        <w:tc>
          <w:tcPr>
            <w:tcW w:w="622" w:type="pct"/>
            <w:noWrap w:val="0"/>
            <w:vAlign w:val="center"/>
          </w:tcPr>
          <w:p>
            <w:pPr>
              <w:jc w:val="center"/>
              <w:rPr>
                <w:rFonts w:ascii="Times New Roman" w:hAnsi="Times New Roman"/>
                <w:kern w:val="0"/>
                <w:szCs w:val="21"/>
                <w:lang w:val="en-US" w:eastAsia="zh-CN"/>
              </w:rPr>
            </w:pPr>
            <w:r>
              <w:rPr>
                <w:rFonts w:hint="eastAsia"/>
                <w:b w:val="0"/>
                <w:color w:val="000000"/>
                <w:sz w:val="21"/>
                <w:szCs w:val="21"/>
                <w:lang w:val="en-US" w:eastAsia="zh-CN"/>
              </w:rPr>
              <w:t>2</w:t>
            </w:r>
            <w:r>
              <w:rPr>
                <w:b w:val="0"/>
                <w:color w:val="000000"/>
                <w:sz w:val="21"/>
                <w:szCs w:val="21"/>
                <w:lang w:val="en-US" w:eastAsia="zh-CN"/>
              </w:rPr>
              <w:t>具</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599" w:type="pct"/>
            <w:gridSpan w:val="2"/>
            <w:noWrap w:val="0"/>
            <w:vAlign w:val="center"/>
          </w:tcPr>
          <w:p>
            <w:pPr>
              <w:jc w:val="center"/>
              <w:rPr>
                <w:rFonts w:ascii="Times New Roman" w:hAnsi="Times New Roman"/>
                <w:kern w:val="0"/>
                <w:szCs w:val="21"/>
                <w:lang w:val="en-US" w:eastAsia="zh-CN"/>
              </w:rPr>
            </w:pPr>
            <w:r>
              <w:rPr>
                <w:rFonts w:hint="eastAsia"/>
                <w:b w:val="0"/>
                <w:color w:val="000000"/>
                <w:sz w:val="21"/>
                <w:szCs w:val="21"/>
              </w:rPr>
              <w:t>推车式干粉灭火机</w:t>
            </w:r>
          </w:p>
        </w:tc>
        <w:tc>
          <w:tcPr>
            <w:tcW w:w="1194" w:type="pct"/>
            <w:noWrap w:val="0"/>
            <w:vAlign w:val="center"/>
          </w:tcPr>
          <w:p>
            <w:pPr>
              <w:jc w:val="center"/>
              <w:rPr>
                <w:rFonts w:ascii="Times New Roman" w:hAnsi="Times New Roman"/>
                <w:kern w:val="0"/>
                <w:szCs w:val="21"/>
                <w:lang w:val="en-US" w:eastAsia="zh-CN"/>
              </w:rPr>
            </w:pPr>
            <w:r>
              <w:rPr>
                <w:rFonts w:hint="eastAsia"/>
                <w:b w:val="0"/>
                <w:color w:val="000000"/>
                <w:sz w:val="21"/>
                <w:szCs w:val="21"/>
                <w:lang w:val="de-DE"/>
              </w:rPr>
              <w:t>35kg</w:t>
            </w:r>
          </w:p>
        </w:tc>
        <w:tc>
          <w:tcPr>
            <w:tcW w:w="622" w:type="pct"/>
            <w:noWrap w:val="0"/>
            <w:vAlign w:val="center"/>
          </w:tcPr>
          <w:p>
            <w:pPr>
              <w:jc w:val="center"/>
              <w:rPr>
                <w:rFonts w:ascii="Times New Roman" w:hAnsi="Times New Roman"/>
                <w:kern w:val="0"/>
                <w:szCs w:val="21"/>
                <w:lang w:val="en-US" w:eastAsia="zh-CN"/>
              </w:rPr>
            </w:pPr>
            <w:r>
              <w:rPr>
                <w:rFonts w:hint="eastAsia"/>
                <w:b w:val="0"/>
                <w:color w:val="000000"/>
                <w:sz w:val="21"/>
                <w:szCs w:val="21"/>
                <w:lang w:val="en-US" w:eastAsia="zh-CN"/>
              </w:rPr>
              <w:t>2具</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599" w:type="pct"/>
            <w:gridSpan w:val="2"/>
            <w:noWrap w:val="0"/>
            <w:vAlign w:val="center"/>
          </w:tcPr>
          <w:p>
            <w:pPr>
              <w:jc w:val="center"/>
              <w:rPr>
                <w:b w:val="0"/>
                <w:sz w:val="21"/>
                <w:szCs w:val="21"/>
              </w:rPr>
            </w:pPr>
            <w:r>
              <w:rPr>
                <w:rFonts w:hint="eastAsia"/>
                <w:b w:val="0"/>
                <w:color w:val="000000"/>
                <w:sz w:val="21"/>
                <w:szCs w:val="21"/>
              </w:rPr>
              <w:t>推车式碳酸氢钠干粉灭火器</w:t>
            </w:r>
          </w:p>
        </w:tc>
        <w:tc>
          <w:tcPr>
            <w:tcW w:w="1194" w:type="pct"/>
            <w:noWrap w:val="0"/>
            <w:vAlign w:val="center"/>
          </w:tcPr>
          <w:p>
            <w:pPr>
              <w:jc w:val="center"/>
              <w:rPr>
                <w:rFonts w:hint="eastAsia"/>
                <w:b w:val="0"/>
                <w:bCs/>
                <w:sz w:val="21"/>
                <w:szCs w:val="21"/>
                <w:lang w:eastAsia="zh-CN"/>
              </w:rPr>
            </w:pPr>
            <w:r>
              <w:rPr>
                <w:rFonts w:hint="eastAsia"/>
                <w:b w:val="0"/>
                <w:color w:val="000000"/>
                <w:sz w:val="21"/>
                <w:szCs w:val="21"/>
                <w:lang w:val="de-DE"/>
              </w:rPr>
              <w:t>50kg</w:t>
            </w:r>
          </w:p>
        </w:tc>
        <w:tc>
          <w:tcPr>
            <w:tcW w:w="622" w:type="pct"/>
            <w:noWrap w:val="0"/>
            <w:vAlign w:val="center"/>
          </w:tcPr>
          <w:p>
            <w:pPr>
              <w:jc w:val="center"/>
              <w:rPr>
                <w:rFonts w:hint="eastAsia"/>
                <w:b w:val="0"/>
                <w:sz w:val="21"/>
                <w:szCs w:val="21"/>
                <w:lang w:val="en-US" w:eastAsia="zh-CN"/>
              </w:rPr>
            </w:pPr>
            <w:r>
              <w:rPr>
                <w:b w:val="0"/>
                <w:color w:val="000000"/>
                <w:sz w:val="21"/>
                <w:szCs w:val="21"/>
                <w:lang w:val="en-US" w:eastAsia="zh-CN"/>
              </w:rPr>
              <w:t>1</w:t>
            </w:r>
            <w:r>
              <w:rPr>
                <w:rFonts w:hint="eastAsia"/>
                <w:b w:val="0"/>
                <w:color w:val="000000"/>
                <w:sz w:val="21"/>
                <w:szCs w:val="21"/>
                <w:lang w:val="en-US" w:eastAsia="zh-CN"/>
              </w:rPr>
              <w:t>具</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599" w:type="pct"/>
            <w:gridSpan w:val="2"/>
            <w:noWrap w:val="0"/>
            <w:vAlign w:val="center"/>
          </w:tcPr>
          <w:p>
            <w:pPr>
              <w:jc w:val="center"/>
              <w:rPr>
                <w:b w:val="0"/>
                <w:sz w:val="21"/>
                <w:szCs w:val="21"/>
              </w:rPr>
            </w:pPr>
            <w:r>
              <w:rPr>
                <w:rFonts w:hint="eastAsia"/>
                <w:b w:val="0"/>
                <w:color w:val="000000"/>
                <w:sz w:val="21"/>
                <w:szCs w:val="21"/>
              </w:rPr>
              <w:t>灭火毯</w:t>
            </w:r>
          </w:p>
        </w:tc>
        <w:tc>
          <w:tcPr>
            <w:tcW w:w="1194" w:type="pct"/>
            <w:noWrap w:val="0"/>
            <w:vAlign w:val="center"/>
          </w:tcPr>
          <w:p>
            <w:pPr>
              <w:jc w:val="center"/>
              <w:rPr>
                <w:rFonts w:hint="eastAsia"/>
                <w:b w:val="0"/>
                <w:bCs/>
                <w:sz w:val="21"/>
                <w:szCs w:val="21"/>
                <w:lang w:eastAsia="zh-CN"/>
              </w:rPr>
            </w:pPr>
            <w:r>
              <w:rPr>
                <w:rFonts w:hint="eastAsia"/>
                <w:b w:val="0"/>
                <w:color w:val="000000"/>
                <w:sz w:val="21"/>
                <w:szCs w:val="21"/>
                <w:lang w:val="de-DE"/>
              </w:rPr>
              <w:t>/</w:t>
            </w:r>
          </w:p>
        </w:tc>
        <w:tc>
          <w:tcPr>
            <w:tcW w:w="622" w:type="pct"/>
            <w:noWrap w:val="0"/>
            <w:vAlign w:val="center"/>
          </w:tcPr>
          <w:p>
            <w:pPr>
              <w:jc w:val="center"/>
              <w:rPr>
                <w:rFonts w:hint="eastAsia"/>
                <w:b w:val="0"/>
                <w:sz w:val="21"/>
                <w:szCs w:val="21"/>
                <w:lang w:val="en-US" w:eastAsia="zh-CN"/>
              </w:rPr>
            </w:pPr>
            <w:r>
              <w:rPr>
                <w:rFonts w:hint="eastAsia"/>
                <w:b w:val="0"/>
                <w:color w:val="000000"/>
                <w:sz w:val="21"/>
                <w:szCs w:val="21"/>
                <w:lang w:val="en-US" w:eastAsia="zh-CN"/>
              </w:rPr>
              <w:t>2块</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Times New Roman"/>
                <w:b/>
                <w:kern w:val="0"/>
                <w:szCs w:val="21"/>
                <w:lang w:val="en-US" w:eastAsia="zh-CN"/>
              </w:rPr>
            </w:pPr>
          </w:p>
        </w:tc>
        <w:tc>
          <w:tcPr>
            <w:tcW w:w="1599" w:type="pct"/>
            <w:gridSpan w:val="2"/>
            <w:noWrap w:val="0"/>
            <w:vAlign w:val="center"/>
          </w:tcPr>
          <w:p>
            <w:pPr>
              <w:jc w:val="center"/>
              <w:rPr>
                <w:rFonts w:ascii="Times New Roman" w:hAnsi="Times New Roman"/>
                <w:kern w:val="0"/>
                <w:szCs w:val="21"/>
                <w:lang w:val="en-US" w:eastAsia="zh-CN"/>
              </w:rPr>
            </w:pPr>
            <w:r>
              <w:rPr>
                <w:rFonts w:hint="eastAsia"/>
                <w:b w:val="0"/>
                <w:color w:val="000000"/>
                <w:sz w:val="21"/>
                <w:szCs w:val="21"/>
              </w:rPr>
              <w:t>消防沙</w:t>
            </w:r>
          </w:p>
        </w:tc>
        <w:tc>
          <w:tcPr>
            <w:tcW w:w="1194" w:type="pct"/>
            <w:noWrap w:val="0"/>
            <w:vAlign w:val="center"/>
          </w:tcPr>
          <w:p>
            <w:pPr>
              <w:jc w:val="center"/>
              <w:rPr>
                <w:rFonts w:ascii="Times New Roman" w:hAnsi="Times New Roman"/>
                <w:kern w:val="0"/>
                <w:szCs w:val="21"/>
                <w:lang w:val="en-US" w:eastAsia="zh-CN"/>
              </w:rPr>
            </w:pPr>
            <w:r>
              <w:rPr>
                <w:rFonts w:hint="eastAsia"/>
                <w:b w:val="0"/>
                <w:color w:val="000000"/>
                <w:sz w:val="21"/>
                <w:szCs w:val="21"/>
                <w:lang w:val="de-DE"/>
              </w:rPr>
              <w:t>2m3</w:t>
            </w:r>
          </w:p>
        </w:tc>
        <w:tc>
          <w:tcPr>
            <w:tcW w:w="622" w:type="pct"/>
            <w:noWrap w:val="0"/>
            <w:vAlign w:val="center"/>
          </w:tcPr>
          <w:p>
            <w:pPr>
              <w:jc w:val="center"/>
              <w:rPr>
                <w:rFonts w:ascii="Times New Roman" w:hAnsi="Times New Roman"/>
                <w:kern w:val="0"/>
                <w:szCs w:val="21"/>
                <w:lang w:val="en-US" w:eastAsia="zh-CN"/>
              </w:rPr>
            </w:pPr>
            <w:r>
              <w:rPr>
                <w:rFonts w:hint="eastAsia"/>
                <w:b w:val="0"/>
                <w:color w:val="000000"/>
                <w:sz w:val="21"/>
                <w:szCs w:val="21"/>
                <w:lang w:val="en-US" w:eastAsia="zh-CN"/>
              </w:rPr>
              <w:t>1处</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宋体"/>
                <w:kern w:val="0"/>
                <w:szCs w:val="21"/>
                <w:lang w:val="en-US" w:eastAsia="zh-CN"/>
              </w:rPr>
            </w:pPr>
          </w:p>
        </w:tc>
        <w:tc>
          <w:tcPr>
            <w:tcW w:w="1599" w:type="pct"/>
            <w:gridSpan w:val="2"/>
            <w:noWrap w:val="0"/>
            <w:vAlign w:val="center"/>
          </w:tcPr>
          <w:p>
            <w:pPr>
              <w:jc w:val="center"/>
              <w:rPr>
                <w:rFonts w:ascii="Times New Roman" w:hAnsi="宋体"/>
                <w:kern w:val="0"/>
                <w:szCs w:val="21"/>
                <w:lang w:val="en-US" w:eastAsia="zh-CN"/>
              </w:rPr>
            </w:pPr>
            <w:r>
              <w:rPr>
                <w:rFonts w:hint="eastAsia"/>
                <w:b w:val="0"/>
                <w:color w:val="000000"/>
                <w:sz w:val="21"/>
                <w:szCs w:val="21"/>
              </w:rPr>
              <w:t>磷酸氨盐灭火器</w:t>
            </w:r>
          </w:p>
        </w:tc>
        <w:tc>
          <w:tcPr>
            <w:tcW w:w="1194" w:type="pct"/>
            <w:noWrap w:val="0"/>
            <w:vAlign w:val="center"/>
          </w:tcPr>
          <w:p>
            <w:pPr>
              <w:jc w:val="center"/>
              <w:rPr>
                <w:rFonts w:ascii="Times New Roman" w:hAnsi="Times New Roman"/>
                <w:kern w:val="0"/>
                <w:szCs w:val="21"/>
                <w:lang w:val="en-US" w:eastAsia="zh-CN"/>
              </w:rPr>
            </w:pPr>
            <w:r>
              <w:rPr>
                <w:rFonts w:hint="eastAsia"/>
                <w:b w:val="0"/>
                <w:color w:val="000000"/>
                <w:sz w:val="21"/>
                <w:szCs w:val="21"/>
              </w:rPr>
              <w:t>2*</w:t>
            </w:r>
            <w:r>
              <w:rPr>
                <w:b w:val="0"/>
                <w:color w:val="000000"/>
                <w:sz w:val="21"/>
                <w:szCs w:val="21"/>
              </w:rPr>
              <w:t>MFZ</w:t>
            </w:r>
            <w:r>
              <w:rPr>
                <w:rFonts w:hint="eastAsia"/>
                <w:b w:val="0"/>
                <w:color w:val="000000"/>
                <w:sz w:val="21"/>
                <w:szCs w:val="21"/>
              </w:rPr>
              <w:t>-ABC5型</w:t>
            </w:r>
          </w:p>
        </w:tc>
        <w:tc>
          <w:tcPr>
            <w:tcW w:w="622" w:type="pct"/>
            <w:noWrap w:val="0"/>
            <w:vAlign w:val="center"/>
          </w:tcPr>
          <w:p>
            <w:pPr>
              <w:jc w:val="center"/>
              <w:rPr>
                <w:rFonts w:ascii="Times New Roman" w:hAnsi="Times New Roman"/>
                <w:kern w:val="0"/>
                <w:szCs w:val="21"/>
                <w:lang w:val="en-US" w:eastAsia="zh-CN"/>
              </w:rPr>
            </w:pPr>
            <w:r>
              <w:rPr>
                <w:b w:val="0"/>
                <w:color w:val="000000"/>
                <w:sz w:val="21"/>
                <w:szCs w:val="21"/>
              </w:rPr>
              <w:t>1</w:t>
            </w:r>
            <w:r>
              <w:rPr>
                <w:rFonts w:hint="eastAsia"/>
                <w:b w:val="0"/>
                <w:color w:val="000000"/>
                <w:sz w:val="21"/>
                <w:szCs w:val="21"/>
                <w:lang w:eastAsia="zh-CN"/>
              </w:rPr>
              <w:t>具</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vMerge w:val="continue"/>
            <w:noWrap w:val="0"/>
            <w:vAlign w:val="center"/>
          </w:tcPr>
          <w:p>
            <w:pPr>
              <w:tabs>
                <w:tab w:val="center" w:pos="4819"/>
                <w:tab w:val="left" w:pos="7660"/>
              </w:tabs>
              <w:jc w:val="center"/>
              <w:rPr>
                <w:rFonts w:ascii="Times New Roman" w:hAnsi="Times New Roman"/>
                <w:kern w:val="0"/>
                <w:szCs w:val="21"/>
                <w:lang w:val="en-US" w:eastAsia="zh-CN"/>
              </w:rPr>
            </w:pPr>
          </w:p>
        </w:tc>
        <w:tc>
          <w:tcPr>
            <w:tcW w:w="1207" w:type="pct"/>
            <w:gridSpan w:val="2"/>
            <w:vMerge w:val="continue"/>
            <w:noWrap w:val="0"/>
            <w:vAlign w:val="center"/>
          </w:tcPr>
          <w:p>
            <w:pPr>
              <w:tabs>
                <w:tab w:val="center" w:pos="4819"/>
                <w:tab w:val="left" w:pos="7660"/>
              </w:tabs>
              <w:jc w:val="center"/>
              <w:rPr>
                <w:rFonts w:ascii="Times New Roman" w:hAnsi="宋体"/>
                <w:kern w:val="0"/>
                <w:szCs w:val="21"/>
                <w:lang w:val="en-US" w:eastAsia="zh-CN"/>
              </w:rPr>
            </w:pPr>
          </w:p>
        </w:tc>
        <w:tc>
          <w:tcPr>
            <w:tcW w:w="1599" w:type="pct"/>
            <w:gridSpan w:val="2"/>
            <w:noWrap w:val="0"/>
            <w:vAlign w:val="center"/>
          </w:tcPr>
          <w:p>
            <w:pPr>
              <w:tabs>
                <w:tab w:val="center" w:pos="4819"/>
                <w:tab w:val="left" w:pos="7660"/>
              </w:tabs>
              <w:jc w:val="center"/>
              <w:rPr>
                <w:rFonts w:ascii="Times New Roman" w:hAnsi="宋体"/>
                <w:kern w:val="0"/>
                <w:szCs w:val="21"/>
                <w:lang w:val="en-US" w:eastAsia="zh-CN"/>
              </w:rPr>
            </w:pPr>
            <w:r>
              <w:rPr>
                <w:b w:val="0"/>
                <w:sz w:val="21"/>
                <w:szCs w:val="21"/>
              </w:rPr>
              <w:t>消防铲</w:t>
            </w:r>
          </w:p>
        </w:tc>
        <w:tc>
          <w:tcPr>
            <w:tcW w:w="1194" w:type="pct"/>
            <w:noWrap w:val="0"/>
            <w:vAlign w:val="center"/>
          </w:tcPr>
          <w:p>
            <w:pPr>
              <w:tabs>
                <w:tab w:val="center" w:pos="4819"/>
                <w:tab w:val="left" w:pos="7660"/>
              </w:tabs>
              <w:jc w:val="center"/>
              <w:rPr>
                <w:rFonts w:ascii="Times New Roman" w:hAnsi="宋体"/>
                <w:kern w:val="0"/>
                <w:szCs w:val="21"/>
                <w:lang w:val="en-US" w:eastAsia="zh-CN"/>
              </w:rPr>
            </w:pPr>
            <w:r>
              <w:rPr>
                <w:b w:val="0"/>
                <w:sz w:val="21"/>
                <w:szCs w:val="21"/>
              </w:rPr>
              <w:t>消防沙池内</w:t>
            </w:r>
          </w:p>
        </w:tc>
        <w:tc>
          <w:tcPr>
            <w:tcW w:w="622" w:type="pct"/>
            <w:noWrap w:val="0"/>
            <w:vAlign w:val="center"/>
          </w:tcPr>
          <w:p>
            <w:pPr>
              <w:tabs>
                <w:tab w:val="center" w:pos="4819"/>
                <w:tab w:val="left" w:pos="7660"/>
              </w:tabs>
              <w:jc w:val="center"/>
              <w:rPr>
                <w:rFonts w:ascii="Times New Roman" w:hAnsi="宋体"/>
                <w:kern w:val="0"/>
                <w:szCs w:val="21"/>
                <w:lang w:val="en-US" w:eastAsia="zh-CN"/>
              </w:rPr>
            </w:pPr>
            <w:r>
              <w:rPr>
                <w:rFonts w:hint="eastAsia"/>
                <w:b w:val="0"/>
                <w:sz w:val="21"/>
                <w:szCs w:val="21"/>
                <w:lang w:val="en-US" w:eastAsia="zh-CN"/>
              </w:rPr>
              <w:t>2</w:t>
            </w:r>
            <w:r>
              <w:rPr>
                <w:b w:val="0"/>
                <w:sz w:val="21"/>
                <w:szCs w:val="21"/>
              </w:rPr>
              <w:t>把</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10</w:t>
            </w:r>
          </w:p>
        </w:tc>
        <w:tc>
          <w:tcPr>
            <w:tcW w:w="1207" w:type="pct"/>
            <w:gridSpan w:val="2"/>
            <w:noWrap w:val="0"/>
            <w:vAlign w:val="center"/>
          </w:tcPr>
          <w:p>
            <w:pPr>
              <w:tabs>
                <w:tab w:val="center" w:pos="4819"/>
                <w:tab w:val="left" w:pos="7660"/>
              </w:tabs>
              <w:jc w:val="center"/>
              <w:rPr>
                <w:b w:val="0"/>
                <w:sz w:val="21"/>
                <w:szCs w:val="21"/>
              </w:rPr>
            </w:pPr>
            <w:r>
              <w:rPr>
                <w:b w:val="0"/>
                <w:sz w:val="21"/>
                <w:szCs w:val="21"/>
              </w:rPr>
              <w:t>紧急个体处置</w:t>
            </w:r>
          </w:p>
          <w:p>
            <w:pPr>
              <w:tabs>
                <w:tab w:val="center" w:pos="4819"/>
                <w:tab w:val="left" w:pos="7660"/>
              </w:tabs>
              <w:jc w:val="center"/>
              <w:rPr>
                <w:rFonts w:ascii="Times New Roman" w:hAnsi="宋体"/>
                <w:kern w:val="0"/>
                <w:szCs w:val="21"/>
                <w:lang w:val="en-US" w:eastAsia="zh-CN"/>
              </w:rPr>
            </w:pPr>
            <w:r>
              <w:rPr>
                <w:b w:val="0"/>
                <w:sz w:val="21"/>
                <w:szCs w:val="21"/>
              </w:rPr>
              <w:t>逃生设施</w:t>
            </w:r>
          </w:p>
        </w:tc>
        <w:tc>
          <w:tcPr>
            <w:tcW w:w="1599" w:type="pct"/>
            <w:gridSpan w:val="2"/>
            <w:noWrap w:val="0"/>
            <w:vAlign w:val="center"/>
          </w:tcPr>
          <w:p>
            <w:pPr>
              <w:tabs>
                <w:tab w:val="center" w:pos="4819"/>
                <w:tab w:val="left" w:pos="7660"/>
              </w:tabs>
              <w:jc w:val="center"/>
              <w:rPr>
                <w:rFonts w:ascii="Times New Roman" w:hAnsi="宋体"/>
                <w:kern w:val="0"/>
                <w:szCs w:val="21"/>
                <w:lang w:val="en-US" w:eastAsia="zh-CN"/>
              </w:rPr>
            </w:pPr>
            <w:r>
              <w:rPr>
                <w:b w:val="0"/>
                <w:sz w:val="21"/>
                <w:szCs w:val="21"/>
              </w:rPr>
              <w:t>应急照明</w:t>
            </w:r>
          </w:p>
        </w:tc>
        <w:tc>
          <w:tcPr>
            <w:tcW w:w="1194" w:type="pct"/>
            <w:noWrap w:val="0"/>
            <w:vAlign w:val="center"/>
          </w:tcPr>
          <w:p>
            <w:pPr>
              <w:tabs>
                <w:tab w:val="center" w:pos="4819"/>
                <w:tab w:val="left" w:pos="7660"/>
              </w:tabs>
              <w:jc w:val="center"/>
              <w:rPr>
                <w:rFonts w:ascii="Times New Roman" w:hAnsi="宋体"/>
                <w:kern w:val="0"/>
                <w:szCs w:val="21"/>
                <w:lang w:val="en-US" w:eastAsia="zh-CN"/>
              </w:rPr>
            </w:pPr>
            <w:r>
              <w:rPr>
                <w:rFonts w:hint="eastAsia"/>
                <w:b w:val="0"/>
                <w:sz w:val="21"/>
                <w:szCs w:val="21"/>
                <w:lang w:eastAsia="zh-CN"/>
              </w:rPr>
              <w:t>站内</w:t>
            </w:r>
          </w:p>
        </w:tc>
        <w:tc>
          <w:tcPr>
            <w:tcW w:w="622" w:type="pct"/>
            <w:noWrap w:val="0"/>
            <w:vAlign w:val="center"/>
          </w:tcPr>
          <w:p>
            <w:pPr>
              <w:tabs>
                <w:tab w:val="center" w:pos="4819"/>
                <w:tab w:val="left" w:pos="7660"/>
              </w:tabs>
              <w:jc w:val="center"/>
              <w:rPr>
                <w:rFonts w:ascii="Times New Roman" w:hAnsi="宋体"/>
                <w:kern w:val="0"/>
                <w:szCs w:val="21"/>
                <w:lang w:val="en-US" w:eastAsia="zh-CN"/>
              </w:rPr>
            </w:pPr>
            <w:r>
              <w:rPr>
                <w:rFonts w:hint="eastAsia"/>
                <w:b w:val="0"/>
                <w:sz w:val="21"/>
                <w:szCs w:val="21"/>
                <w:lang w:val="en-US" w:eastAsia="zh-CN"/>
              </w:rPr>
              <w:t>若干</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11</w:t>
            </w:r>
          </w:p>
        </w:tc>
        <w:tc>
          <w:tcPr>
            <w:tcW w:w="1207" w:type="pct"/>
            <w:gridSpan w:val="2"/>
            <w:noWrap w:val="0"/>
            <w:vAlign w:val="center"/>
          </w:tcPr>
          <w:p>
            <w:pPr>
              <w:tabs>
                <w:tab w:val="center" w:pos="4819"/>
                <w:tab w:val="left" w:pos="7660"/>
              </w:tabs>
              <w:jc w:val="center"/>
              <w:rPr>
                <w:rFonts w:ascii="Times New Roman" w:hAnsi="宋体"/>
                <w:kern w:val="0"/>
                <w:szCs w:val="21"/>
                <w:lang w:val="en-US" w:eastAsia="zh-CN"/>
              </w:rPr>
            </w:pPr>
            <w:r>
              <w:rPr>
                <w:b w:val="0"/>
                <w:sz w:val="21"/>
                <w:szCs w:val="21"/>
              </w:rPr>
              <w:t>应急救援设施</w:t>
            </w:r>
          </w:p>
        </w:tc>
        <w:tc>
          <w:tcPr>
            <w:tcW w:w="1599" w:type="pct"/>
            <w:gridSpan w:val="2"/>
            <w:noWrap w:val="0"/>
            <w:vAlign w:val="center"/>
          </w:tcPr>
          <w:p>
            <w:pPr>
              <w:tabs>
                <w:tab w:val="center" w:pos="4819"/>
                <w:tab w:val="left" w:pos="7660"/>
              </w:tabs>
              <w:jc w:val="center"/>
              <w:rPr>
                <w:rFonts w:ascii="Times New Roman" w:hAnsi="宋体"/>
                <w:bCs/>
                <w:kern w:val="0"/>
                <w:szCs w:val="21"/>
                <w:lang w:val="en-US" w:eastAsia="zh-CN"/>
              </w:rPr>
            </w:pPr>
            <w:r>
              <w:rPr>
                <w:b w:val="0"/>
                <w:sz w:val="21"/>
                <w:szCs w:val="21"/>
              </w:rPr>
              <w:t>急救包</w:t>
            </w:r>
          </w:p>
        </w:tc>
        <w:tc>
          <w:tcPr>
            <w:tcW w:w="1194" w:type="pct"/>
            <w:noWrap w:val="0"/>
            <w:vAlign w:val="center"/>
          </w:tcPr>
          <w:p>
            <w:pPr>
              <w:tabs>
                <w:tab w:val="center" w:pos="4819"/>
                <w:tab w:val="left" w:pos="7660"/>
              </w:tabs>
              <w:jc w:val="center"/>
              <w:rPr>
                <w:rFonts w:ascii="Times New Roman" w:hAnsi="宋体"/>
                <w:bCs/>
                <w:kern w:val="0"/>
                <w:szCs w:val="21"/>
                <w:lang w:val="en-US" w:eastAsia="zh-CN"/>
              </w:rPr>
            </w:pPr>
            <w:r>
              <w:rPr>
                <w:rFonts w:hint="eastAsia"/>
                <w:b w:val="0"/>
                <w:sz w:val="21"/>
                <w:szCs w:val="21"/>
                <w:lang w:eastAsia="zh-CN"/>
              </w:rPr>
              <w:t>办公室</w:t>
            </w:r>
          </w:p>
        </w:tc>
        <w:tc>
          <w:tcPr>
            <w:tcW w:w="622" w:type="pct"/>
            <w:noWrap w:val="0"/>
            <w:vAlign w:val="center"/>
          </w:tcPr>
          <w:p>
            <w:pPr>
              <w:tabs>
                <w:tab w:val="center" w:pos="4819"/>
                <w:tab w:val="left" w:pos="7660"/>
              </w:tabs>
              <w:jc w:val="center"/>
              <w:rPr>
                <w:rFonts w:hint="eastAsia" w:ascii="Times New Roman" w:hAnsi="宋体"/>
                <w:kern w:val="0"/>
                <w:szCs w:val="21"/>
                <w:lang w:val="en-US" w:eastAsia="zh-CN"/>
              </w:rPr>
            </w:pPr>
            <w:r>
              <w:rPr>
                <w:b w:val="0"/>
                <w:sz w:val="21"/>
                <w:szCs w:val="21"/>
              </w:rPr>
              <w:t>1个</w:t>
            </w:r>
          </w:p>
        </w:tc>
      </w:tr>
      <w:tr>
        <w:tblPrEx>
          <w:tblBorders>
            <w:top w:val="single" w:color="auto" w:sz="2" w:space="0"/>
            <w:left w:val="none" w:color="auto" w:sz="0" w:space="0"/>
            <w:bottom w:val="single" w:color="auto" w:sz="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5"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12</w:t>
            </w:r>
          </w:p>
        </w:tc>
        <w:tc>
          <w:tcPr>
            <w:tcW w:w="1207" w:type="pct"/>
            <w:gridSpan w:val="2"/>
            <w:noWrap w:val="0"/>
            <w:vAlign w:val="center"/>
          </w:tcPr>
          <w:p>
            <w:pPr>
              <w:tabs>
                <w:tab w:val="center" w:pos="4819"/>
                <w:tab w:val="left" w:pos="7660"/>
              </w:tabs>
              <w:jc w:val="center"/>
              <w:rPr>
                <w:rFonts w:ascii="Times New Roman" w:hAnsi="宋体"/>
                <w:kern w:val="0"/>
                <w:szCs w:val="21"/>
                <w:lang w:val="en-US" w:eastAsia="zh-CN"/>
              </w:rPr>
            </w:pPr>
            <w:r>
              <w:rPr>
                <w:b w:val="0"/>
                <w:sz w:val="21"/>
                <w:szCs w:val="21"/>
              </w:rPr>
              <w:t>劳动防护用品和装备</w:t>
            </w:r>
          </w:p>
        </w:tc>
        <w:tc>
          <w:tcPr>
            <w:tcW w:w="1599" w:type="pct"/>
            <w:gridSpan w:val="2"/>
            <w:noWrap w:val="0"/>
            <w:vAlign w:val="center"/>
          </w:tcPr>
          <w:p>
            <w:pPr>
              <w:tabs>
                <w:tab w:val="center" w:pos="4819"/>
                <w:tab w:val="left" w:pos="7660"/>
              </w:tabs>
              <w:jc w:val="center"/>
              <w:rPr>
                <w:rFonts w:ascii="Times New Roman" w:hAnsi="宋体"/>
                <w:kern w:val="0"/>
                <w:szCs w:val="21"/>
                <w:lang w:val="en-US" w:eastAsia="zh-CN"/>
              </w:rPr>
            </w:pPr>
            <w:r>
              <w:rPr>
                <w:b w:val="0"/>
                <w:sz w:val="21"/>
                <w:szCs w:val="21"/>
              </w:rPr>
              <w:t>工作服、手套</w:t>
            </w:r>
          </w:p>
        </w:tc>
        <w:tc>
          <w:tcPr>
            <w:tcW w:w="1194" w:type="pct"/>
            <w:noWrap w:val="0"/>
            <w:vAlign w:val="center"/>
          </w:tcPr>
          <w:p>
            <w:pPr>
              <w:tabs>
                <w:tab w:val="center" w:pos="4819"/>
                <w:tab w:val="left" w:pos="7660"/>
              </w:tabs>
              <w:jc w:val="center"/>
              <w:rPr>
                <w:rFonts w:ascii="Times New Roman" w:hAnsi="Times New Roman"/>
                <w:kern w:val="0"/>
                <w:szCs w:val="21"/>
                <w:lang w:val="en-US" w:eastAsia="zh-CN"/>
              </w:rPr>
            </w:pPr>
            <w:r>
              <w:rPr>
                <w:b w:val="0"/>
                <w:sz w:val="21"/>
                <w:szCs w:val="21"/>
              </w:rPr>
              <w:t>员工佩戴</w:t>
            </w:r>
          </w:p>
        </w:tc>
        <w:tc>
          <w:tcPr>
            <w:tcW w:w="622" w:type="pct"/>
            <w:noWrap w:val="0"/>
            <w:vAlign w:val="center"/>
          </w:tcPr>
          <w:p>
            <w:pPr>
              <w:tabs>
                <w:tab w:val="center" w:pos="4819"/>
                <w:tab w:val="left" w:pos="7660"/>
              </w:tabs>
              <w:jc w:val="center"/>
              <w:rPr>
                <w:rFonts w:ascii="Times New Roman" w:hAnsi="Times New Roman"/>
                <w:kern w:val="0"/>
                <w:szCs w:val="21"/>
                <w:lang w:val="en-US" w:eastAsia="zh-CN"/>
              </w:rPr>
            </w:pPr>
            <w:r>
              <w:rPr>
                <w:rFonts w:hint="eastAsia"/>
                <w:b w:val="0"/>
                <w:sz w:val="21"/>
                <w:szCs w:val="21"/>
                <w:lang w:eastAsia="zh-CN"/>
              </w:rPr>
              <w:t>若干</w:t>
            </w:r>
          </w:p>
        </w:tc>
      </w:tr>
    </w:tbl>
    <w:p>
      <w:pPr>
        <w:adjustRightInd w:val="0"/>
        <w:snapToGrid w:val="0"/>
        <w:spacing w:line="540" w:lineRule="exact"/>
        <w:jc w:val="center"/>
        <w:rPr>
          <w:rFonts w:hAnsiTheme="minorEastAsia" w:eastAsiaTheme="minorEastAsia"/>
          <w:b/>
          <w:bCs/>
          <w:sz w:val="24"/>
          <w:szCs w:val="24"/>
        </w:rPr>
      </w:pPr>
    </w:p>
    <w:p>
      <w:pPr>
        <w:adjustRightInd w:val="0"/>
        <w:snapToGrid w:val="0"/>
        <w:spacing w:line="360" w:lineRule="auto"/>
        <w:rPr>
          <w:rFonts w:hint="eastAsia"/>
          <w:b/>
          <w:sz w:val="28"/>
          <w:szCs w:val="28"/>
          <w:lang w:val="en-IE"/>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adjustRightInd w:val="0"/>
              <w:snapToGrid w:val="0"/>
              <w:spacing w:line="360" w:lineRule="auto"/>
              <w:rPr>
                <w:rFonts w:hint="eastAsia" w:eastAsia="宋体"/>
                <w:b/>
                <w:sz w:val="28"/>
                <w:szCs w:val="28"/>
                <w:vertAlign w:val="baseline"/>
                <w:lang w:val="en-IE" w:eastAsia="zh-CN"/>
              </w:rPr>
            </w:pPr>
            <w:r>
              <w:rPr>
                <w:rFonts w:hint="eastAsia" w:eastAsia="宋体"/>
                <w:b/>
                <w:sz w:val="28"/>
                <w:szCs w:val="28"/>
                <w:vertAlign w:val="baseline"/>
                <w:lang w:val="en-IE" w:eastAsia="zh-CN"/>
              </w:rPr>
              <w:drawing>
                <wp:inline distT="0" distB="0" distL="114300" distR="114300">
                  <wp:extent cx="2765425" cy="2073910"/>
                  <wp:effectExtent l="0" t="0" r="15875" b="2540"/>
                  <wp:docPr id="13" name="图片 13" descr="f9e332556eb83c53ca996c7d35238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9e332556eb83c53ca996c7d35238f8"/>
                          <pic:cNvPicPr>
                            <a:picLocks noChangeAspect="1"/>
                          </pic:cNvPicPr>
                        </pic:nvPicPr>
                        <pic:blipFill>
                          <a:blip r:embed="rId16"/>
                          <a:stretch>
                            <a:fillRect/>
                          </a:stretch>
                        </pic:blipFill>
                        <pic:spPr>
                          <a:xfrm>
                            <a:off x="0" y="0"/>
                            <a:ext cx="2765425" cy="2073910"/>
                          </a:xfrm>
                          <a:prstGeom prst="rect">
                            <a:avLst/>
                          </a:prstGeom>
                        </pic:spPr>
                      </pic:pic>
                    </a:graphicData>
                  </a:graphic>
                </wp:inline>
              </w:drawing>
            </w:r>
          </w:p>
        </w:tc>
        <w:tc>
          <w:tcPr>
            <w:tcW w:w="4643" w:type="dxa"/>
          </w:tcPr>
          <w:p>
            <w:pPr>
              <w:adjustRightInd w:val="0"/>
              <w:snapToGrid w:val="0"/>
              <w:spacing w:line="360" w:lineRule="auto"/>
              <w:rPr>
                <w:rFonts w:hint="eastAsia" w:eastAsia="宋体"/>
                <w:b/>
                <w:sz w:val="28"/>
                <w:szCs w:val="28"/>
                <w:vertAlign w:val="baseline"/>
                <w:lang w:val="en-IE" w:eastAsia="zh-CN"/>
              </w:rPr>
            </w:pPr>
            <w:r>
              <w:rPr>
                <w:rFonts w:hint="eastAsia" w:eastAsia="宋体"/>
                <w:b/>
                <w:sz w:val="28"/>
                <w:szCs w:val="28"/>
                <w:vertAlign w:val="baseline"/>
                <w:lang w:val="en-IE" w:eastAsia="zh-CN"/>
              </w:rPr>
              <w:drawing>
                <wp:inline distT="0" distB="0" distL="114300" distR="114300">
                  <wp:extent cx="2765425" cy="2073910"/>
                  <wp:effectExtent l="0" t="0" r="15875" b="2540"/>
                  <wp:docPr id="14" name="图片 14" descr="cc36403adb9571bd94b8a9a7676c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c36403adb9571bd94b8a9a7676cf00"/>
                          <pic:cNvPicPr>
                            <a:picLocks noChangeAspect="1"/>
                          </pic:cNvPicPr>
                        </pic:nvPicPr>
                        <pic:blipFill>
                          <a:blip r:embed="rId17"/>
                          <a:stretch>
                            <a:fillRect/>
                          </a:stretch>
                        </pic:blipFill>
                        <pic:spPr>
                          <a:xfrm>
                            <a:off x="0" y="0"/>
                            <a:ext cx="2765425" cy="2073910"/>
                          </a:xfrm>
                          <a:prstGeom prst="rect">
                            <a:avLst/>
                          </a:prstGeom>
                        </pic:spPr>
                      </pic:pic>
                    </a:graphicData>
                  </a:graphic>
                </wp:inline>
              </w:drawing>
            </w:r>
          </w:p>
        </w:tc>
      </w:tr>
    </w:tbl>
    <w:p>
      <w:pPr>
        <w:jc w:val="center"/>
        <w:rPr>
          <w:rFonts w:hint="default" w:ascii="Times New Roman" w:cs="Times New Roman" w:hAnsiTheme="minorEastAsia" w:eastAsiaTheme="minorEastAsia"/>
          <w:b/>
          <w:color w:val="000000"/>
          <w:sz w:val="24"/>
          <w:szCs w:val="24"/>
          <w:lang w:val="en-US" w:eastAsia="zh-CN"/>
        </w:rPr>
      </w:pPr>
      <w:r>
        <w:rPr>
          <w:rFonts w:hint="eastAsia" w:ascii="Times New Roman" w:cs="Times New Roman" w:hAnsiTheme="minorEastAsia" w:eastAsiaTheme="minorEastAsia"/>
          <w:b/>
          <w:color w:val="000000"/>
          <w:sz w:val="24"/>
          <w:szCs w:val="24"/>
          <w:lang w:val="en-IE" w:eastAsia="zh-CN"/>
        </w:rPr>
        <w:t>图</w:t>
      </w:r>
      <w:r>
        <w:rPr>
          <w:rFonts w:hint="eastAsia" w:ascii="Times New Roman" w:cs="Times New Roman" w:hAnsiTheme="minorEastAsia" w:eastAsiaTheme="minorEastAsia"/>
          <w:b/>
          <w:color w:val="000000"/>
          <w:sz w:val="24"/>
          <w:szCs w:val="24"/>
          <w:lang w:val="en-US" w:eastAsia="zh-CN"/>
        </w:rPr>
        <w:t>4-4  消防设施图</w:t>
      </w:r>
    </w:p>
    <w:p>
      <w:pPr>
        <w:adjustRightInd w:val="0"/>
        <w:snapToGrid w:val="0"/>
        <w:spacing w:line="360" w:lineRule="auto"/>
        <w:rPr>
          <w:b/>
          <w:sz w:val="28"/>
          <w:szCs w:val="28"/>
          <w:lang w:val="en-IE"/>
        </w:rPr>
      </w:pPr>
      <w:r>
        <w:rPr>
          <w:rFonts w:hint="eastAsia"/>
          <w:b/>
          <w:sz w:val="28"/>
          <w:szCs w:val="28"/>
          <w:lang w:val="en-IE"/>
        </w:rPr>
        <w:t>4</w:t>
      </w:r>
      <w:r>
        <w:rPr>
          <w:b/>
          <w:sz w:val="28"/>
          <w:szCs w:val="28"/>
          <w:lang w:val="en-IE"/>
        </w:rPr>
        <w:t>.</w:t>
      </w:r>
      <w:r>
        <w:rPr>
          <w:rFonts w:hint="eastAsia"/>
          <w:b/>
          <w:sz w:val="28"/>
          <w:szCs w:val="28"/>
          <w:lang w:val="en-IE"/>
        </w:rPr>
        <w:t>2</w:t>
      </w:r>
      <w:r>
        <w:rPr>
          <w:b/>
          <w:sz w:val="28"/>
          <w:szCs w:val="28"/>
          <w:lang w:val="en-IE"/>
        </w:rPr>
        <w:t>.</w:t>
      </w:r>
      <w:r>
        <w:rPr>
          <w:rFonts w:hint="eastAsia"/>
          <w:b/>
          <w:sz w:val="28"/>
          <w:szCs w:val="28"/>
          <w:lang w:val="en-IE"/>
        </w:rPr>
        <w:t>1绿化</w:t>
      </w:r>
    </w:p>
    <w:p>
      <w:pPr>
        <w:spacing w:line="540" w:lineRule="exact"/>
        <w:ind w:firstLine="600" w:firstLineChars="250"/>
        <w:jc w:val="left"/>
        <w:rPr>
          <w:rFonts w:eastAsiaTheme="minorEastAsia"/>
          <w:bCs/>
          <w:sz w:val="24"/>
          <w:szCs w:val="24"/>
        </w:rPr>
      </w:pPr>
      <w:r>
        <w:rPr>
          <w:rFonts w:hAnsiTheme="minorEastAsia" w:eastAsiaTheme="minorEastAsia"/>
          <w:bCs/>
          <w:sz w:val="24"/>
          <w:szCs w:val="24"/>
        </w:rPr>
        <w:t>本项目绿化面积</w:t>
      </w:r>
      <w:r>
        <w:rPr>
          <w:rFonts w:hint="eastAsia" w:eastAsiaTheme="minorEastAsia"/>
          <w:bCs/>
          <w:sz w:val="24"/>
          <w:szCs w:val="24"/>
          <w:lang w:val="en-US" w:eastAsia="zh-CN"/>
        </w:rPr>
        <w:t>1</w:t>
      </w:r>
      <w:r>
        <w:rPr>
          <w:rFonts w:eastAsiaTheme="minorEastAsia"/>
          <w:bCs/>
          <w:sz w:val="24"/>
          <w:szCs w:val="24"/>
        </w:rPr>
        <w:t>0m</w:t>
      </w:r>
      <w:r>
        <w:rPr>
          <w:rFonts w:eastAsiaTheme="minorEastAsia"/>
          <w:bCs/>
          <w:sz w:val="24"/>
          <w:szCs w:val="24"/>
          <w:vertAlign w:val="superscript"/>
        </w:rPr>
        <w:t>2</w:t>
      </w:r>
      <w:r>
        <w:rPr>
          <w:rFonts w:hint="eastAsia" w:eastAsiaTheme="minorEastAsia"/>
          <w:bCs/>
          <w:sz w:val="24"/>
          <w:szCs w:val="24"/>
        </w:rPr>
        <w:t>。</w:t>
      </w:r>
    </w:p>
    <w:p>
      <w:pPr>
        <w:spacing w:line="240" w:lineRule="exact"/>
        <w:ind w:firstLine="703" w:firstLineChars="250"/>
        <w:jc w:val="left"/>
        <w:rPr>
          <w:b/>
          <w:bCs/>
          <w:color w:val="000000"/>
          <w:sz w:val="28"/>
          <w:szCs w:val="28"/>
        </w:rPr>
      </w:pPr>
    </w:p>
    <w:p>
      <w:pPr>
        <w:pStyle w:val="64"/>
        <w:rPr>
          <w:rFonts w:cs="Times New Roman"/>
          <w:color w:val="auto"/>
          <w:sz w:val="32"/>
        </w:rPr>
      </w:pPr>
      <w:bookmarkStart w:id="74" w:name="_Toc1157"/>
      <w:r>
        <w:rPr>
          <w:rFonts w:hint="eastAsia" w:cs="Times New Roman"/>
          <w:color w:val="auto"/>
          <w:sz w:val="32"/>
        </w:rPr>
        <w:t>4.3环保设施投资及“三同时”落实情况</w:t>
      </w:r>
      <w:bookmarkEnd w:id="74"/>
    </w:p>
    <w:p>
      <w:pPr>
        <w:spacing w:line="540" w:lineRule="exact"/>
        <w:ind w:firstLine="480" w:firstLineChars="200"/>
        <w:rPr>
          <w:bCs/>
          <w:sz w:val="24"/>
          <w:szCs w:val="24"/>
        </w:rPr>
      </w:pPr>
      <w:r>
        <w:rPr>
          <w:rFonts w:hint="eastAsia"/>
          <w:sz w:val="24"/>
          <w:szCs w:val="24"/>
        </w:rPr>
        <w:t>本</w:t>
      </w:r>
      <w:r>
        <w:rPr>
          <w:bCs/>
          <w:sz w:val="24"/>
          <w:szCs w:val="24"/>
        </w:rPr>
        <w:t>项目做到了环保设施与主体工程同时设计、同时施工、同时投入运行</w:t>
      </w:r>
      <w:r>
        <w:rPr>
          <w:rFonts w:hint="eastAsia"/>
          <w:bCs/>
          <w:sz w:val="24"/>
          <w:szCs w:val="24"/>
        </w:rPr>
        <w:t>，严格执行了环境保护“</w:t>
      </w:r>
      <w:r>
        <w:rPr>
          <w:bCs/>
          <w:sz w:val="24"/>
          <w:szCs w:val="24"/>
        </w:rPr>
        <w:t>三同时</w:t>
      </w:r>
      <w:r>
        <w:rPr>
          <w:rFonts w:hint="eastAsia"/>
          <w:bCs/>
          <w:sz w:val="24"/>
          <w:szCs w:val="24"/>
        </w:rPr>
        <w:t>”制度</w:t>
      </w:r>
      <w:r>
        <w:rPr>
          <w:bCs/>
          <w:sz w:val="24"/>
          <w:szCs w:val="24"/>
        </w:rPr>
        <w:t>。</w:t>
      </w:r>
    </w:p>
    <w:p>
      <w:pPr>
        <w:spacing w:line="540" w:lineRule="exact"/>
        <w:ind w:firstLine="480" w:firstLineChars="200"/>
        <w:rPr>
          <w:bCs/>
          <w:sz w:val="24"/>
          <w:szCs w:val="24"/>
        </w:rPr>
      </w:pPr>
      <w:r>
        <w:rPr>
          <w:rFonts w:hint="eastAsia"/>
          <w:bCs/>
          <w:sz w:val="24"/>
          <w:szCs w:val="24"/>
        </w:rPr>
        <w:t>工程实际环保投资情况见表4-2。</w:t>
      </w:r>
    </w:p>
    <w:p>
      <w:pPr>
        <w:spacing w:line="540" w:lineRule="exact"/>
        <w:jc w:val="center"/>
        <w:rPr>
          <w:b/>
          <w:bCs/>
          <w:sz w:val="28"/>
          <w:szCs w:val="28"/>
        </w:rPr>
      </w:pPr>
      <w:r>
        <w:rPr>
          <w:rFonts w:hint="eastAsia"/>
          <w:b/>
          <w:bCs/>
          <w:sz w:val="28"/>
          <w:szCs w:val="28"/>
        </w:rPr>
        <w:t>表4-2    实际环保投资一览表</w:t>
      </w:r>
    </w:p>
    <w:tbl>
      <w:tblPr>
        <w:tblStyle w:val="29"/>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5089"/>
        <w:gridCol w:w="3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01" w:type="dxa"/>
            <w:vAlign w:val="center"/>
          </w:tcPr>
          <w:p>
            <w:pPr>
              <w:widowControl/>
              <w:jc w:val="center"/>
              <w:rPr>
                <w:szCs w:val="21"/>
              </w:rPr>
            </w:pPr>
            <w:r>
              <w:rPr>
                <w:rFonts w:hint="eastAsia"/>
                <w:szCs w:val="21"/>
              </w:rPr>
              <w:t>序号</w:t>
            </w:r>
          </w:p>
        </w:tc>
        <w:tc>
          <w:tcPr>
            <w:tcW w:w="5089" w:type="dxa"/>
            <w:vAlign w:val="center"/>
          </w:tcPr>
          <w:p>
            <w:pPr>
              <w:widowControl/>
              <w:jc w:val="center"/>
              <w:rPr>
                <w:szCs w:val="21"/>
              </w:rPr>
            </w:pPr>
            <w:r>
              <w:rPr>
                <w:rFonts w:hint="eastAsia"/>
                <w:szCs w:val="21"/>
              </w:rPr>
              <w:t>名称</w:t>
            </w:r>
          </w:p>
        </w:tc>
        <w:tc>
          <w:tcPr>
            <w:tcW w:w="3096" w:type="dxa"/>
            <w:vAlign w:val="center"/>
          </w:tcPr>
          <w:p>
            <w:pPr>
              <w:widowControl/>
              <w:jc w:val="center"/>
              <w:rPr>
                <w:szCs w:val="21"/>
              </w:rPr>
            </w:pPr>
            <w:r>
              <w:rPr>
                <w:rFonts w:hint="eastAsia"/>
                <w:szCs w:val="21"/>
              </w:rPr>
              <w:t>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01" w:type="dxa"/>
            <w:vAlign w:val="center"/>
          </w:tcPr>
          <w:p>
            <w:pPr>
              <w:widowControl/>
              <w:jc w:val="center"/>
              <w:rPr>
                <w:szCs w:val="21"/>
              </w:rPr>
            </w:pPr>
            <w:r>
              <w:rPr>
                <w:rFonts w:hint="eastAsia"/>
                <w:szCs w:val="21"/>
              </w:rPr>
              <w:t>1</w:t>
            </w:r>
          </w:p>
        </w:tc>
        <w:tc>
          <w:tcPr>
            <w:tcW w:w="5089" w:type="dxa"/>
            <w:vAlign w:val="center"/>
          </w:tcPr>
          <w:p>
            <w:pPr>
              <w:widowControl/>
              <w:jc w:val="center"/>
              <w:rPr>
                <w:szCs w:val="21"/>
              </w:rPr>
            </w:pPr>
            <w:r>
              <w:rPr>
                <w:rFonts w:hint="eastAsia"/>
                <w:szCs w:val="21"/>
              </w:rPr>
              <w:t>三段式隔油沉淀池及排水沟</w:t>
            </w:r>
          </w:p>
        </w:tc>
        <w:tc>
          <w:tcPr>
            <w:tcW w:w="3096" w:type="dxa"/>
            <w:vAlign w:val="center"/>
          </w:tcPr>
          <w:p>
            <w:pPr>
              <w:widowControl/>
              <w:jc w:val="center"/>
              <w:rPr>
                <w:rFonts w:hint="default" w:eastAsia="宋体"/>
                <w:szCs w:val="21"/>
                <w:lang w:val="en-US" w:eastAsia="zh-CN"/>
              </w:rPr>
            </w:pPr>
            <w:r>
              <w:rPr>
                <w:rFonts w:hint="eastAsia"/>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01" w:type="dxa"/>
            <w:vAlign w:val="center"/>
          </w:tcPr>
          <w:p>
            <w:pPr>
              <w:widowControl/>
              <w:jc w:val="center"/>
              <w:rPr>
                <w:szCs w:val="21"/>
              </w:rPr>
            </w:pPr>
            <w:r>
              <w:rPr>
                <w:rFonts w:hint="eastAsia"/>
                <w:szCs w:val="21"/>
              </w:rPr>
              <w:t>2</w:t>
            </w:r>
          </w:p>
        </w:tc>
        <w:tc>
          <w:tcPr>
            <w:tcW w:w="5089" w:type="dxa"/>
            <w:vAlign w:val="center"/>
          </w:tcPr>
          <w:p>
            <w:pPr>
              <w:widowControl/>
              <w:jc w:val="center"/>
              <w:rPr>
                <w:szCs w:val="21"/>
              </w:rPr>
            </w:pPr>
            <w:r>
              <w:rPr>
                <w:rFonts w:hint="eastAsia"/>
                <w:szCs w:val="21"/>
              </w:rPr>
              <w:t>生化池</w:t>
            </w:r>
          </w:p>
        </w:tc>
        <w:tc>
          <w:tcPr>
            <w:tcW w:w="3096" w:type="dxa"/>
            <w:vAlign w:val="center"/>
          </w:tcPr>
          <w:p>
            <w:pPr>
              <w:widowControl/>
              <w:jc w:val="center"/>
              <w:rPr>
                <w:rFonts w:hint="default" w:eastAsia="宋体"/>
                <w:szCs w:val="21"/>
                <w:lang w:val="en-US" w:eastAsia="zh-CN"/>
              </w:rPr>
            </w:pPr>
            <w:r>
              <w:rPr>
                <w:rFonts w:hint="eastAsia"/>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01" w:type="dxa"/>
            <w:vAlign w:val="center"/>
          </w:tcPr>
          <w:p>
            <w:pPr>
              <w:widowControl/>
              <w:jc w:val="center"/>
              <w:rPr>
                <w:szCs w:val="21"/>
              </w:rPr>
            </w:pPr>
            <w:r>
              <w:rPr>
                <w:rFonts w:hint="eastAsia"/>
                <w:szCs w:val="21"/>
              </w:rPr>
              <w:t>3</w:t>
            </w:r>
          </w:p>
        </w:tc>
        <w:tc>
          <w:tcPr>
            <w:tcW w:w="5089" w:type="dxa"/>
            <w:vAlign w:val="center"/>
          </w:tcPr>
          <w:p>
            <w:pPr>
              <w:widowControl/>
              <w:jc w:val="center"/>
              <w:rPr>
                <w:szCs w:val="21"/>
              </w:rPr>
            </w:pPr>
            <w:r>
              <w:rPr>
                <w:rFonts w:hint="eastAsia"/>
                <w:szCs w:val="21"/>
              </w:rPr>
              <w:t>油气回收系统</w:t>
            </w:r>
          </w:p>
        </w:tc>
        <w:tc>
          <w:tcPr>
            <w:tcW w:w="3096" w:type="dxa"/>
            <w:vAlign w:val="center"/>
          </w:tcPr>
          <w:p>
            <w:pPr>
              <w:widowControl/>
              <w:jc w:val="center"/>
              <w:rPr>
                <w:rFonts w:hint="default" w:eastAsia="宋体"/>
                <w:szCs w:val="21"/>
                <w:lang w:val="en-US" w:eastAsia="zh-CN"/>
              </w:rPr>
            </w:pPr>
            <w:r>
              <w:rPr>
                <w:rFonts w:hint="eastAsia"/>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01" w:type="dxa"/>
            <w:vAlign w:val="center"/>
          </w:tcPr>
          <w:p>
            <w:pPr>
              <w:widowControl/>
              <w:jc w:val="center"/>
              <w:rPr>
                <w:szCs w:val="21"/>
              </w:rPr>
            </w:pPr>
            <w:r>
              <w:rPr>
                <w:rFonts w:hint="eastAsia"/>
                <w:szCs w:val="21"/>
              </w:rPr>
              <w:t>4</w:t>
            </w:r>
          </w:p>
        </w:tc>
        <w:tc>
          <w:tcPr>
            <w:tcW w:w="5089" w:type="dxa"/>
            <w:vAlign w:val="center"/>
          </w:tcPr>
          <w:p>
            <w:pPr>
              <w:widowControl/>
              <w:jc w:val="center"/>
              <w:rPr>
                <w:szCs w:val="21"/>
              </w:rPr>
            </w:pPr>
            <w:r>
              <w:rPr>
                <w:rFonts w:hint="eastAsia"/>
                <w:szCs w:val="21"/>
              </w:rPr>
              <w:t>固体废物收集桶及危废处理</w:t>
            </w:r>
          </w:p>
        </w:tc>
        <w:tc>
          <w:tcPr>
            <w:tcW w:w="3096" w:type="dxa"/>
            <w:vAlign w:val="center"/>
          </w:tcPr>
          <w:p>
            <w:pPr>
              <w:widowControl/>
              <w:jc w:val="center"/>
              <w:rPr>
                <w:rFonts w:hint="eastAsia" w:eastAsia="宋体"/>
                <w:szCs w:val="21"/>
                <w:lang w:eastAsia="zh-CN"/>
              </w:rPr>
            </w:pPr>
            <w:r>
              <w:rPr>
                <w:rFonts w:hint="eastAsia"/>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01" w:type="dxa"/>
            <w:vAlign w:val="center"/>
          </w:tcPr>
          <w:p>
            <w:pPr>
              <w:widowControl/>
              <w:jc w:val="center"/>
              <w:rPr>
                <w:szCs w:val="21"/>
              </w:rPr>
            </w:pPr>
            <w:r>
              <w:rPr>
                <w:rFonts w:hint="eastAsia"/>
                <w:szCs w:val="21"/>
              </w:rPr>
              <w:t>5</w:t>
            </w:r>
          </w:p>
        </w:tc>
        <w:tc>
          <w:tcPr>
            <w:tcW w:w="5089" w:type="dxa"/>
            <w:vAlign w:val="center"/>
          </w:tcPr>
          <w:p>
            <w:pPr>
              <w:widowControl/>
              <w:jc w:val="center"/>
              <w:rPr>
                <w:szCs w:val="21"/>
              </w:rPr>
            </w:pPr>
            <w:r>
              <w:rPr>
                <w:rFonts w:hint="eastAsia"/>
                <w:szCs w:val="21"/>
              </w:rPr>
              <w:t>噪声防治</w:t>
            </w:r>
          </w:p>
        </w:tc>
        <w:tc>
          <w:tcPr>
            <w:tcW w:w="3096" w:type="dxa"/>
            <w:vAlign w:val="center"/>
          </w:tcPr>
          <w:p>
            <w:pPr>
              <w:widowControl/>
              <w:jc w:val="center"/>
              <w:rPr>
                <w:rFonts w:hint="default" w:eastAsia="宋体"/>
                <w:szCs w:val="21"/>
                <w:lang w:val="en-US" w:eastAsia="zh-CN"/>
              </w:rPr>
            </w:pPr>
            <w:r>
              <w:rPr>
                <w:rFonts w:hint="eastAsia"/>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01" w:type="dxa"/>
            <w:vAlign w:val="center"/>
          </w:tcPr>
          <w:p>
            <w:pPr>
              <w:widowControl/>
              <w:jc w:val="center"/>
              <w:rPr>
                <w:rFonts w:hint="eastAsia" w:eastAsia="宋体"/>
                <w:szCs w:val="21"/>
                <w:lang w:val="en-US" w:eastAsia="zh-CN"/>
              </w:rPr>
            </w:pPr>
            <w:r>
              <w:rPr>
                <w:rFonts w:hint="eastAsia"/>
                <w:szCs w:val="21"/>
                <w:lang w:val="en-US" w:eastAsia="zh-CN"/>
              </w:rPr>
              <w:t>6</w:t>
            </w:r>
          </w:p>
        </w:tc>
        <w:tc>
          <w:tcPr>
            <w:tcW w:w="5089" w:type="dxa"/>
            <w:vAlign w:val="center"/>
          </w:tcPr>
          <w:p>
            <w:pPr>
              <w:widowControl/>
              <w:jc w:val="center"/>
              <w:rPr>
                <w:rFonts w:hint="eastAsia" w:eastAsia="宋体"/>
                <w:szCs w:val="21"/>
                <w:lang w:eastAsia="zh-CN"/>
              </w:rPr>
            </w:pPr>
            <w:r>
              <w:rPr>
                <w:rFonts w:hint="eastAsia"/>
                <w:szCs w:val="21"/>
                <w:lang w:eastAsia="zh-CN"/>
              </w:rPr>
              <w:t>绿化</w:t>
            </w:r>
          </w:p>
        </w:tc>
        <w:tc>
          <w:tcPr>
            <w:tcW w:w="3096" w:type="dxa"/>
            <w:vAlign w:val="center"/>
          </w:tcPr>
          <w:p>
            <w:pPr>
              <w:widowControl/>
              <w:jc w:val="center"/>
              <w:rPr>
                <w:rFonts w:hint="default"/>
                <w:szCs w:val="21"/>
                <w:lang w:val="en-US" w:eastAsia="zh-CN"/>
              </w:rPr>
            </w:pPr>
            <w:r>
              <w:rPr>
                <w:rFonts w:hint="eastAsia"/>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01" w:type="dxa"/>
            <w:vAlign w:val="center"/>
          </w:tcPr>
          <w:p>
            <w:pPr>
              <w:widowControl/>
              <w:tabs>
                <w:tab w:val="left" w:pos="630"/>
              </w:tabs>
              <w:jc w:val="center"/>
              <w:rPr>
                <w:szCs w:val="21"/>
              </w:rPr>
            </w:pPr>
            <w:r>
              <w:rPr>
                <w:rFonts w:hint="eastAsia"/>
                <w:szCs w:val="21"/>
              </w:rPr>
              <w:t>6</w:t>
            </w:r>
          </w:p>
        </w:tc>
        <w:tc>
          <w:tcPr>
            <w:tcW w:w="5089" w:type="dxa"/>
            <w:vAlign w:val="center"/>
          </w:tcPr>
          <w:p>
            <w:pPr>
              <w:widowControl/>
              <w:jc w:val="center"/>
              <w:rPr>
                <w:szCs w:val="21"/>
              </w:rPr>
            </w:pPr>
            <w:r>
              <w:rPr>
                <w:rFonts w:hint="eastAsia"/>
                <w:szCs w:val="21"/>
              </w:rPr>
              <w:t>合计</w:t>
            </w:r>
          </w:p>
        </w:tc>
        <w:tc>
          <w:tcPr>
            <w:tcW w:w="3096" w:type="dxa"/>
            <w:vAlign w:val="center"/>
          </w:tcPr>
          <w:p>
            <w:pPr>
              <w:widowControl/>
              <w:jc w:val="center"/>
              <w:rPr>
                <w:rFonts w:hint="default" w:eastAsia="宋体"/>
                <w:szCs w:val="21"/>
                <w:lang w:val="en-US" w:eastAsia="zh-CN"/>
              </w:rPr>
            </w:pPr>
            <w:r>
              <w:rPr>
                <w:rFonts w:hint="eastAsia"/>
                <w:szCs w:val="21"/>
                <w:lang w:val="en-US" w:eastAsia="zh-CN"/>
              </w:rPr>
              <w:t>15</w:t>
            </w:r>
          </w:p>
        </w:tc>
      </w:tr>
    </w:tbl>
    <w:p>
      <w:pPr>
        <w:spacing w:line="540" w:lineRule="exact"/>
        <w:ind w:firstLine="560" w:firstLineChars="200"/>
        <w:rPr>
          <w:bCs/>
          <w:color w:val="000000"/>
          <w:sz w:val="28"/>
          <w:szCs w:val="28"/>
        </w:rPr>
      </w:pPr>
    </w:p>
    <w:p>
      <w:pPr>
        <w:widowControl/>
        <w:jc w:val="left"/>
        <w:rPr>
          <w:bCs/>
          <w:color w:val="000000"/>
          <w:sz w:val="28"/>
          <w:szCs w:val="28"/>
        </w:rPr>
      </w:pPr>
      <w:r>
        <w:rPr>
          <w:bCs/>
          <w:color w:val="000000"/>
          <w:sz w:val="28"/>
          <w:szCs w:val="28"/>
        </w:rPr>
        <w:br w:type="page"/>
      </w:r>
    </w:p>
    <w:p>
      <w:pPr>
        <w:pStyle w:val="63"/>
        <w:spacing w:beforeLines="50"/>
        <w:rPr>
          <w:rFonts w:cs="Times New Roman"/>
          <w:sz w:val="36"/>
        </w:rPr>
      </w:pPr>
      <w:bookmarkStart w:id="75" w:name="_Toc361646653"/>
      <w:bookmarkStart w:id="76" w:name="_Toc321042419"/>
      <w:bookmarkStart w:id="77" w:name="_Toc341431727"/>
      <w:bookmarkStart w:id="78" w:name="_Toc341357474"/>
      <w:bookmarkStart w:id="79" w:name="_Toc341278425"/>
      <w:bookmarkStart w:id="80" w:name="_Toc361841101"/>
      <w:bookmarkStart w:id="81" w:name="_Toc362535749"/>
      <w:bookmarkStart w:id="82" w:name="_Toc305059566"/>
      <w:bookmarkStart w:id="83" w:name="_Toc341293110"/>
      <w:bookmarkStart w:id="84" w:name="_Toc332553920"/>
      <w:bookmarkStart w:id="85" w:name="_Toc418"/>
      <w:r>
        <w:rPr>
          <w:rFonts w:hint="eastAsia" w:cs="Times New Roman"/>
          <w:sz w:val="36"/>
        </w:rPr>
        <w:t>5</w:t>
      </w:r>
      <w:bookmarkEnd w:id="75"/>
      <w:bookmarkEnd w:id="76"/>
      <w:bookmarkEnd w:id="77"/>
      <w:bookmarkEnd w:id="78"/>
      <w:bookmarkEnd w:id="79"/>
      <w:bookmarkEnd w:id="80"/>
      <w:bookmarkEnd w:id="81"/>
      <w:bookmarkEnd w:id="82"/>
      <w:bookmarkEnd w:id="83"/>
      <w:bookmarkEnd w:id="84"/>
      <w:r>
        <w:rPr>
          <w:rFonts w:hint="eastAsia" w:cs="Times New Roman"/>
          <w:sz w:val="36"/>
        </w:rPr>
        <w:t>建设项目环评报告表的主要结论及审批部门审批决定</w:t>
      </w:r>
      <w:bookmarkEnd w:id="85"/>
    </w:p>
    <w:p>
      <w:pPr>
        <w:pStyle w:val="64"/>
        <w:rPr>
          <w:rFonts w:cs="Times New Roman"/>
          <w:sz w:val="32"/>
        </w:rPr>
      </w:pPr>
      <w:bookmarkStart w:id="86" w:name="_Toc305059567"/>
      <w:bookmarkStart w:id="87" w:name="_Toc362535750"/>
      <w:bookmarkStart w:id="88" w:name="_Toc341293111"/>
      <w:bookmarkStart w:id="89" w:name="_Toc341431728"/>
      <w:bookmarkStart w:id="90" w:name="_Toc341357475"/>
      <w:bookmarkStart w:id="91" w:name="_Toc361646654"/>
      <w:bookmarkStart w:id="92" w:name="_Toc321042420"/>
      <w:bookmarkStart w:id="93" w:name="_Toc341278426"/>
      <w:bookmarkStart w:id="94" w:name="_Toc332553921"/>
      <w:bookmarkStart w:id="95" w:name="_Toc361841102"/>
      <w:bookmarkStart w:id="96" w:name="_Toc9983"/>
      <w:r>
        <w:rPr>
          <w:rFonts w:hint="eastAsia" w:cs="Times New Roman"/>
          <w:sz w:val="32"/>
        </w:rPr>
        <w:t>5</w:t>
      </w:r>
      <w:r>
        <w:rPr>
          <w:rFonts w:cs="Times New Roman"/>
          <w:sz w:val="32"/>
        </w:rPr>
        <w:t xml:space="preserve">.1 </w:t>
      </w:r>
      <w:bookmarkEnd w:id="86"/>
      <w:bookmarkEnd w:id="87"/>
      <w:bookmarkEnd w:id="88"/>
      <w:bookmarkEnd w:id="89"/>
      <w:bookmarkEnd w:id="90"/>
      <w:bookmarkEnd w:id="91"/>
      <w:bookmarkEnd w:id="92"/>
      <w:bookmarkEnd w:id="93"/>
      <w:bookmarkEnd w:id="94"/>
      <w:bookmarkEnd w:id="95"/>
      <w:r>
        <w:rPr>
          <w:rFonts w:hint="eastAsia" w:cs="Times New Roman"/>
          <w:sz w:val="32"/>
        </w:rPr>
        <w:t>建设项目环评报告表的主要结论与建议</w:t>
      </w:r>
      <w:bookmarkEnd w:id="96"/>
    </w:p>
    <w:p>
      <w:pPr>
        <w:adjustRightInd w:val="0"/>
        <w:snapToGrid w:val="0"/>
        <w:spacing w:line="540" w:lineRule="exact"/>
        <w:rPr>
          <w:rFonts w:hint="eastAsia"/>
          <w:b/>
          <w:sz w:val="28"/>
          <w:szCs w:val="28"/>
          <w:lang w:val="en-IE" w:eastAsia="zh-CN"/>
        </w:rPr>
      </w:pPr>
      <w:r>
        <w:rPr>
          <w:b/>
          <w:sz w:val="28"/>
          <w:szCs w:val="28"/>
          <w:lang w:val="en-IE"/>
        </w:rPr>
        <w:t>5.1.1</w:t>
      </w:r>
      <w:r>
        <w:rPr>
          <w:rFonts w:hint="eastAsia"/>
          <w:b/>
          <w:sz w:val="28"/>
          <w:szCs w:val="28"/>
          <w:lang w:val="en-IE" w:eastAsia="zh-CN"/>
        </w:rPr>
        <w:t>项目概况</w:t>
      </w:r>
    </w:p>
    <w:p>
      <w:pPr>
        <w:adjustRightInd w:val="0"/>
        <w:snapToGrid w:val="0"/>
        <w:spacing w:line="540" w:lineRule="exact"/>
        <w:ind w:firstLine="480" w:firstLineChars="200"/>
        <w:rPr>
          <w:rFonts w:hint="eastAsia"/>
          <w:sz w:val="24"/>
          <w:highlight w:val="none"/>
          <w:lang w:eastAsia="zh-CN"/>
        </w:rPr>
      </w:pPr>
      <w:r>
        <w:rPr>
          <w:rFonts w:hint="eastAsia"/>
          <w:sz w:val="24"/>
          <w:highlight w:val="none"/>
          <w:lang w:eastAsia="zh-CN"/>
        </w:rPr>
        <w:t>本改扩建项目位于奉节县新民镇观音庵社区6组，建站规模为三级加油站。项目建设用地面积为666.9m</w:t>
      </w:r>
      <w:r>
        <w:rPr>
          <w:rFonts w:hint="eastAsia"/>
          <w:sz w:val="24"/>
          <w:highlight w:val="none"/>
          <w:vertAlign w:val="superscript"/>
          <w:lang w:eastAsia="zh-CN"/>
        </w:rPr>
        <w:t>2</w:t>
      </w:r>
      <w:r>
        <w:rPr>
          <w:rFonts w:hint="eastAsia"/>
          <w:sz w:val="24"/>
          <w:highlight w:val="none"/>
          <w:lang w:eastAsia="zh-CN"/>
        </w:rPr>
        <w:t>，总建筑面积为115.4m</w:t>
      </w:r>
      <w:r>
        <w:rPr>
          <w:rFonts w:hint="eastAsia"/>
          <w:sz w:val="24"/>
          <w:highlight w:val="none"/>
          <w:vertAlign w:val="superscript"/>
          <w:lang w:eastAsia="zh-CN"/>
        </w:rPr>
        <w:t>2</w:t>
      </w:r>
      <w:r>
        <w:rPr>
          <w:rFonts w:hint="eastAsia"/>
          <w:sz w:val="24"/>
          <w:highlight w:val="none"/>
          <w:lang w:eastAsia="zh-CN"/>
        </w:rPr>
        <w:t>，主要包括埋地油罐区、加油区及站房等主体工程，同时配套防雷、防静电等附属工程。</w:t>
      </w:r>
    </w:p>
    <w:p>
      <w:pPr>
        <w:adjustRightInd w:val="0"/>
        <w:snapToGrid w:val="0"/>
        <w:spacing w:line="540" w:lineRule="exact"/>
        <w:ind w:firstLine="480" w:firstLineChars="200"/>
        <w:rPr>
          <w:rFonts w:hint="eastAsia" w:eastAsiaTheme="minorEastAsia"/>
          <w:bCs/>
          <w:sz w:val="24"/>
          <w:szCs w:val="24"/>
        </w:rPr>
      </w:pPr>
      <w:r>
        <w:rPr>
          <w:rFonts w:hint="eastAsia"/>
          <w:sz w:val="24"/>
          <w:highlight w:val="none"/>
          <w:lang w:eastAsia="zh-CN"/>
        </w:rPr>
        <w:t>项目的建成投产将对新民镇及过往车辆的加油进行服务，具有明显的社会效益和经济效益</w:t>
      </w:r>
      <w:r>
        <w:rPr>
          <w:rFonts w:hint="eastAsia" w:eastAsiaTheme="minorEastAsia"/>
          <w:bCs/>
          <w:sz w:val="24"/>
          <w:szCs w:val="24"/>
          <w:lang w:eastAsia="zh-CN"/>
        </w:rPr>
        <w:t>。</w:t>
      </w:r>
    </w:p>
    <w:p>
      <w:pPr>
        <w:adjustRightInd w:val="0"/>
        <w:snapToGrid w:val="0"/>
        <w:spacing w:line="540" w:lineRule="exact"/>
        <w:rPr>
          <w:rFonts w:hint="eastAsia" w:ascii="Times New Roman" w:hAnsi="Times New Roman" w:eastAsia="宋体" w:cs="Times New Roman"/>
          <w:b/>
          <w:sz w:val="28"/>
          <w:szCs w:val="28"/>
          <w:lang w:val="en-IE" w:eastAsia="zh-CN"/>
        </w:rPr>
      </w:pPr>
      <w:bookmarkStart w:id="97" w:name="_Toc4606"/>
      <w:r>
        <w:rPr>
          <w:rFonts w:ascii="Times New Roman" w:hAnsi="Times New Roman" w:eastAsia="宋体" w:cs="Times New Roman"/>
          <w:b/>
          <w:sz w:val="28"/>
          <w:szCs w:val="28"/>
          <w:lang w:val="en-IE"/>
        </w:rPr>
        <w:t>5.1.</w:t>
      </w:r>
      <w:r>
        <w:rPr>
          <w:rFonts w:hint="eastAsia" w:ascii="Times New Roman" w:hAnsi="Times New Roman" w:eastAsia="宋体" w:cs="Times New Roman"/>
          <w:b/>
          <w:sz w:val="28"/>
          <w:szCs w:val="28"/>
          <w:lang w:val="en-US" w:eastAsia="zh-CN"/>
        </w:rPr>
        <w:t>2</w:t>
      </w:r>
      <w:r>
        <w:rPr>
          <w:rFonts w:hint="eastAsia" w:ascii="Times New Roman" w:hAnsi="Times New Roman" w:eastAsia="宋体" w:cs="Times New Roman"/>
          <w:b/>
          <w:sz w:val="28"/>
          <w:szCs w:val="28"/>
          <w:lang w:val="en-IE" w:eastAsia="zh-CN"/>
        </w:rPr>
        <w:t>环境质量现状</w:t>
      </w:r>
      <w:bookmarkEnd w:id="97"/>
    </w:p>
    <w:p>
      <w:pPr>
        <w:pStyle w:val="38"/>
        <w:rPr>
          <w:rFonts w:hint="eastAsia"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bidi="ar-SA"/>
        </w:rPr>
        <w:t>地表水环境：满足《地表水环境质量标准》（GB3838-2002）中的III类水域水质标准。</w:t>
      </w:r>
    </w:p>
    <w:p>
      <w:pPr>
        <w:pStyle w:val="38"/>
        <w:rPr>
          <w:rFonts w:hint="eastAsia"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bidi="ar-SA"/>
        </w:rPr>
        <w:t>地下水：监测的地下水各因子均符合《地下水质量标准》（GB/T14848-1993）Ⅲ类标准的要求。</w:t>
      </w:r>
    </w:p>
    <w:p>
      <w:pPr>
        <w:pStyle w:val="38"/>
        <w:rPr>
          <w:rFonts w:hint="eastAsia" w:ascii="Times New Roman" w:hAnsi="Times New Roman" w:eastAsia="宋体" w:cs="Times New Roman"/>
          <w:b w:val="0"/>
          <w:bCs w:val="0"/>
          <w:kern w:val="2"/>
          <w:sz w:val="24"/>
          <w:szCs w:val="24"/>
          <w:highlight w:val="none"/>
          <w:lang w:val="en-US" w:eastAsia="zh-CN" w:bidi="ar-SA"/>
        </w:rPr>
      </w:pPr>
      <w:r>
        <w:rPr>
          <w:rFonts w:hint="eastAsia" w:ascii="Times New Roman" w:hAnsi="Times New Roman" w:eastAsia="宋体" w:cs="Times New Roman"/>
          <w:b w:val="0"/>
          <w:bCs w:val="0"/>
          <w:kern w:val="2"/>
          <w:sz w:val="24"/>
          <w:szCs w:val="24"/>
          <w:highlight w:val="none"/>
          <w:lang w:val="en-US" w:eastAsia="zh-CN" w:bidi="ar-SA"/>
        </w:rPr>
        <w:t>环境空气：均达到《环境空气质量标准》（GB3095-2012）二级标准的要求。</w:t>
      </w:r>
    </w:p>
    <w:p>
      <w:pPr>
        <w:pStyle w:val="38"/>
        <w:rPr>
          <w:rFonts w:hint="eastAsia" w:ascii="Times New Roman" w:hAnsi="宋体" w:eastAsia="宋体" w:cs="宋体"/>
          <w:b w:val="0"/>
          <w:bCs w:val="0"/>
          <w:snapToGrid w:val="0"/>
          <w:color w:val="000000"/>
          <w:kern w:val="0"/>
          <w:sz w:val="24"/>
          <w:szCs w:val="24"/>
          <w:lang w:val="en-US" w:eastAsia="zh-CN"/>
        </w:rPr>
      </w:pPr>
      <w:r>
        <w:rPr>
          <w:rFonts w:hint="eastAsia" w:ascii="Times New Roman" w:hAnsi="Times New Roman" w:eastAsia="宋体" w:cs="Times New Roman"/>
          <w:b w:val="0"/>
          <w:bCs w:val="0"/>
          <w:kern w:val="2"/>
          <w:sz w:val="24"/>
          <w:szCs w:val="24"/>
          <w:highlight w:val="none"/>
          <w:lang w:val="en-US" w:eastAsia="zh-CN" w:bidi="ar-SA"/>
        </w:rPr>
        <w:t>声环境：项目所在区域的昼夜间噪声分别满足《声环境质量标准》（GB3096-2008）2类和4a类标准</w:t>
      </w:r>
      <w:r>
        <w:rPr>
          <w:rFonts w:hint="eastAsia" w:ascii="Times New Roman" w:hAnsi="宋体" w:eastAsia="宋体" w:cs="宋体"/>
          <w:b w:val="0"/>
          <w:bCs w:val="0"/>
          <w:snapToGrid w:val="0"/>
          <w:color w:val="000000"/>
          <w:kern w:val="0"/>
          <w:sz w:val="24"/>
          <w:szCs w:val="24"/>
          <w:lang w:eastAsia="zh-CN"/>
        </w:rPr>
        <w:t>。</w:t>
      </w:r>
    </w:p>
    <w:p>
      <w:pPr>
        <w:adjustRightInd w:val="0"/>
        <w:snapToGrid w:val="0"/>
        <w:spacing w:line="540" w:lineRule="exact"/>
        <w:rPr>
          <w:rFonts w:hint="eastAsia"/>
          <w:b/>
          <w:sz w:val="28"/>
          <w:szCs w:val="28"/>
          <w:lang w:val="en-US" w:eastAsia="zh-CN"/>
        </w:rPr>
      </w:pPr>
      <w:bookmarkStart w:id="98" w:name="_Toc16252"/>
      <w:r>
        <w:rPr>
          <w:b/>
          <w:sz w:val="28"/>
          <w:szCs w:val="28"/>
          <w:lang w:val="en-IE"/>
        </w:rPr>
        <w:t>5.1.</w:t>
      </w:r>
      <w:r>
        <w:rPr>
          <w:rFonts w:hint="eastAsia"/>
          <w:b/>
          <w:sz w:val="28"/>
          <w:szCs w:val="28"/>
          <w:lang w:val="en-US" w:eastAsia="zh-CN"/>
        </w:rPr>
        <w:t>3</w:t>
      </w:r>
      <w:bookmarkEnd w:id="98"/>
      <w:r>
        <w:rPr>
          <w:rFonts w:hint="eastAsia"/>
          <w:b/>
          <w:sz w:val="28"/>
          <w:szCs w:val="28"/>
          <w:lang w:val="en-IE" w:eastAsia="zh-CN"/>
        </w:rPr>
        <w:t>环境影响和保护措施</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（1）施工期</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施工期对环境的影响主要有废气、废水、噪声及固废。</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废气主要为施工粉尘、燃油机械排放的废气，通过设置围墙、定期酒水、以及合理的管理措施可减少对环境的污染，影响较小。废水主要为车辆清洗废水、混凝土搅拌和养护废水、生活污水，通过采取隔油沉淀处理后循环利用，基本不外排；生活污水通过旱厕收集后进入市政污水管网，施工期污废水对环境的影响很小。噪声主要来自于施工机械设备运行时噪声，通过合理安排施工时间、选用低噪声设备、合理压缩汽车数量以及控制汽车鸣笛可减少噪声对周围环境的影响。拟建项目施工期无弃方产生，产生的少量生活垃圾通过集中收集交当地环卫部门统一处理，不会对环境造成影响。</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 xml:space="preserve">    （2）运营期</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1）废水</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① 影响分析</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加油站排水采用雨污分流，屋面雨水及空调水经落水管排入室外雨水管沟，汇集后就近排入自然沟渠。场地冲洗后的含油废水经三段式水封井（隔油池）处理后排入生化池，与生活污水一并处理达《污水综合排放标准》（GB8978-1996）中三级标准后进入市政污水管网，在进入新民污水处理厂做进一步处理达《城镇污水处理厂污染物排放标准》（GB18918-2002）中一级B标后排入新民河。污废水排放量较少，对地表水环境影响小。</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2）废气</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① 影响分析</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该加油站采用埋地卧式钢制油罐，由于埋地罐顶部覆土大于0.5 m，罐内温度比较稳定，一般埋地罐正常运行情况下油气产生量较少，呈间断性排放，并随即进入空气中稀释扩散。对区域环境空气质量影响小。</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② 防治措施</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加油站设置卸油、加油油气回收系统，罐车卸油时必须采用密闭卸油方式；卸油接口应装设快速接头及密封盖；站内油罐应设带有高液位报警功能的液位监测系统；汽油加油枪的流量不应大于50 L/min，加油软管上宜设安全拉断阀，加油时按规范操作，防止溢油和滴油等防治措施。估算结果无超标点对环境影响较小。</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3）噪声</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① 影响分析</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运营期加油站潜油泵置于油罐内，噪声级约为69 dB(A)，而进站和出站的加油车辆行驶速度较慢，其噪声源强较低，潜油泵和加油车辆对环境产生的噪声影响小。</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② 防治措施</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在加油站进站口设置减速标志，潜油泵置于埋地油罐内，且油罐上部覆土，同时设置绿化隔离带，栽种绿化植物。加强站内进出车辆的管理。</w:t>
      </w:r>
    </w:p>
    <w:p>
      <w:pPr>
        <w:adjustRightInd w:val="0"/>
        <w:snapToGrid w:val="0"/>
        <w:spacing w:line="540" w:lineRule="exact"/>
        <w:ind w:firstLine="480" w:firstLineChars="200"/>
        <w:rPr>
          <w:rFonts w:hint="eastAsia" w:eastAsiaTheme="minorEastAsia"/>
          <w:bCs/>
          <w:sz w:val="24"/>
          <w:szCs w:val="24"/>
        </w:rPr>
      </w:pPr>
      <w:r>
        <w:rPr>
          <w:rFonts w:hint="eastAsia" w:eastAsiaTheme="minorEastAsia"/>
          <w:bCs/>
          <w:sz w:val="24"/>
          <w:szCs w:val="24"/>
        </w:rPr>
        <w:t>4）固体废物</w:t>
      </w:r>
    </w:p>
    <w:p>
      <w:pPr>
        <w:adjustRightInd w:val="0"/>
        <w:snapToGrid w:val="0"/>
        <w:spacing w:line="540" w:lineRule="exact"/>
        <w:ind w:firstLine="480" w:firstLineChars="200"/>
        <w:rPr>
          <w:rFonts w:hint="eastAsia" w:eastAsiaTheme="minorEastAsia"/>
          <w:bCs/>
          <w:sz w:val="28"/>
          <w:szCs w:val="28"/>
        </w:rPr>
      </w:pPr>
      <w:r>
        <w:rPr>
          <w:rFonts w:hint="eastAsia" w:eastAsiaTheme="minorEastAsia"/>
          <w:bCs/>
          <w:sz w:val="24"/>
          <w:szCs w:val="24"/>
        </w:rPr>
        <w:t>运行期固体废物主要有生活垃圾和危险废物。生活垃圾采用袋装收集并集中堆放，及时交当地环卫部门统一处理，避免生活垃圾因堆放而产生的恶臭影响站内的环境。危险废物主要为清罐废物和隔油池废油，清罐废物主要由清罐废渣和含高浓度油类物质的清罐废水组成，本加油站清罐废物的产生量为2.0t/次·3年，隔油池定期清掏产生的废油量为0.0022t/a。因此要对危险废物进行妥善处置，避免对环境带来影响。总体来讲，拟建项目产生的固体废物得到妥善处置后，对环境影响小。</w:t>
      </w:r>
      <w:r>
        <w:rPr>
          <w:rFonts w:hint="eastAsia" w:eastAsiaTheme="minorEastAsia"/>
          <w:bCs/>
          <w:sz w:val="28"/>
          <w:szCs w:val="28"/>
        </w:rPr>
        <w:t xml:space="preserve"> </w:t>
      </w:r>
    </w:p>
    <w:p>
      <w:pPr>
        <w:adjustRightInd w:val="0"/>
        <w:snapToGrid w:val="0"/>
        <w:spacing w:line="540" w:lineRule="exact"/>
        <w:rPr>
          <w:rFonts w:hint="eastAsia"/>
          <w:b/>
          <w:sz w:val="28"/>
          <w:szCs w:val="28"/>
          <w:lang w:val="en-IE" w:eastAsia="zh-CN"/>
        </w:rPr>
      </w:pPr>
      <w:r>
        <w:rPr>
          <w:b/>
          <w:sz w:val="28"/>
          <w:szCs w:val="28"/>
          <w:lang w:val="en-IE"/>
        </w:rPr>
        <w:t>5.1.</w:t>
      </w:r>
      <w:r>
        <w:rPr>
          <w:rFonts w:hint="eastAsia"/>
          <w:b/>
          <w:sz w:val="28"/>
          <w:szCs w:val="28"/>
          <w:lang w:val="en-US" w:eastAsia="zh-CN"/>
        </w:rPr>
        <w:t>4</w:t>
      </w:r>
      <w:r>
        <w:rPr>
          <w:rFonts w:hint="eastAsia"/>
          <w:b/>
          <w:sz w:val="28"/>
          <w:szCs w:val="28"/>
          <w:lang w:val="en-IE" w:eastAsia="zh-CN"/>
        </w:rPr>
        <w:t>总量控制</w:t>
      </w:r>
    </w:p>
    <w:p>
      <w:pPr>
        <w:pStyle w:val="16"/>
        <w:adjustRightInd w:val="0"/>
        <w:snapToGrid w:val="0"/>
        <w:spacing w:line="460" w:lineRule="atLeast"/>
        <w:ind w:firstLine="480" w:firstLineChars="200"/>
        <w:rPr>
          <w:rFonts w:hint="eastAsia" w:ascii="Times New Roman" w:hAnsi="Times New Roman" w:cs="Times New Roman" w:eastAsiaTheme="minorEastAsia"/>
          <w:bCs/>
          <w:kern w:val="2"/>
          <w:sz w:val="24"/>
          <w:szCs w:val="24"/>
          <w:lang w:val="en-US" w:eastAsia="zh-CN" w:bidi="ar-SA"/>
        </w:rPr>
      </w:pPr>
      <w:r>
        <w:rPr>
          <w:rFonts w:hint="eastAsia" w:ascii="Times New Roman" w:hAnsi="Times New Roman" w:cs="Times New Roman" w:eastAsiaTheme="minorEastAsia"/>
          <w:bCs/>
          <w:kern w:val="2"/>
          <w:sz w:val="24"/>
          <w:szCs w:val="24"/>
          <w:lang w:val="en-US" w:eastAsia="zh-CN" w:bidi="ar-SA"/>
        </w:rPr>
        <w:t>废水：根据预测结果，本评价建议的总量控制指标：COD为0.095t/a、NH3-N为0.013t/a，本项目污废水最终将进入新民污水处理厂处理，故总量纳入污水处理厂总量中，不另行申请总量指标。</w:t>
      </w:r>
    </w:p>
    <w:p>
      <w:pPr>
        <w:pStyle w:val="16"/>
        <w:adjustRightInd w:val="0"/>
        <w:snapToGrid w:val="0"/>
        <w:spacing w:line="460" w:lineRule="atLeast"/>
        <w:ind w:firstLine="480" w:firstLineChars="200"/>
        <w:rPr>
          <w:rFonts w:hint="eastAsia" w:ascii="Times New Roman" w:hAnsi="Times New Roman" w:cs="Times New Roman" w:eastAsiaTheme="minorEastAsia"/>
          <w:bCs/>
          <w:kern w:val="2"/>
          <w:sz w:val="24"/>
          <w:szCs w:val="24"/>
          <w:lang w:val="en-US" w:eastAsia="zh-CN" w:bidi="ar-SA"/>
        </w:rPr>
      </w:pPr>
      <w:r>
        <w:rPr>
          <w:rFonts w:hint="eastAsia" w:ascii="Times New Roman" w:hAnsi="Times New Roman" w:cs="Times New Roman" w:eastAsiaTheme="minorEastAsia"/>
          <w:bCs/>
          <w:kern w:val="2"/>
          <w:sz w:val="24"/>
          <w:szCs w:val="24"/>
          <w:lang w:val="en-US" w:eastAsia="zh-CN" w:bidi="ar-SA"/>
        </w:rPr>
        <w:t>废气：拟建项目废气主要为油气（非甲烷总烃），排放量1.57t/a，作为特征污染物，应加强监控。</w:t>
      </w:r>
    </w:p>
    <w:p>
      <w:pPr>
        <w:adjustRightInd w:val="0"/>
        <w:snapToGrid w:val="0"/>
        <w:spacing w:line="540" w:lineRule="exact"/>
        <w:rPr>
          <w:b/>
          <w:sz w:val="28"/>
          <w:szCs w:val="28"/>
          <w:lang w:val="en-IE"/>
        </w:rPr>
      </w:pPr>
      <w:r>
        <w:rPr>
          <w:b/>
          <w:sz w:val="28"/>
          <w:szCs w:val="28"/>
          <w:lang w:val="en-IE"/>
        </w:rPr>
        <w:t>5.1.</w:t>
      </w:r>
      <w:r>
        <w:rPr>
          <w:rFonts w:hint="eastAsia"/>
          <w:b/>
          <w:sz w:val="28"/>
          <w:szCs w:val="28"/>
          <w:lang w:val="en-US" w:eastAsia="zh-CN"/>
        </w:rPr>
        <w:t>5</w:t>
      </w:r>
      <w:r>
        <w:rPr>
          <w:rFonts w:hint="eastAsia"/>
          <w:b/>
          <w:sz w:val="28"/>
          <w:szCs w:val="28"/>
          <w:lang w:val="en-IE" w:eastAsia="zh-CN"/>
        </w:rPr>
        <w:t>综合结论</w:t>
      </w:r>
    </w:p>
    <w:p>
      <w:pPr>
        <w:adjustRightInd w:val="0"/>
        <w:snapToGrid w:val="0"/>
        <w:spacing w:line="540" w:lineRule="exact"/>
        <w:ind w:firstLine="480" w:firstLineChars="200"/>
        <w:rPr>
          <w:rFonts w:hint="eastAsia" w:eastAsiaTheme="minorEastAsia"/>
          <w:bCs/>
          <w:sz w:val="24"/>
          <w:szCs w:val="24"/>
          <w:lang w:eastAsia="zh-CN"/>
        </w:rPr>
      </w:pPr>
      <w:r>
        <w:rPr>
          <w:rFonts w:hint="eastAsia" w:eastAsiaTheme="minorEastAsia"/>
          <w:bCs/>
          <w:sz w:val="24"/>
          <w:szCs w:val="24"/>
          <w:lang w:eastAsia="zh-CN"/>
        </w:rPr>
        <w:t>拟建属三级加油站，该项目建设符合国家产业政策要求，符合奉节县城乡总体规划，拟建项目用地符合重庆市奉节县用地规划。拟建项目运营期对于新民进出和过往车辆燃油需求具有重要作用。</w:t>
      </w:r>
    </w:p>
    <w:p>
      <w:pPr>
        <w:adjustRightInd w:val="0"/>
        <w:snapToGrid w:val="0"/>
        <w:spacing w:line="540" w:lineRule="exact"/>
        <w:ind w:firstLine="480" w:firstLineChars="200"/>
        <w:rPr>
          <w:rFonts w:hint="eastAsia" w:eastAsiaTheme="minorEastAsia"/>
          <w:bCs/>
          <w:sz w:val="24"/>
          <w:szCs w:val="24"/>
          <w:lang w:eastAsia="zh-CN"/>
        </w:rPr>
      </w:pPr>
      <w:r>
        <w:rPr>
          <w:rFonts w:hint="eastAsia" w:eastAsiaTheme="minorEastAsia"/>
          <w:bCs/>
          <w:sz w:val="24"/>
          <w:szCs w:val="24"/>
          <w:lang w:eastAsia="zh-CN"/>
        </w:rPr>
        <w:t>该工程在运行期间会产生一定的废水、废气、固体废物等污染物及噪声影响，运行期间也存在一定的环境风险。加油站严格按照《汽车加油加气站设计与施工规范》（GB50156-2012）要求，在加油站周围划定安全距离，其中埋地油罐与民用建筑物防火距离不得少于11 m。在严格落实相应的污染控制措施以及评价提出的各项环保治理措施、风险防范措施和应急救援准备后，可以将排放污染物和风险事故对环境的影响削减到最低。</w:t>
      </w:r>
    </w:p>
    <w:p>
      <w:pPr>
        <w:adjustRightInd w:val="0"/>
        <w:snapToGrid w:val="0"/>
        <w:spacing w:line="540" w:lineRule="exact"/>
        <w:ind w:firstLine="480" w:firstLineChars="200"/>
        <w:rPr>
          <w:rFonts w:hint="eastAsia" w:eastAsiaTheme="minorEastAsia"/>
          <w:bCs/>
          <w:sz w:val="24"/>
          <w:szCs w:val="24"/>
          <w:lang w:eastAsia="zh-CN"/>
        </w:rPr>
      </w:pPr>
      <w:r>
        <w:rPr>
          <w:rFonts w:hint="eastAsia" w:eastAsiaTheme="minorEastAsia"/>
          <w:bCs/>
          <w:sz w:val="24"/>
          <w:szCs w:val="24"/>
          <w:lang w:eastAsia="zh-CN"/>
        </w:rPr>
        <w:t>因此从环境保护的角度考虑，该项目建设是可行的。</w:t>
      </w:r>
    </w:p>
    <w:p>
      <w:pPr>
        <w:pStyle w:val="64"/>
        <w:rPr>
          <w:rFonts w:hint="eastAsia" w:cs="Times New Roman"/>
          <w:sz w:val="32"/>
        </w:rPr>
      </w:pPr>
      <w:bookmarkStart w:id="99" w:name="_Toc341293112"/>
      <w:bookmarkStart w:id="100" w:name="_Toc341357476"/>
      <w:bookmarkStart w:id="101" w:name="_Toc321042421"/>
      <w:bookmarkStart w:id="102" w:name="_Toc332553922"/>
      <w:bookmarkStart w:id="103" w:name="_Toc341278427"/>
      <w:bookmarkStart w:id="104" w:name="_Toc964"/>
      <w:bookmarkStart w:id="105" w:name="_Toc341431729"/>
      <w:bookmarkStart w:id="106" w:name="_Toc305059568"/>
      <w:r>
        <w:rPr>
          <w:rFonts w:hint="eastAsia" w:cs="Times New Roman"/>
          <w:sz w:val="32"/>
        </w:rPr>
        <w:t>5.2 环评批复要求</w:t>
      </w:r>
      <w:bookmarkEnd w:id="99"/>
      <w:bookmarkEnd w:id="100"/>
      <w:bookmarkEnd w:id="101"/>
      <w:bookmarkEnd w:id="102"/>
      <w:bookmarkEnd w:id="103"/>
      <w:bookmarkEnd w:id="104"/>
      <w:bookmarkEnd w:id="105"/>
      <w:bookmarkEnd w:id="106"/>
    </w:p>
    <w:p>
      <w:pPr>
        <w:adjustRightInd w:val="0"/>
        <w:snapToGrid w:val="0"/>
        <w:spacing w:line="540" w:lineRule="exact"/>
        <w:ind w:firstLine="480" w:firstLineChars="200"/>
        <w:rPr>
          <w:rFonts w:hint="eastAsia" w:eastAsiaTheme="minorEastAsia"/>
          <w:bCs/>
          <w:color w:val="auto"/>
          <w:sz w:val="24"/>
          <w:szCs w:val="24"/>
          <w:lang w:eastAsia="zh-CN"/>
        </w:rPr>
      </w:pPr>
      <w:r>
        <w:rPr>
          <w:rFonts w:hint="eastAsia" w:eastAsiaTheme="minorEastAsia"/>
          <w:bCs/>
          <w:color w:val="auto"/>
          <w:sz w:val="24"/>
          <w:szCs w:val="24"/>
        </w:rPr>
        <w:t>你单位报送的奉节县顺全加油站改扩建项目环境影响评价文件审批申请表及相关材料收悉，根据《中华人民共和国环境影响评价法》等法规的有关规定，经研究，批准该项目在奉节县新民镇观音庵社区6组建设。该项目在设计、施工和营运中应按以下要求办理</w:t>
      </w:r>
      <w:r>
        <w:rPr>
          <w:rFonts w:hint="eastAsia" w:eastAsiaTheme="minorEastAsia"/>
          <w:bCs/>
          <w:color w:val="auto"/>
          <w:sz w:val="24"/>
          <w:szCs w:val="24"/>
          <w:lang w:eastAsia="zh-CN"/>
        </w:rPr>
        <w:t>：</w:t>
      </w:r>
    </w:p>
    <w:p>
      <w:pPr>
        <w:adjustRightInd w:val="0"/>
        <w:snapToGrid w:val="0"/>
        <w:spacing w:line="540" w:lineRule="exact"/>
        <w:ind w:firstLine="480" w:firstLineChars="200"/>
        <w:rPr>
          <w:rFonts w:hint="eastAsia" w:eastAsiaTheme="minorEastAsia"/>
          <w:bCs/>
          <w:color w:val="auto"/>
          <w:sz w:val="24"/>
          <w:szCs w:val="24"/>
          <w:lang w:eastAsia="zh-CN"/>
        </w:rPr>
      </w:pPr>
      <w:r>
        <w:rPr>
          <w:rFonts w:hint="eastAsia" w:eastAsiaTheme="minorEastAsia"/>
          <w:bCs/>
          <w:color w:val="auto"/>
          <w:sz w:val="24"/>
          <w:szCs w:val="24"/>
        </w:rPr>
        <w:t>一、该建设项目的建设内容和建设规模为</w:t>
      </w:r>
      <w:r>
        <w:rPr>
          <w:rFonts w:hint="eastAsia" w:eastAsiaTheme="minorEastAsia"/>
          <w:bCs/>
          <w:color w:val="auto"/>
          <w:sz w:val="24"/>
          <w:szCs w:val="24"/>
          <w:lang w:eastAsia="zh-CN"/>
        </w:rPr>
        <w:t>：</w:t>
      </w:r>
    </w:p>
    <w:p>
      <w:pPr>
        <w:adjustRightInd w:val="0"/>
        <w:snapToGrid w:val="0"/>
        <w:spacing w:line="540" w:lineRule="exact"/>
        <w:ind w:firstLine="480" w:firstLineChars="200"/>
        <w:rPr>
          <w:rFonts w:hint="eastAsia" w:eastAsiaTheme="minorEastAsia"/>
          <w:bCs/>
          <w:color w:val="auto"/>
          <w:sz w:val="24"/>
          <w:szCs w:val="24"/>
        </w:rPr>
      </w:pPr>
      <w:r>
        <w:rPr>
          <w:rFonts w:hint="eastAsia" w:eastAsiaTheme="minorEastAsia"/>
          <w:bCs/>
          <w:color w:val="auto"/>
          <w:sz w:val="24"/>
          <w:szCs w:val="24"/>
        </w:rPr>
        <w:t>项目占地面积666.9平方米，总建筑面积115.4平方米。该加油站主要建设加油罩棚、站房、埋地油罐区以及辅助配套工程、公用工程、环保工程等，站内共设92#汽油罐30m</w:t>
      </w:r>
      <w:r>
        <w:rPr>
          <w:rFonts w:hint="eastAsia" w:eastAsiaTheme="minorEastAsia"/>
          <w:bCs/>
          <w:color w:val="auto"/>
          <w:sz w:val="24"/>
          <w:szCs w:val="24"/>
          <w:vertAlign w:val="superscript"/>
          <w:lang w:val="en-US" w:eastAsia="zh-CN"/>
        </w:rPr>
        <w:t>3</w:t>
      </w:r>
      <w:r>
        <w:rPr>
          <w:rFonts w:hint="eastAsia" w:eastAsiaTheme="minorEastAsia"/>
          <w:bCs/>
          <w:color w:val="auto"/>
          <w:sz w:val="24"/>
          <w:szCs w:val="24"/>
        </w:rPr>
        <w:t>x1个，95#汽油罐30m</w:t>
      </w:r>
      <w:r>
        <w:rPr>
          <w:rFonts w:hint="eastAsia" w:eastAsiaTheme="minorEastAsia"/>
          <w:bCs/>
          <w:color w:val="auto"/>
          <w:sz w:val="24"/>
          <w:szCs w:val="24"/>
          <w:vertAlign w:val="superscript"/>
          <w:lang w:val="en-US" w:eastAsia="zh-CN"/>
        </w:rPr>
        <w:t>3</w:t>
      </w:r>
      <w:r>
        <w:rPr>
          <w:rFonts w:hint="eastAsia" w:eastAsiaTheme="minorEastAsia"/>
          <w:bCs/>
          <w:color w:val="auto"/>
          <w:sz w:val="24"/>
          <w:szCs w:val="24"/>
        </w:rPr>
        <w:t>x1个，0#柴油罐30m</w:t>
      </w:r>
      <w:r>
        <w:rPr>
          <w:rFonts w:hint="eastAsia" w:eastAsiaTheme="minorEastAsia"/>
          <w:bCs/>
          <w:color w:val="auto"/>
          <w:sz w:val="24"/>
          <w:szCs w:val="24"/>
          <w:vertAlign w:val="superscript"/>
          <w:lang w:val="en-US" w:eastAsia="zh-CN"/>
        </w:rPr>
        <w:t>3</w:t>
      </w:r>
      <w:r>
        <w:rPr>
          <w:rFonts w:hint="eastAsia" w:eastAsiaTheme="minorEastAsia"/>
          <w:bCs/>
          <w:color w:val="auto"/>
          <w:sz w:val="24"/>
          <w:szCs w:val="24"/>
        </w:rPr>
        <w:t>x1个。设计总容量为75m</w:t>
      </w:r>
      <w:r>
        <w:rPr>
          <w:rFonts w:hint="eastAsia" w:eastAsiaTheme="minorEastAsia"/>
          <w:bCs/>
          <w:color w:val="auto"/>
          <w:sz w:val="24"/>
          <w:szCs w:val="24"/>
          <w:vertAlign w:val="superscript"/>
          <w:lang w:val="en-US" w:eastAsia="zh-CN"/>
        </w:rPr>
        <w:t>3</w:t>
      </w:r>
      <w:r>
        <w:rPr>
          <w:rFonts w:hint="eastAsia" w:eastAsiaTheme="minorEastAsia"/>
          <w:bCs/>
          <w:color w:val="auto"/>
          <w:sz w:val="24"/>
          <w:szCs w:val="24"/>
        </w:rPr>
        <w:t>。建站规模为三级加油站。项目总投资300万元，其中环保投资13万元。</w:t>
      </w:r>
    </w:p>
    <w:p>
      <w:pPr>
        <w:adjustRightInd w:val="0"/>
        <w:snapToGrid w:val="0"/>
        <w:spacing w:line="540" w:lineRule="exact"/>
        <w:ind w:firstLine="480" w:firstLineChars="200"/>
        <w:rPr>
          <w:rFonts w:hint="eastAsia" w:eastAsiaTheme="minorEastAsia"/>
          <w:bCs/>
          <w:color w:val="auto"/>
          <w:sz w:val="24"/>
          <w:szCs w:val="24"/>
        </w:rPr>
      </w:pPr>
      <w:r>
        <w:rPr>
          <w:rFonts w:hint="eastAsia" w:eastAsiaTheme="minorEastAsia"/>
          <w:bCs/>
          <w:color w:val="auto"/>
          <w:sz w:val="24"/>
          <w:szCs w:val="24"/>
        </w:rPr>
        <w:t>二、该建设项目应严格按照本批准书附件规定的排放标准及总量控制指标、辐射剂量控制限值执行，不得突破。</w:t>
      </w:r>
    </w:p>
    <w:p>
      <w:pPr>
        <w:adjustRightInd w:val="0"/>
        <w:snapToGrid w:val="0"/>
        <w:spacing w:line="540" w:lineRule="exact"/>
        <w:ind w:firstLine="480" w:firstLineChars="200"/>
        <w:rPr>
          <w:rFonts w:hint="eastAsia" w:eastAsiaTheme="minorEastAsia"/>
          <w:bCs/>
          <w:color w:val="auto"/>
          <w:sz w:val="24"/>
          <w:szCs w:val="24"/>
        </w:rPr>
      </w:pPr>
      <w:r>
        <w:rPr>
          <w:rFonts w:hint="eastAsia" w:eastAsiaTheme="minorEastAsia"/>
          <w:bCs/>
          <w:color w:val="auto"/>
          <w:sz w:val="24"/>
          <w:szCs w:val="24"/>
        </w:rPr>
        <w:t>三、该项目在设计、建设和生产过程中，应认真落实《报告表》提出的各项生态保护及污染防治措施，重点做好以下工作，以确保污染物达标排放和总量控制的要求。</w:t>
      </w:r>
    </w:p>
    <w:p>
      <w:pPr>
        <w:adjustRightInd w:val="0"/>
        <w:snapToGrid w:val="0"/>
        <w:spacing w:line="540" w:lineRule="exact"/>
        <w:ind w:firstLine="480" w:firstLineChars="200"/>
        <w:rPr>
          <w:rFonts w:hint="eastAsia" w:eastAsiaTheme="minorEastAsia"/>
          <w:bCs/>
          <w:color w:val="auto"/>
          <w:sz w:val="24"/>
          <w:szCs w:val="24"/>
        </w:rPr>
      </w:pPr>
      <w:r>
        <w:rPr>
          <w:rFonts w:hint="eastAsia" w:eastAsiaTheme="minorEastAsia"/>
          <w:bCs/>
          <w:color w:val="auto"/>
          <w:sz w:val="24"/>
          <w:szCs w:val="24"/>
          <w:lang w:eastAsia="zh-CN"/>
        </w:rPr>
        <w:t>（</w:t>
      </w:r>
      <w:r>
        <w:rPr>
          <w:rFonts w:hint="eastAsia" w:eastAsiaTheme="minorEastAsia"/>
          <w:bCs/>
          <w:color w:val="auto"/>
          <w:sz w:val="24"/>
          <w:szCs w:val="24"/>
        </w:rPr>
        <w:t>一</w:t>
      </w:r>
      <w:r>
        <w:rPr>
          <w:rFonts w:hint="eastAsia" w:eastAsiaTheme="minorEastAsia"/>
          <w:bCs/>
          <w:color w:val="auto"/>
          <w:sz w:val="24"/>
          <w:szCs w:val="24"/>
          <w:lang w:eastAsia="zh-CN"/>
        </w:rPr>
        <w:t>）</w:t>
      </w:r>
      <w:r>
        <w:rPr>
          <w:rFonts w:hint="eastAsia" w:eastAsiaTheme="minorEastAsia"/>
          <w:bCs/>
          <w:color w:val="auto"/>
          <w:sz w:val="24"/>
          <w:szCs w:val="24"/>
        </w:rPr>
        <w:t>加强废气治理措施。设置卸油、加油油气回收系统，采用密闭卸油方式，规范加油操作，减少跑、冒、滴、漏等措施。</w:t>
      </w:r>
    </w:p>
    <w:p>
      <w:pPr>
        <w:adjustRightInd w:val="0"/>
        <w:snapToGrid w:val="0"/>
        <w:spacing w:line="540" w:lineRule="exact"/>
        <w:ind w:firstLine="480" w:firstLineChars="200"/>
        <w:rPr>
          <w:rFonts w:hint="eastAsia" w:eastAsiaTheme="minorEastAsia"/>
          <w:bCs/>
          <w:color w:val="auto"/>
          <w:sz w:val="24"/>
          <w:szCs w:val="24"/>
          <w:lang w:eastAsia="zh-CN"/>
        </w:rPr>
      </w:pPr>
      <w:r>
        <w:rPr>
          <w:rFonts w:hint="eastAsia" w:eastAsiaTheme="minorEastAsia"/>
          <w:bCs/>
          <w:color w:val="auto"/>
          <w:sz w:val="24"/>
          <w:szCs w:val="24"/>
          <w:lang w:eastAsia="zh-CN"/>
        </w:rPr>
        <w:t>（</w:t>
      </w:r>
      <w:r>
        <w:rPr>
          <w:rFonts w:hint="eastAsia" w:eastAsiaTheme="minorEastAsia"/>
          <w:bCs/>
          <w:color w:val="auto"/>
          <w:sz w:val="24"/>
          <w:szCs w:val="24"/>
        </w:rPr>
        <w:t>二</w:t>
      </w:r>
      <w:r>
        <w:rPr>
          <w:rFonts w:hint="eastAsia" w:eastAsiaTheme="minorEastAsia"/>
          <w:bCs/>
          <w:color w:val="auto"/>
          <w:sz w:val="24"/>
          <w:szCs w:val="24"/>
          <w:lang w:eastAsia="zh-CN"/>
        </w:rPr>
        <w:t>）</w:t>
      </w:r>
      <w:r>
        <w:rPr>
          <w:rFonts w:hint="eastAsia" w:eastAsiaTheme="minorEastAsia"/>
          <w:bCs/>
          <w:color w:val="auto"/>
          <w:sz w:val="24"/>
          <w:szCs w:val="24"/>
        </w:rPr>
        <w:t>做好废水处理工作。实行雨污分流。雨水管网设置切换阀，并在加油站罩棚周围设置集水沟。冲洗废水和初期雨水经隔油池处理后与站内生活污水经生化池处理达《污水综合排放标准》</w:t>
      </w:r>
      <w:r>
        <w:rPr>
          <w:rFonts w:hint="eastAsia" w:eastAsiaTheme="minorEastAsia"/>
          <w:bCs/>
          <w:color w:val="auto"/>
          <w:sz w:val="24"/>
          <w:szCs w:val="24"/>
          <w:lang w:eastAsia="zh-CN"/>
        </w:rPr>
        <w:t>（</w:t>
      </w:r>
      <w:r>
        <w:rPr>
          <w:rFonts w:hint="eastAsia" w:eastAsiaTheme="minorEastAsia"/>
          <w:bCs/>
          <w:color w:val="auto"/>
          <w:sz w:val="24"/>
          <w:szCs w:val="24"/>
        </w:rPr>
        <w:t>GB8978-1996</w:t>
      </w:r>
      <w:r>
        <w:rPr>
          <w:rFonts w:hint="eastAsia" w:eastAsiaTheme="minorEastAsia"/>
          <w:bCs/>
          <w:color w:val="auto"/>
          <w:sz w:val="24"/>
          <w:szCs w:val="24"/>
          <w:lang w:eastAsia="zh-CN"/>
        </w:rPr>
        <w:t>）</w:t>
      </w:r>
      <w:r>
        <w:rPr>
          <w:rFonts w:hint="eastAsia" w:eastAsiaTheme="minorEastAsia"/>
          <w:bCs/>
          <w:color w:val="auto"/>
          <w:sz w:val="24"/>
          <w:szCs w:val="24"/>
        </w:rPr>
        <w:t>三级标准后排入市政污水管网进入污水处理厂处</w:t>
      </w:r>
      <w:r>
        <w:rPr>
          <w:rFonts w:hint="eastAsia" w:eastAsiaTheme="minorEastAsia"/>
          <w:bCs/>
          <w:color w:val="auto"/>
          <w:sz w:val="24"/>
          <w:szCs w:val="24"/>
          <w:lang w:eastAsia="zh-CN"/>
        </w:rPr>
        <w:t>理。</w:t>
      </w:r>
    </w:p>
    <w:p>
      <w:pPr>
        <w:adjustRightInd w:val="0"/>
        <w:snapToGrid w:val="0"/>
        <w:spacing w:line="540" w:lineRule="exact"/>
        <w:ind w:firstLine="480" w:firstLineChars="200"/>
        <w:rPr>
          <w:rFonts w:hint="eastAsia" w:eastAsiaTheme="minorEastAsia"/>
          <w:bCs/>
          <w:color w:val="auto"/>
          <w:sz w:val="24"/>
          <w:szCs w:val="24"/>
          <w:lang w:eastAsia="zh-CN"/>
        </w:rPr>
      </w:pPr>
      <w:r>
        <w:rPr>
          <w:rFonts w:hint="eastAsia" w:eastAsiaTheme="minorEastAsia"/>
          <w:bCs/>
          <w:color w:val="auto"/>
          <w:sz w:val="24"/>
          <w:szCs w:val="24"/>
          <w:lang w:eastAsia="zh-CN"/>
        </w:rPr>
        <w:t>（三）依法处置固体废物。生活垃圾及污水处理池污泥收集后委托环卫部门处理。废油、油渣等危险废物收集后委托有资质单位处置，执行危险废物转移联单制度。废手套、废棉纱收集于暂存桶与生活垃圾一并由环卫部门处理。</w:t>
      </w:r>
    </w:p>
    <w:p>
      <w:pPr>
        <w:adjustRightInd w:val="0"/>
        <w:snapToGrid w:val="0"/>
        <w:spacing w:line="540" w:lineRule="exact"/>
        <w:ind w:firstLine="480" w:firstLineChars="200"/>
        <w:rPr>
          <w:rFonts w:hint="eastAsia" w:eastAsiaTheme="minorEastAsia"/>
          <w:bCs/>
          <w:color w:val="auto"/>
          <w:sz w:val="24"/>
          <w:szCs w:val="24"/>
          <w:lang w:eastAsia="zh-CN"/>
        </w:rPr>
      </w:pPr>
      <w:r>
        <w:rPr>
          <w:rFonts w:hint="eastAsia" w:eastAsiaTheme="minorEastAsia"/>
          <w:bCs/>
          <w:color w:val="auto"/>
          <w:sz w:val="24"/>
          <w:szCs w:val="24"/>
          <w:lang w:eastAsia="zh-CN"/>
        </w:rPr>
        <w:t>（四）强化噪声污染防治。潜油泵置于埋地油罐内。选用低噪声加油设备，采取建筑隔声、防振、消声等控制措施。</w:t>
      </w:r>
    </w:p>
    <w:p>
      <w:pPr>
        <w:adjustRightInd w:val="0"/>
        <w:snapToGrid w:val="0"/>
        <w:spacing w:line="540" w:lineRule="exact"/>
        <w:ind w:firstLine="480" w:firstLineChars="200"/>
        <w:rPr>
          <w:rFonts w:hint="eastAsia" w:eastAsiaTheme="minorEastAsia"/>
          <w:bCs/>
          <w:color w:val="auto"/>
          <w:sz w:val="24"/>
          <w:szCs w:val="24"/>
          <w:lang w:eastAsia="zh-CN"/>
        </w:rPr>
      </w:pPr>
      <w:r>
        <w:rPr>
          <w:rFonts w:hint="eastAsia" w:eastAsiaTheme="minorEastAsia"/>
          <w:bCs/>
          <w:color w:val="auto"/>
          <w:sz w:val="24"/>
          <w:szCs w:val="24"/>
          <w:lang w:eastAsia="zh-CN"/>
        </w:rPr>
        <w:t>（五）生态环境保护措施。及时恢复和补偿植被，加强绿化。</w:t>
      </w:r>
    </w:p>
    <w:p>
      <w:pPr>
        <w:adjustRightInd w:val="0"/>
        <w:snapToGrid w:val="0"/>
        <w:spacing w:line="540" w:lineRule="exact"/>
        <w:ind w:firstLine="480" w:firstLineChars="200"/>
        <w:rPr>
          <w:rFonts w:hint="eastAsia" w:eastAsiaTheme="minorEastAsia"/>
          <w:bCs/>
          <w:color w:val="auto"/>
          <w:sz w:val="24"/>
          <w:szCs w:val="24"/>
          <w:lang w:eastAsia="zh-CN"/>
        </w:rPr>
      </w:pPr>
      <w:r>
        <w:rPr>
          <w:rFonts w:hint="eastAsia" w:eastAsiaTheme="minorEastAsia"/>
          <w:bCs/>
          <w:color w:val="auto"/>
          <w:sz w:val="24"/>
          <w:szCs w:val="24"/>
          <w:lang w:eastAsia="zh-CN"/>
        </w:rPr>
        <w:t>（六）严格环境风险防范。制定事故性环境污染事故应急预案和完善的环境保护制度，落实岗位责任，定期进行风险演练，认真落实和严格执行各种风险防范措施。</w:t>
      </w:r>
    </w:p>
    <w:p>
      <w:pPr>
        <w:adjustRightInd w:val="0"/>
        <w:snapToGrid w:val="0"/>
        <w:spacing w:line="540" w:lineRule="exact"/>
        <w:ind w:firstLine="480" w:firstLineChars="200"/>
        <w:rPr>
          <w:rFonts w:hint="eastAsia" w:eastAsiaTheme="minorEastAsia"/>
          <w:bCs/>
          <w:color w:val="auto"/>
          <w:sz w:val="24"/>
          <w:szCs w:val="24"/>
          <w:lang w:eastAsia="zh-CN"/>
        </w:rPr>
      </w:pPr>
      <w:r>
        <w:rPr>
          <w:rFonts w:hint="eastAsia" w:eastAsiaTheme="minorEastAsia"/>
          <w:bCs/>
          <w:color w:val="auto"/>
          <w:sz w:val="24"/>
          <w:szCs w:val="24"/>
          <w:lang w:eastAsia="zh-CN"/>
        </w:rPr>
        <w:t>四、该项日建设必须严格执行环境保护设施与主体工程同时设计、同时施工、同时投入使用的环境保护“三同时”制度。项目竣工后，建设单位必须按照规定程序申请环保验收。验收合格后，项目方能投入正式使用。</w:t>
      </w:r>
    </w:p>
    <w:p>
      <w:pPr>
        <w:adjustRightInd w:val="0"/>
        <w:snapToGrid w:val="0"/>
        <w:spacing w:line="540" w:lineRule="exact"/>
        <w:ind w:firstLine="480" w:firstLineChars="200"/>
        <w:rPr>
          <w:rFonts w:hint="eastAsia" w:eastAsiaTheme="minorEastAsia"/>
          <w:bCs/>
          <w:color w:val="auto"/>
          <w:sz w:val="24"/>
          <w:szCs w:val="24"/>
          <w:lang w:eastAsia="zh-CN"/>
        </w:rPr>
      </w:pPr>
      <w:r>
        <w:rPr>
          <w:rFonts w:hint="eastAsia" w:eastAsiaTheme="minorEastAsia"/>
          <w:bCs/>
          <w:color w:val="auto"/>
          <w:sz w:val="24"/>
          <w:szCs w:val="24"/>
          <w:lang w:eastAsia="zh-CN"/>
        </w:rPr>
        <w:t>五、该项目的性质、规模、地点、采用的生产工艺，防治污染生态保护与辐射安全防护措施发生重大变化的，你单位应当重新报批该项目的环境影响评价文件。</w:t>
      </w:r>
    </w:p>
    <w:p>
      <w:pPr>
        <w:adjustRightInd w:val="0"/>
        <w:snapToGrid w:val="0"/>
        <w:spacing w:line="540" w:lineRule="exact"/>
        <w:ind w:firstLine="480" w:firstLineChars="200"/>
        <w:rPr>
          <w:rFonts w:hint="eastAsia" w:eastAsiaTheme="minorEastAsia"/>
          <w:bCs/>
          <w:color w:val="auto"/>
          <w:sz w:val="24"/>
          <w:szCs w:val="24"/>
          <w:lang w:eastAsia="zh-CN"/>
        </w:rPr>
      </w:pPr>
      <w:r>
        <w:rPr>
          <w:rFonts w:hint="eastAsia" w:eastAsiaTheme="minorEastAsia"/>
          <w:bCs/>
          <w:color w:val="auto"/>
          <w:sz w:val="24"/>
          <w:szCs w:val="24"/>
          <w:lang w:eastAsia="zh-CN"/>
        </w:rPr>
        <w:t>六、请奉节县环境监察大队负责该项目环境保护日常监督管理工作。</w:t>
      </w:r>
    </w:p>
    <w:p>
      <w:pPr>
        <w:adjustRightInd w:val="0"/>
        <w:snapToGrid w:val="0"/>
        <w:spacing w:line="540" w:lineRule="exact"/>
        <w:ind w:firstLine="480" w:firstLineChars="200"/>
        <w:rPr>
          <w:rFonts w:hint="eastAsia" w:eastAsiaTheme="minorEastAsia"/>
          <w:bCs/>
          <w:color w:val="auto"/>
          <w:sz w:val="24"/>
          <w:szCs w:val="24"/>
          <w:lang w:eastAsia="zh-CN"/>
        </w:rPr>
      </w:pPr>
      <w:r>
        <w:rPr>
          <w:rFonts w:hint="eastAsia" w:eastAsiaTheme="minorEastAsia"/>
          <w:bCs/>
          <w:color w:val="auto"/>
          <w:sz w:val="24"/>
          <w:szCs w:val="24"/>
          <w:lang w:eastAsia="zh-CN"/>
        </w:rPr>
        <w:t>附件：奉节县顺全加油站改扩建建设项目主要污染物排放标准及总量指标。</w:t>
      </w:r>
    </w:p>
    <w:p>
      <w:pPr>
        <w:adjustRightInd w:val="0"/>
        <w:snapToGrid w:val="0"/>
        <w:spacing w:line="540" w:lineRule="exact"/>
        <w:ind w:firstLine="480" w:firstLineChars="200"/>
        <w:rPr>
          <w:rFonts w:hint="default" w:eastAsiaTheme="minorEastAsia"/>
          <w:bCs/>
          <w:color w:val="auto"/>
          <w:sz w:val="24"/>
          <w:szCs w:val="24"/>
          <w:lang w:val="en-US" w:eastAsia="zh-CN"/>
        </w:rPr>
        <w:sectPr>
          <w:headerReference r:id="rId3" w:type="default"/>
          <w:footerReference r:id="rId4" w:type="default"/>
          <w:pgSz w:w="11906" w:h="16838"/>
          <w:pgMar w:top="1701" w:right="1418" w:bottom="1701" w:left="1418" w:header="851" w:footer="992" w:gutter="0"/>
          <w:pgNumType w:start="1"/>
          <w:cols w:space="425" w:num="1"/>
          <w:docGrid w:type="lines" w:linePitch="312" w:charSpace="0"/>
        </w:sectPr>
      </w:pPr>
      <w:r>
        <w:rPr>
          <w:rFonts w:hint="eastAsia" w:eastAsiaTheme="minorEastAsia"/>
          <w:bCs/>
          <w:color w:val="auto"/>
          <w:sz w:val="24"/>
          <w:szCs w:val="24"/>
          <w:lang w:eastAsia="zh-CN"/>
        </w:rPr>
        <w:t>详见附件</w:t>
      </w:r>
      <w:r>
        <w:rPr>
          <w:rFonts w:hint="eastAsia" w:eastAsiaTheme="minorEastAsia"/>
          <w:bCs/>
          <w:color w:val="auto"/>
          <w:sz w:val="24"/>
          <w:szCs w:val="24"/>
          <w:lang w:val="en-US" w:eastAsia="zh-CN"/>
        </w:rPr>
        <w:t>1。</w:t>
      </w:r>
    </w:p>
    <w:p>
      <w:pPr>
        <w:pStyle w:val="63"/>
        <w:spacing w:line="360" w:lineRule="auto"/>
        <w:rPr>
          <w:rFonts w:cs="Times New Roman"/>
          <w:sz w:val="36"/>
        </w:rPr>
      </w:pPr>
      <w:bookmarkStart w:id="107" w:name="_Toc13690"/>
      <w:bookmarkStart w:id="108" w:name="_Toc333501116"/>
      <w:bookmarkStart w:id="109" w:name="_Toc332660949"/>
      <w:bookmarkStart w:id="110" w:name="_Toc333501405"/>
      <w:bookmarkStart w:id="111" w:name="_Toc321042426"/>
      <w:bookmarkStart w:id="112" w:name="_Toc333588657"/>
      <w:bookmarkStart w:id="113" w:name="_Toc305059573"/>
      <w:bookmarkStart w:id="114" w:name="_Toc332553927"/>
      <w:bookmarkStart w:id="115" w:name="_Toc312829620"/>
      <w:r>
        <w:rPr>
          <w:rFonts w:hint="eastAsia" w:cs="Times New Roman"/>
          <w:sz w:val="36"/>
        </w:rPr>
        <w:t>6验收执行</w:t>
      </w:r>
      <w:r>
        <w:rPr>
          <w:rFonts w:cs="Times New Roman"/>
          <w:sz w:val="36"/>
        </w:rPr>
        <w:t>标准</w:t>
      </w:r>
      <w:bookmarkEnd w:id="107"/>
      <w:bookmarkEnd w:id="108"/>
      <w:bookmarkEnd w:id="109"/>
      <w:bookmarkEnd w:id="110"/>
      <w:bookmarkEnd w:id="111"/>
      <w:bookmarkEnd w:id="112"/>
      <w:bookmarkEnd w:id="113"/>
      <w:bookmarkEnd w:id="114"/>
    </w:p>
    <w:p>
      <w:pPr>
        <w:pStyle w:val="64"/>
        <w:rPr>
          <w:rFonts w:cs="Times New Roman"/>
          <w:sz w:val="32"/>
        </w:rPr>
      </w:pPr>
      <w:bookmarkStart w:id="116" w:name="_Toc321042427"/>
      <w:bookmarkStart w:id="117" w:name="_Toc332553928"/>
      <w:bookmarkStart w:id="118" w:name="_Toc305059574"/>
      <w:bookmarkStart w:id="119" w:name="_Toc341278433"/>
      <w:bookmarkStart w:id="120" w:name="_Toc341293118"/>
      <w:bookmarkStart w:id="121" w:name="_Toc341431735"/>
      <w:bookmarkStart w:id="122" w:name="_Toc341357482"/>
      <w:bookmarkStart w:id="123" w:name="_Toc20835"/>
      <w:bookmarkStart w:id="124" w:name="_Toc333501409"/>
      <w:bookmarkStart w:id="125" w:name="_Toc333588661"/>
      <w:bookmarkStart w:id="126" w:name="_Toc333501120"/>
      <w:r>
        <w:rPr>
          <w:rFonts w:hint="eastAsia" w:cs="Times New Roman"/>
          <w:sz w:val="32"/>
        </w:rPr>
        <w:t>6</w:t>
      </w:r>
      <w:r>
        <w:rPr>
          <w:rFonts w:cs="Times New Roman"/>
          <w:sz w:val="32"/>
        </w:rPr>
        <w:t>.1 废</w:t>
      </w:r>
      <w:bookmarkEnd w:id="116"/>
      <w:bookmarkEnd w:id="117"/>
      <w:bookmarkEnd w:id="118"/>
      <w:r>
        <w:rPr>
          <w:rFonts w:cs="Times New Roman"/>
          <w:sz w:val="32"/>
        </w:rPr>
        <w:t>水</w:t>
      </w:r>
      <w:bookmarkEnd w:id="119"/>
      <w:bookmarkEnd w:id="120"/>
      <w:bookmarkEnd w:id="121"/>
      <w:bookmarkEnd w:id="122"/>
      <w:bookmarkEnd w:id="123"/>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olor w:val="auto"/>
          <w:sz w:val="24"/>
          <w:szCs w:val="24"/>
        </w:rPr>
      </w:pPr>
      <w:r>
        <w:rPr>
          <w:rFonts w:hint="eastAsia" w:ascii="Times New Roman" w:hAnsi="宋体"/>
          <w:color w:val="auto"/>
          <w:sz w:val="24"/>
          <w:szCs w:val="24"/>
          <w:lang w:eastAsia="zh-CN"/>
        </w:rPr>
        <w:t>场地冲洗后的含油废水经三段式水封井（隔油池）处理后排入生化池，与生活污水一并处理达《污水综合排放标准》（GB8978-1996）中三级标准后进入市政污水管网，在进入新民污水处理厂做进一步处理达《城镇污水处理厂污染物排放标准》（GB18918-2002）中一级B标后排入新民河</w:t>
      </w:r>
      <w:r>
        <w:rPr>
          <w:rFonts w:ascii="Times New Roman" w:hAnsi="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24"/>
          <w:szCs w:val="24"/>
        </w:rPr>
      </w:pPr>
      <w:r>
        <w:rPr>
          <w:rFonts w:ascii="Times New Roman" w:hAnsi="宋体"/>
          <w:color w:val="auto"/>
          <w:sz w:val="24"/>
          <w:szCs w:val="24"/>
        </w:rPr>
        <w:t>表</w:t>
      </w:r>
      <w:r>
        <w:rPr>
          <w:rFonts w:hint="eastAsia" w:ascii="Times New Roman" w:hAnsi="Times New Roman"/>
          <w:color w:val="auto"/>
          <w:sz w:val="24"/>
          <w:szCs w:val="24"/>
          <w:lang w:val="en-US" w:eastAsia="zh-CN"/>
        </w:rPr>
        <w:t>6-1</w:t>
      </w:r>
      <w:r>
        <w:rPr>
          <w:rFonts w:ascii="Times New Roman" w:hAnsi="Times New Roman"/>
          <w:color w:val="auto"/>
          <w:sz w:val="24"/>
          <w:szCs w:val="24"/>
        </w:rPr>
        <w:t xml:space="preserve">  </w:t>
      </w:r>
      <w:r>
        <w:rPr>
          <w:rFonts w:ascii="Times New Roman" w:hAnsi="宋体"/>
          <w:color w:val="auto"/>
          <w:sz w:val="24"/>
          <w:szCs w:val="24"/>
        </w:rPr>
        <w:t>污水排放标准一览表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3"/>
        <w:gridCol w:w="940"/>
        <w:gridCol w:w="1045"/>
        <w:gridCol w:w="1034"/>
        <w:gridCol w:w="889"/>
        <w:gridCol w:w="107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36"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21"/>
                <w:szCs w:val="21"/>
              </w:rPr>
            </w:pPr>
            <w:r>
              <w:rPr>
                <w:rFonts w:ascii="Times New Roman" w:hAnsi="宋体"/>
                <w:color w:val="auto"/>
                <w:sz w:val="21"/>
                <w:szCs w:val="21"/>
              </w:rPr>
              <w:t>执行标准</w:t>
            </w:r>
          </w:p>
        </w:tc>
        <w:tc>
          <w:tcPr>
            <w:tcW w:w="3263" w:type="pct"/>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宋体"/>
                <w:color w:val="auto"/>
                <w:sz w:val="21"/>
                <w:szCs w:val="21"/>
              </w:rPr>
            </w:pPr>
            <w:r>
              <w:rPr>
                <w:rFonts w:ascii="Times New Roman" w:hAnsi="宋体"/>
                <w:color w:val="auto"/>
                <w:sz w:val="21"/>
                <w:szCs w:val="21"/>
              </w:rPr>
              <w:t>标准值（</w:t>
            </w:r>
            <w:r>
              <w:rPr>
                <w:rFonts w:ascii="Times New Roman" w:hAnsi="Times New Roman"/>
                <w:color w:val="auto"/>
                <w:sz w:val="21"/>
                <w:szCs w:val="21"/>
              </w:rPr>
              <w:t>mg/L</w:t>
            </w:r>
            <w:r>
              <w:rPr>
                <w:rFonts w:ascii="Times New Roman" w:hAns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3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21"/>
                <w:szCs w:val="21"/>
              </w:rPr>
            </w:pPr>
          </w:p>
        </w:tc>
        <w:tc>
          <w:tcPr>
            <w:tcW w:w="506" w:type="pct"/>
            <w:tcBorders>
              <w:tl2br w:val="nil"/>
              <w:tr2bl w:val="nil"/>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textAlignment w:val="auto"/>
              <w:rPr>
                <w:color w:val="auto"/>
                <w:kern w:val="2"/>
                <w:sz w:val="21"/>
                <w:szCs w:val="21"/>
              </w:rPr>
            </w:pPr>
            <w:r>
              <w:rPr>
                <w:color w:val="auto"/>
                <w:kern w:val="2"/>
                <w:sz w:val="21"/>
                <w:szCs w:val="21"/>
              </w:rPr>
              <w:t>pH</w:t>
            </w:r>
          </w:p>
        </w:tc>
        <w:tc>
          <w:tcPr>
            <w:tcW w:w="563" w:type="pct"/>
            <w:tcBorders>
              <w:tl2br w:val="nil"/>
              <w:tr2bl w:val="nil"/>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textAlignment w:val="auto"/>
              <w:rPr>
                <w:color w:val="auto"/>
                <w:kern w:val="2"/>
                <w:sz w:val="21"/>
                <w:szCs w:val="21"/>
              </w:rPr>
            </w:pPr>
            <w:r>
              <w:rPr>
                <w:color w:val="auto"/>
                <w:kern w:val="2"/>
                <w:sz w:val="21"/>
                <w:szCs w:val="21"/>
              </w:rPr>
              <w:t>COD</w:t>
            </w:r>
          </w:p>
        </w:tc>
        <w:tc>
          <w:tcPr>
            <w:tcW w:w="5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2"/>
                <w:sz w:val="21"/>
                <w:szCs w:val="21"/>
              </w:rPr>
            </w:pPr>
            <w:r>
              <w:rPr>
                <w:rFonts w:ascii="Times New Roman" w:hAnsi="Times New Roman" w:cs="Times New Roman"/>
                <w:color w:val="auto"/>
                <w:sz w:val="21"/>
                <w:szCs w:val="21"/>
              </w:rPr>
              <w:t>BOD</w:t>
            </w:r>
            <w:r>
              <w:rPr>
                <w:rFonts w:ascii="Times New Roman" w:hAnsi="Times New Roman" w:cs="Times New Roman"/>
                <w:color w:val="auto"/>
                <w:sz w:val="21"/>
                <w:szCs w:val="21"/>
                <w:vertAlign w:val="subscript"/>
              </w:rPr>
              <w:t>5</w:t>
            </w:r>
          </w:p>
        </w:tc>
        <w:tc>
          <w:tcPr>
            <w:tcW w:w="47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21"/>
                <w:szCs w:val="21"/>
              </w:rPr>
            </w:pPr>
            <w:r>
              <w:rPr>
                <w:rFonts w:ascii="Times New Roman" w:hAnsi="Times New Roman"/>
                <w:color w:val="auto"/>
                <w:sz w:val="21"/>
                <w:szCs w:val="21"/>
              </w:rPr>
              <w:t>SS</w:t>
            </w:r>
          </w:p>
        </w:tc>
        <w:tc>
          <w:tcPr>
            <w:tcW w:w="5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21"/>
                <w:szCs w:val="21"/>
              </w:rPr>
            </w:pPr>
            <w:r>
              <w:rPr>
                <w:rFonts w:ascii="Times New Roman" w:hAnsi="Times New Roman"/>
                <w:color w:val="auto"/>
                <w:sz w:val="21"/>
                <w:szCs w:val="21"/>
              </w:rPr>
              <w:t>NH</w:t>
            </w:r>
            <w:r>
              <w:rPr>
                <w:rFonts w:ascii="Times New Roman" w:hAnsi="Times New Roman"/>
                <w:color w:val="auto"/>
                <w:sz w:val="21"/>
                <w:szCs w:val="21"/>
                <w:vertAlign w:val="subscript"/>
              </w:rPr>
              <w:t>3</w:t>
            </w:r>
            <w:r>
              <w:rPr>
                <w:rFonts w:ascii="Times New Roman" w:hAnsi="Times New Roman"/>
                <w:color w:val="auto"/>
                <w:sz w:val="21"/>
                <w:szCs w:val="21"/>
              </w:rPr>
              <w:t>-N</w:t>
            </w:r>
          </w:p>
        </w:tc>
        <w:tc>
          <w:tcPr>
            <w:tcW w:w="58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sz w:val="21"/>
                <w:szCs w:val="21"/>
                <w:lang w:val="en-US" w:eastAsia="zh-CN"/>
              </w:rPr>
            </w:pPr>
            <w:r>
              <w:rPr>
                <w:rFonts w:hint="eastAsia" w:ascii="Times New Roman" w:hAnsi="Times New Roman"/>
                <w:color w:val="auto"/>
                <w:sz w:val="21"/>
                <w:szCs w:val="21"/>
                <w:lang w:val="en-US" w:eastAsia="zh-CN"/>
              </w:rPr>
              <w:t>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3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21"/>
                <w:szCs w:val="21"/>
              </w:rPr>
            </w:pPr>
            <w:r>
              <w:rPr>
                <w:rFonts w:ascii="Times New Roman" w:hAnsi="宋体"/>
                <w:color w:val="auto"/>
                <w:sz w:val="21"/>
                <w:szCs w:val="21"/>
              </w:rPr>
              <w:t>《污水综合排放标准》（</w:t>
            </w:r>
            <w:r>
              <w:rPr>
                <w:rFonts w:ascii="Times New Roman" w:hAnsi="Times New Roman"/>
                <w:color w:val="auto"/>
                <w:sz w:val="21"/>
                <w:szCs w:val="21"/>
              </w:rPr>
              <w:t>GB8978-1996</w:t>
            </w:r>
            <w:r>
              <w:rPr>
                <w:rFonts w:ascii="Times New Roman" w:hAnsi="宋体"/>
                <w:color w:val="auto"/>
                <w:sz w:val="21"/>
                <w:szCs w:val="21"/>
              </w:rPr>
              <w:t>）三级标准</w:t>
            </w:r>
          </w:p>
        </w:tc>
        <w:tc>
          <w:tcPr>
            <w:tcW w:w="506" w:type="pct"/>
            <w:tcBorders>
              <w:tl2br w:val="nil"/>
              <w:tr2bl w:val="nil"/>
            </w:tcBorders>
            <w:noWrap w:val="0"/>
            <w:vAlign w:val="center"/>
          </w:tcPr>
          <w:p>
            <w:pPr>
              <w:pStyle w:val="8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color w:val="auto"/>
                <w:kern w:val="2"/>
                <w:sz w:val="21"/>
                <w:szCs w:val="21"/>
              </w:rPr>
            </w:pPr>
            <w:r>
              <w:rPr>
                <w:color w:val="auto"/>
                <w:kern w:val="2"/>
                <w:sz w:val="21"/>
                <w:szCs w:val="21"/>
              </w:rPr>
              <w:t>6</w:t>
            </w:r>
            <w:r>
              <w:rPr>
                <w:rFonts w:hAnsi="宋体"/>
                <w:color w:val="auto"/>
                <w:kern w:val="2"/>
                <w:sz w:val="21"/>
                <w:szCs w:val="21"/>
              </w:rPr>
              <w:t>～</w:t>
            </w:r>
            <w:r>
              <w:rPr>
                <w:color w:val="auto"/>
                <w:kern w:val="2"/>
                <w:sz w:val="21"/>
                <w:szCs w:val="21"/>
              </w:rPr>
              <w:t>9</w:t>
            </w:r>
          </w:p>
        </w:tc>
        <w:tc>
          <w:tcPr>
            <w:tcW w:w="563" w:type="pct"/>
            <w:tcBorders>
              <w:tl2br w:val="nil"/>
              <w:tr2bl w:val="nil"/>
            </w:tcBorders>
            <w:noWrap w:val="0"/>
            <w:vAlign w:val="center"/>
          </w:tcPr>
          <w:p>
            <w:pPr>
              <w:pStyle w:val="8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color w:val="auto"/>
                <w:kern w:val="2"/>
                <w:sz w:val="21"/>
                <w:szCs w:val="21"/>
              </w:rPr>
            </w:pPr>
            <w:r>
              <w:rPr>
                <w:color w:val="auto"/>
                <w:kern w:val="2"/>
                <w:sz w:val="21"/>
                <w:szCs w:val="21"/>
              </w:rPr>
              <w:t>500</w:t>
            </w:r>
          </w:p>
        </w:tc>
        <w:tc>
          <w:tcPr>
            <w:tcW w:w="55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2"/>
                <w:sz w:val="21"/>
                <w:szCs w:val="21"/>
              </w:rPr>
            </w:pPr>
            <w:r>
              <w:rPr>
                <w:rFonts w:ascii="Times New Roman" w:hAnsi="Times New Roman" w:cs="Times New Roman"/>
                <w:color w:val="auto"/>
                <w:sz w:val="21"/>
                <w:szCs w:val="21"/>
              </w:rPr>
              <w:t>300</w:t>
            </w:r>
          </w:p>
        </w:tc>
        <w:tc>
          <w:tcPr>
            <w:tcW w:w="479" w:type="pct"/>
            <w:tcBorders>
              <w:tl2br w:val="nil"/>
              <w:tr2bl w:val="nil"/>
            </w:tcBorders>
            <w:noWrap w:val="0"/>
            <w:vAlign w:val="center"/>
          </w:tcPr>
          <w:p>
            <w:pPr>
              <w:pStyle w:val="8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color w:val="auto"/>
                <w:kern w:val="2"/>
                <w:sz w:val="21"/>
                <w:szCs w:val="21"/>
              </w:rPr>
            </w:pPr>
            <w:r>
              <w:rPr>
                <w:color w:val="auto"/>
                <w:kern w:val="2"/>
                <w:sz w:val="21"/>
                <w:szCs w:val="21"/>
              </w:rPr>
              <w:t>400</w:t>
            </w:r>
          </w:p>
        </w:tc>
        <w:tc>
          <w:tcPr>
            <w:tcW w:w="576" w:type="pct"/>
            <w:tcBorders>
              <w:tl2br w:val="nil"/>
              <w:tr2bl w:val="nil"/>
            </w:tcBorders>
            <w:noWrap w:val="0"/>
            <w:vAlign w:val="center"/>
          </w:tcPr>
          <w:p>
            <w:pPr>
              <w:pStyle w:val="8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color w:val="auto"/>
                <w:kern w:val="2"/>
                <w:sz w:val="21"/>
                <w:szCs w:val="21"/>
              </w:rPr>
            </w:pPr>
            <w:r>
              <w:rPr>
                <w:color w:val="auto"/>
                <w:kern w:val="2"/>
                <w:sz w:val="21"/>
                <w:szCs w:val="21"/>
              </w:rPr>
              <w:t>45</w:t>
            </w:r>
            <w:r>
              <w:rPr>
                <w:rFonts w:hint="eastAsia" w:ascii="Times New Roman" w:hAnsi="Times New Roman"/>
                <w:color w:val="auto"/>
                <w:sz w:val="21"/>
                <w:szCs w:val="21"/>
              </w:rPr>
              <w:t>*</w:t>
            </w:r>
          </w:p>
        </w:tc>
        <w:tc>
          <w:tcPr>
            <w:tcW w:w="580" w:type="pct"/>
            <w:tcBorders>
              <w:tl2br w:val="nil"/>
              <w:tr2bl w:val="nil"/>
            </w:tcBorders>
            <w:noWrap w:val="0"/>
            <w:vAlign w:val="center"/>
          </w:tcPr>
          <w:p>
            <w:pPr>
              <w:pStyle w:val="8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default" w:eastAsia="宋体"/>
                <w:color w:val="auto"/>
                <w:kern w:val="2"/>
                <w:sz w:val="21"/>
                <w:szCs w:val="21"/>
                <w:lang w:val="en-US" w:eastAsia="zh-CN"/>
              </w:rPr>
            </w:pPr>
            <w:r>
              <w:rPr>
                <w:rFonts w:hint="eastAsia"/>
                <w:color w:val="auto"/>
                <w:kern w:val="2"/>
                <w:sz w:val="21"/>
                <w:szCs w:val="21"/>
                <w:lang w:val="en-US" w:eastAsia="zh-CN"/>
              </w:rPr>
              <w:t>20</w:t>
            </w:r>
          </w:p>
        </w:tc>
      </w:tr>
    </w:tbl>
    <w:p>
      <w:pPr>
        <w:spacing w:line="540" w:lineRule="exact"/>
        <w:ind w:firstLine="352" w:firstLineChars="196"/>
        <w:rPr>
          <w:sz w:val="18"/>
          <w:szCs w:val="18"/>
        </w:rPr>
      </w:pPr>
      <w:r>
        <w:rPr>
          <w:rFonts w:ascii="Times New Roman" w:hAnsi="宋体"/>
          <w:color w:val="auto"/>
          <w:sz w:val="18"/>
          <w:szCs w:val="18"/>
        </w:rPr>
        <w:t>注：</w:t>
      </w:r>
      <w:r>
        <w:rPr>
          <w:rFonts w:hint="eastAsia" w:ascii="Times New Roman" w:hAnsi="Times New Roman"/>
          <w:color w:val="auto"/>
          <w:sz w:val="18"/>
          <w:szCs w:val="18"/>
        </w:rPr>
        <w:t>*氨氮执行《污水排入城镇下水道水质标准》（GB/T31962-2015）</w:t>
      </w:r>
      <w:r>
        <w:rPr>
          <w:rFonts w:ascii="Times New Roman" w:hAnsi="宋体"/>
          <w:color w:val="auto"/>
          <w:sz w:val="18"/>
          <w:szCs w:val="18"/>
        </w:rPr>
        <w:t>。</w:t>
      </w:r>
    </w:p>
    <w:p>
      <w:pPr>
        <w:pStyle w:val="64"/>
        <w:rPr>
          <w:rFonts w:cs="Times New Roman"/>
          <w:sz w:val="32"/>
        </w:rPr>
      </w:pPr>
      <w:bookmarkStart w:id="127" w:name="_Toc59"/>
      <w:r>
        <w:rPr>
          <w:rFonts w:hint="eastAsia" w:cs="Times New Roman"/>
          <w:sz w:val="32"/>
        </w:rPr>
        <w:t>6</w:t>
      </w:r>
      <w:r>
        <w:rPr>
          <w:rFonts w:cs="Times New Roman"/>
          <w:sz w:val="32"/>
        </w:rPr>
        <w:t>.</w:t>
      </w:r>
      <w:r>
        <w:rPr>
          <w:rFonts w:hint="eastAsia" w:cs="Times New Roman"/>
          <w:sz w:val="32"/>
        </w:rPr>
        <w:t>2废气</w:t>
      </w:r>
      <w:bookmarkEnd w:id="1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kern w:val="0"/>
          <w:sz w:val="24"/>
          <w:szCs w:val="24"/>
        </w:rPr>
      </w:pPr>
      <w:bookmarkStart w:id="128" w:name="_Toc341293120"/>
      <w:bookmarkStart w:id="129" w:name="_Toc305059576"/>
      <w:bookmarkStart w:id="130" w:name="_Toc341431737"/>
      <w:bookmarkStart w:id="131" w:name="_Toc341278435"/>
      <w:bookmarkStart w:id="132" w:name="_Toc332553930"/>
      <w:bookmarkStart w:id="133" w:name="_Toc341357484"/>
      <w:bookmarkStart w:id="134" w:name="_Toc321042429"/>
      <w:r>
        <w:rPr>
          <w:rFonts w:hint="eastAsia"/>
          <w:color w:val="auto"/>
          <w:kern w:val="0"/>
          <w:sz w:val="24"/>
          <w:szCs w:val="24"/>
        </w:rPr>
        <w:t xml:space="preserve">厂界油气浓度无组织排放限值执行《加油站大气污染物排放标准》（GB20952-2020）中表 3 要求，详见表 </w:t>
      </w:r>
      <w:r>
        <w:rPr>
          <w:rFonts w:hint="eastAsia"/>
          <w:color w:val="auto"/>
          <w:kern w:val="0"/>
          <w:sz w:val="24"/>
          <w:szCs w:val="24"/>
          <w:lang w:val="en-US" w:eastAsia="zh-CN"/>
        </w:rPr>
        <w:t>6</w:t>
      </w:r>
      <w:r>
        <w:rPr>
          <w:rFonts w:hint="eastAsia"/>
          <w:color w:val="auto"/>
          <w:kern w:val="0"/>
          <w:sz w:val="24"/>
          <w:szCs w:val="24"/>
        </w:rPr>
        <w:t>-</w:t>
      </w:r>
      <w:r>
        <w:rPr>
          <w:rFonts w:hint="eastAsia"/>
          <w:color w:val="auto"/>
          <w:kern w:val="0"/>
          <w:sz w:val="24"/>
          <w:szCs w:val="24"/>
          <w:lang w:val="en-US" w:eastAsia="zh-CN"/>
        </w:rPr>
        <w:t>2</w:t>
      </w:r>
      <w:r>
        <w:rPr>
          <w:rFonts w:hint="eastAsia"/>
          <w:color w:val="auto"/>
          <w:kern w:val="0"/>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4"/>
          <w:szCs w:val="24"/>
        </w:rPr>
      </w:pPr>
      <w:r>
        <w:rPr>
          <w:rFonts w:hint="eastAsia"/>
          <w:color w:val="auto"/>
          <w:kern w:val="0"/>
          <w:sz w:val="24"/>
          <w:szCs w:val="24"/>
        </w:rPr>
        <w:t xml:space="preserve">表 </w:t>
      </w:r>
      <w:r>
        <w:rPr>
          <w:rFonts w:hint="eastAsia"/>
          <w:color w:val="auto"/>
          <w:kern w:val="0"/>
          <w:sz w:val="24"/>
          <w:szCs w:val="24"/>
          <w:lang w:val="en-US" w:eastAsia="zh-CN"/>
        </w:rPr>
        <w:t>6</w:t>
      </w:r>
      <w:r>
        <w:rPr>
          <w:rFonts w:hint="eastAsia"/>
          <w:color w:val="auto"/>
          <w:kern w:val="0"/>
          <w:sz w:val="24"/>
          <w:szCs w:val="24"/>
        </w:rPr>
        <w:t>-</w:t>
      </w:r>
      <w:r>
        <w:rPr>
          <w:rFonts w:hint="eastAsia"/>
          <w:color w:val="auto"/>
          <w:kern w:val="0"/>
          <w:sz w:val="24"/>
          <w:szCs w:val="24"/>
          <w:lang w:val="en-US" w:eastAsia="zh-CN"/>
        </w:rPr>
        <w:t>2</w:t>
      </w:r>
      <w:r>
        <w:rPr>
          <w:rFonts w:hint="eastAsia"/>
          <w:color w:val="auto"/>
          <w:kern w:val="0"/>
          <w:sz w:val="24"/>
          <w:szCs w:val="24"/>
        </w:rPr>
        <w:t xml:space="preserve"> 《加油站大气污染物排放标准》（GB20952-2020）</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3154"/>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b/>
                <w:bCs/>
                <w:color w:val="auto"/>
                <w:sz w:val="21"/>
                <w:szCs w:val="21"/>
                <w:vertAlign w:val="baseline"/>
                <w:lang w:eastAsia="zh-CN"/>
              </w:rPr>
              <w:t>油气回收系统要求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 xml:space="preserve">类型  </w:t>
            </w:r>
          </w:p>
        </w:tc>
        <w:tc>
          <w:tcPr>
            <w:tcW w:w="16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通入氮气流量</w:t>
            </w:r>
          </w:p>
        </w:tc>
        <w:tc>
          <w:tcPr>
            <w:tcW w:w="16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最大压力限值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加油站油气回收管线液阻最大压力限值</w:t>
            </w:r>
          </w:p>
        </w:tc>
        <w:tc>
          <w:tcPr>
            <w:tcW w:w="16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18L/min</w:t>
            </w:r>
          </w:p>
        </w:tc>
        <w:tc>
          <w:tcPr>
            <w:tcW w:w="16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40Pa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p>
        </w:tc>
        <w:tc>
          <w:tcPr>
            <w:tcW w:w="16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28L/min</w:t>
            </w:r>
          </w:p>
        </w:tc>
        <w:tc>
          <w:tcPr>
            <w:tcW w:w="16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90Pa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p>
        </w:tc>
        <w:tc>
          <w:tcPr>
            <w:tcW w:w="16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38L/min</w:t>
            </w:r>
          </w:p>
        </w:tc>
        <w:tc>
          <w:tcPr>
            <w:tcW w:w="16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155Pa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加油站油气回收系统密闭性检测最小剩余压力限值</w:t>
            </w:r>
          </w:p>
        </w:tc>
        <w:tc>
          <w:tcPr>
            <w:tcW w:w="16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最小剩余压力限值：301 Pa</w:t>
            </w:r>
          </w:p>
        </w:tc>
        <w:tc>
          <w:tcPr>
            <w:tcW w:w="16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储罐油气空间：3785L</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受影响的加油枪数：1～6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 xml:space="preserve">加油油气回收系统的气液比 </w:t>
            </w:r>
          </w:p>
        </w:tc>
        <w:tc>
          <w:tcPr>
            <w:tcW w:w="16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1.0≤～≤1.2</w:t>
            </w:r>
          </w:p>
        </w:tc>
        <w:tc>
          <w:tcPr>
            <w:tcW w:w="16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符合技术评估报告给出的范围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油气处置装置的油气排放浓度（1 小时平均浓度值）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（预留三级回收系统）</w:t>
            </w:r>
          </w:p>
        </w:tc>
        <w:tc>
          <w:tcPr>
            <w:tcW w:w="16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 xml:space="preserve">≤25g/m </w:t>
            </w:r>
            <w:r>
              <w:rPr>
                <w:rFonts w:hint="eastAsia" w:ascii="Times New Roman" w:hAnsi="Times New Roman" w:eastAsia="宋体" w:cs="Times New Roman"/>
                <w:color w:val="auto"/>
                <w:sz w:val="21"/>
                <w:szCs w:val="21"/>
                <w:vertAlign w:val="superscript"/>
                <w:lang w:eastAsia="zh-CN"/>
              </w:rPr>
              <w:t>3</w:t>
            </w:r>
            <w:r>
              <w:rPr>
                <w:rFonts w:hint="eastAsia" w:ascii="Times New Roman" w:hAnsi="Times New Roman" w:eastAsia="宋体" w:cs="Times New Roman"/>
                <w:color w:val="auto"/>
                <w:sz w:val="21"/>
                <w:szCs w:val="21"/>
                <w:vertAlign w:val="baseline"/>
                <w:lang w:eastAsia="zh-CN"/>
              </w:rPr>
              <w:t>（标准状态）</w:t>
            </w:r>
          </w:p>
        </w:tc>
        <w:tc>
          <w:tcPr>
            <w:tcW w:w="16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排放口距地平面高度（m）≧4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b/>
                <w:bCs/>
                <w:color w:val="auto"/>
                <w:sz w:val="21"/>
                <w:szCs w:val="21"/>
                <w:vertAlign w:val="baseline"/>
                <w:lang w:eastAsia="zh-CN"/>
              </w:rPr>
              <w:t>厂界油气浓度无组织排放要求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污染物</w:t>
            </w:r>
          </w:p>
        </w:tc>
        <w:tc>
          <w:tcPr>
            <w:tcW w:w="16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无组织排放监控浓度限值</w:t>
            </w:r>
          </w:p>
        </w:tc>
        <w:tc>
          <w:tcPr>
            <w:tcW w:w="16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p>
        </w:tc>
        <w:tc>
          <w:tcPr>
            <w:tcW w:w="16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限值含义</w:t>
            </w:r>
          </w:p>
        </w:tc>
        <w:tc>
          <w:tcPr>
            <w:tcW w:w="16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(mg/m</w:t>
            </w:r>
            <w:r>
              <w:rPr>
                <w:rFonts w:hint="eastAsia" w:ascii="Times New Roman" w:hAnsi="Times New Roman" w:eastAsia="宋体" w:cs="Times New Roman"/>
                <w:color w:val="auto"/>
                <w:sz w:val="21"/>
                <w:szCs w:val="21"/>
                <w:vertAlign w:val="superscript"/>
                <w:lang w:eastAsia="zh-CN"/>
              </w:rPr>
              <w:t>3</w:t>
            </w:r>
            <w:r>
              <w:rPr>
                <w:rFonts w:hint="eastAsia" w:ascii="Times New Roman" w:hAnsi="Times New Roman" w:eastAsia="宋体" w:cs="Times New Roman"/>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 xml:space="preserve">非甲烷总烃 </w:t>
            </w:r>
          </w:p>
        </w:tc>
        <w:tc>
          <w:tcPr>
            <w:tcW w:w="169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监控点处 1 小时平均浓度值</w:t>
            </w:r>
          </w:p>
        </w:tc>
        <w:tc>
          <w:tcPr>
            <w:tcW w:w="168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4.0</w:t>
            </w:r>
          </w:p>
        </w:tc>
      </w:tr>
    </w:tbl>
    <w:p>
      <w:pPr>
        <w:pStyle w:val="64"/>
        <w:rPr>
          <w:rFonts w:cs="Times New Roman"/>
          <w:sz w:val="32"/>
        </w:rPr>
      </w:pPr>
      <w:bookmarkStart w:id="135" w:name="_Toc27371"/>
      <w:r>
        <w:rPr>
          <w:rFonts w:hint="eastAsia" w:cs="Times New Roman"/>
          <w:sz w:val="32"/>
        </w:rPr>
        <w:t>6</w:t>
      </w:r>
      <w:r>
        <w:rPr>
          <w:rFonts w:cs="Times New Roman"/>
          <w:sz w:val="32"/>
        </w:rPr>
        <w:t>.3 噪声</w:t>
      </w:r>
      <w:bookmarkEnd w:id="128"/>
      <w:bookmarkEnd w:id="129"/>
      <w:bookmarkEnd w:id="130"/>
      <w:bookmarkEnd w:id="131"/>
      <w:bookmarkEnd w:id="132"/>
      <w:bookmarkEnd w:id="133"/>
      <w:bookmarkEnd w:id="134"/>
      <w:bookmarkEnd w:id="135"/>
    </w:p>
    <w:p>
      <w:pPr>
        <w:keepNext w:val="0"/>
        <w:keepLines w:val="0"/>
        <w:pageBreakBefore w:val="0"/>
        <w:kinsoku/>
        <w:wordWrap/>
        <w:overflowPunct/>
        <w:topLinePunct w:val="0"/>
        <w:autoSpaceDE/>
        <w:autoSpaceDN/>
        <w:bidi w:val="0"/>
        <w:spacing w:line="360" w:lineRule="auto"/>
        <w:ind w:firstLine="480" w:firstLineChars="200"/>
        <w:contextualSpacing/>
        <w:textAlignment w:val="auto"/>
        <w:rPr>
          <w:rFonts w:ascii="Times New Roman" w:hAnsi="宋体"/>
          <w:color w:val="000000"/>
          <w:sz w:val="24"/>
          <w:szCs w:val="24"/>
        </w:rPr>
      </w:pPr>
      <w:bookmarkStart w:id="136" w:name="_Toc534643360"/>
      <w:bookmarkStart w:id="137" w:name="_Toc10440"/>
      <w:r>
        <w:rPr>
          <w:rFonts w:hint="eastAsia" w:ascii="Times New Roman" w:hAnsi="宋体"/>
          <w:color w:val="000000"/>
          <w:sz w:val="24"/>
          <w:szCs w:val="24"/>
        </w:rPr>
        <w:t>本项目</w:t>
      </w:r>
      <w:r>
        <w:rPr>
          <w:rFonts w:hint="eastAsia" w:hAnsi="宋体"/>
          <w:color w:val="000000"/>
          <w:sz w:val="24"/>
          <w:szCs w:val="24"/>
          <w:lang w:val="en-US" w:eastAsia="zh-CN"/>
        </w:rPr>
        <w:t>西</w:t>
      </w:r>
      <w:r>
        <w:rPr>
          <w:rFonts w:hint="eastAsia" w:ascii="Times New Roman" w:hAnsi="宋体"/>
          <w:color w:val="000000"/>
          <w:sz w:val="24"/>
          <w:szCs w:val="24"/>
          <w:lang w:val="en-US" w:eastAsia="zh-CN"/>
        </w:rPr>
        <w:t>侧紧邻S402公路</w:t>
      </w:r>
      <w:r>
        <w:rPr>
          <w:rFonts w:hint="eastAsia" w:ascii="Times New Roman" w:hAnsi="宋体"/>
          <w:color w:val="000000"/>
          <w:sz w:val="24"/>
          <w:szCs w:val="24"/>
        </w:rPr>
        <w:t>，属于城市主、次干道，因此，本项目营运期</w:t>
      </w:r>
      <w:r>
        <w:rPr>
          <w:rFonts w:hint="eastAsia" w:ascii="Times New Roman" w:hAnsi="宋体"/>
          <w:color w:val="000000"/>
          <w:sz w:val="24"/>
          <w:szCs w:val="24"/>
          <w:lang w:val="en-US" w:eastAsia="zh-CN"/>
        </w:rPr>
        <w:t>东</w:t>
      </w:r>
      <w:r>
        <w:rPr>
          <w:rFonts w:hint="eastAsia" w:ascii="Times New Roman" w:hAnsi="宋体"/>
          <w:color w:val="000000"/>
          <w:sz w:val="24"/>
          <w:szCs w:val="24"/>
        </w:rPr>
        <w:t>侧噪声执行《工业企业厂界环境噪声排放标准》（GB12348-2008）中的 4 类排放标准，</w:t>
      </w:r>
      <w:r>
        <w:rPr>
          <w:rFonts w:hint="eastAsia" w:ascii="Times New Roman" w:hAnsi="宋体"/>
          <w:color w:val="000000"/>
          <w:sz w:val="24"/>
          <w:szCs w:val="24"/>
          <w:lang w:val="en-US" w:eastAsia="zh-CN"/>
        </w:rPr>
        <w:t>南侧、</w:t>
      </w:r>
      <w:r>
        <w:rPr>
          <w:rFonts w:hint="eastAsia" w:ascii="Times New Roman" w:hAnsi="宋体"/>
          <w:color w:val="000000"/>
          <w:sz w:val="24"/>
          <w:szCs w:val="24"/>
        </w:rPr>
        <w:t>北侧、</w:t>
      </w:r>
      <w:r>
        <w:rPr>
          <w:rFonts w:hint="eastAsia" w:hAnsi="宋体"/>
          <w:color w:val="000000"/>
          <w:sz w:val="24"/>
          <w:szCs w:val="24"/>
          <w:lang w:val="en-US" w:eastAsia="zh-CN"/>
        </w:rPr>
        <w:t>东</w:t>
      </w:r>
      <w:r>
        <w:rPr>
          <w:rFonts w:hint="eastAsia" w:ascii="Times New Roman" w:hAnsi="宋体"/>
          <w:color w:val="000000"/>
          <w:sz w:val="24"/>
          <w:szCs w:val="24"/>
        </w:rPr>
        <w:t>侧噪声执行《工业企业厂界环境噪声排放标准》（GB12348-2008）中的</w:t>
      </w:r>
      <w:r>
        <w:rPr>
          <w:rFonts w:hint="eastAsia" w:hAnsi="宋体"/>
          <w:color w:val="000000"/>
          <w:sz w:val="24"/>
          <w:szCs w:val="24"/>
          <w:lang w:val="en-US" w:eastAsia="zh-CN"/>
        </w:rPr>
        <w:t>2</w:t>
      </w:r>
      <w:r>
        <w:rPr>
          <w:rFonts w:hint="eastAsia" w:ascii="Times New Roman" w:hAnsi="宋体"/>
          <w:color w:val="000000"/>
          <w:sz w:val="24"/>
          <w:szCs w:val="24"/>
        </w:rPr>
        <w:t xml:space="preserve"> 类排放标准</w:t>
      </w:r>
      <w:r>
        <w:rPr>
          <w:rFonts w:ascii="Times New Roman" w:hAnsi="宋体"/>
          <w:color w:val="000000"/>
          <w:sz w:val="24"/>
          <w:szCs w:val="24"/>
        </w:rPr>
        <w:t>。标准值详见表</w:t>
      </w:r>
      <w:r>
        <w:rPr>
          <w:rFonts w:hint="eastAsia" w:ascii="Times New Roman" w:hAnsi="Times New Roman"/>
          <w:color w:val="000000"/>
          <w:sz w:val="24"/>
          <w:szCs w:val="24"/>
          <w:lang w:val="en-US" w:eastAsia="zh-CN"/>
        </w:rPr>
        <w:t>6-3</w:t>
      </w:r>
      <w:r>
        <w:rPr>
          <w:rFonts w:ascii="Times New Roman" w:hAnsi="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240" w:lineRule="auto"/>
        <w:contextualSpacing/>
        <w:jc w:val="center"/>
        <w:textAlignment w:val="auto"/>
        <w:rPr>
          <w:rFonts w:ascii="Times New Roman" w:hAnsi="Times New Roman"/>
          <w:color w:val="000000"/>
          <w:sz w:val="24"/>
          <w:szCs w:val="24"/>
        </w:rPr>
      </w:pPr>
      <w:r>
        <w:rPr>
          <w:rFonts w:ascii="Times New Roman" w:hAnsi="宋体"/>
          <w:color w:val="000000"/>
          <w:sz w:val="24"/>
          <w:szCs w:val="24"/>
        </w:rPr>
        <w:t>表</w:t>
      </w:r>
      <w:r>
        <w:rPr>
          <w:rFonts w:hint="eastAsia" w:ascii="Times New Roman" w:hAnsi="Times New Roman"/>
          <w:color w:val="000000"/>
          <w:sz w:val="24"/>
          <w:szCs w:val="24"/>
          <w:lang w:val="en-US" w:eastAsia="zh-CN"/>
        </w:rPr>
        <w:t>6-3</w:t>
      </w:r>
      <w:r>
        <w:rPr>
          <w:rFonts w:hint="eastAsia" w:ascii="Times New Roman" w:hAnsi="宋体"/>
          <w:color w:val="000000"/>
          <w:sz w:val="24"/>
          <w:szCs w:val="24"/>
          <w:lang w:eastAsia="zh-CN"/>
        </w:rPr>
        <w:t>《工业企业厂界环境噪声排放标准》（GB12348-2008）</w:t>
      </w:r>
      <w:r>
        <w:rPr>
          <w:rFonts w:ascii="Times New Roman" w:hAnsi="Times New Roman"/>
          <w:color w:val="000000"/>
          <w:sz w:val="24"/>
          <w:szCs w:val="24"/>
        </w:rPr>
        <w:t xml:space="preserve"> </w:t>
      </w:r>
      <w:r>
        <w:rPr>
          <w:rFonts w:ascii="Times New Roman" w:hAnsi="宋体"/>
          <w:color w:val="000000"/>
          <w:sz w:val="24"/>
          <w:szCs w:val="24"/>
        </w:rPr>
        <w:t>单位：</w:t>
      </w:r>
      <w:r>
        <w:rPr>
          <w:rFonts w:ascii="Times New Roman" w:hAnsi="Times New Roman"/>
          <w:color w:val="000000"/>
          <w:sz w:val="24"/>
          <w:szCs w:val="24"/>
        </w:rPr>
        <w:t>dB</w:t>
      </w:r>
      <w:r>
        <w:rPr>
          <w:rFonts w:ascii="Times New Roman" w:hAnsi="宋体"/>
          <w:color w:val="000000"/>
          <w:sz w:val="24"/>
          <w:szCs w:val="24"/>
        </w:rPr>
        <w:t>（</w:t>
      </w:r>
      <w:r>
        <w:rPr>
          <w:rFonts w:ascii="Times New Roman" w:hAnsi="Times New Roman"/>
          <w:color w:val="000000"/>
          <w:sz w:val="24"/>
          <w:szCs w:val="24"/>
        </w:rPr>
        <w:t>A</w:t>
      </w:r>
      <w:r>
        <w:rPr>
          <w:rFonts w:ascii="Times New Roman" w:hAnsi="宋体"/>
          <w:color w:val="000000"/>
          <w:sz w:val="24"/>
          <w:szCs w:val="24"/>
        </w:rPr>
        <w:t>）</w:t>
      </w:r>
    </w:p>
    <w:tbl>
      <w:tblPr>
        <w:tblStyle w:val="2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3115"/>
        <w:gridCol w:w="2331"/>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0" w:type="pct"/>
            <w:vMerge w:val="restart"/>
            <w:tcBorders>
              <w:tl2br w:val="nil"/>
              <w:tr2bl w:val="nil"/>
            </w:tcBorders>
            <w:noWrap w:val="0"/>
            <w:vAlign w:val="center"/>
          </w:tcPr>
          <w:p>
            <w:pPr>
              <w:pStyle w:val="11"/>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sz w:val="21"/>
                <w:szCs w:val="21"/>
              </w:rPr>
            </w:pPr>
            <w:r>
              <w:rPr>
                <w:rFonts w:ascii="Times New Roman" w:hAnsi="宋体"/>
                <w:color w:val="000000"/>
                <w:sz w:val="21"/>
                <w:szCs w:val="21"/>
              </w:rPr>
              <w:t>类别</w:t>
            </w:r>
          </w:p>
        </w:tc>
        <w:tc>
          <w:tcPr>
            <w:tcW w:w="1677"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sz w:val="21"/>
                <w:szCs w:val="21"/>
              </w:rPr>
            </w:pPr>
            <w:r>
              <w:rPr>
                <w:rFonts w:ascii="Times New Roman" w:hAnsi="宋体"/>
                <w:color w:val="000000"/>
                <w:sz w:val="21"/>
                <w:szCs w:val="21"/>
              </w:rPr>
              <w:t>适用范围</w:t>
            </w:r>
          </w:p>
        </w:tc>
        <w:tc>
          <w:tcPr>
            <w:tcW w:w="2661"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sz w:val="21"/>
                <w:szCs w:val="21"/>
              </w:rPr>
            </w:pPr>
            <w:r>
              <w:rPr>
                <w:rFonts w:ascii="Times New Roman" w:hAnsi="宋体"/>
                <w:color w:val="000000"/>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0" w:type="pct"/>
            <w:vMerge w:val="continue"/>
            <w:tcBorders>
              <w:tl2br w:val="nil"/>
              <w:tr2bl w:val="nil"/>
            </w:tcBorders>
            <w:noWrap w:val="0"/>
            <w:vAlign w:val="center"/>
          </w:tcPr>
          <w:p>
            <w:pPr>
              <w:pStyle w:val="11"/>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sz w:val="21"/>
                <w:szCs w:val="21"/>
              </w:rPr>
            </w:pPr>
          </w:p>
        </w:tc>
        <w:tc>
          <w:tcPr>
            <w:tcW w:w="1677"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sz w:val="21"/>
                <w:szCs w:val="21"/>
              </w:rPr>
            </w:pPr>
          </w:p>
        </w:tc>
        <w:tc>
          <w:tcPr>
            <w:tcW w:w="125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sz w:val="21"/>
                <w:szCs w:val="21"/>
              </w:rPr>
            </w:pPr>
            <w:r>
              <w:rPr>
                <w:rFonts w:ascii="Times New Roman" w:hAnsi="宋体"/>
                <w:color w:val="000000"/>
                <w:sz w:val="21"/>
                <w:szCs w:val="21"/>
              </w:rPr>
              <w:t>昼间</w:t>
            </w:r>
          </w:p>
        </w:tc>
        <w:tc>
          <w:tcPr>
            <w:tcW w:w="140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sz w:val="21"/>
                <w:szCs w:val="21"/>
              </w:rPr>
            </w:pPr>
            <w:r>
              <w:rPr>
                <w:rFonts w:ascii="Times New Roman" w:hAnsi="宋体"/>
                <w:color w:val="000000"/>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sz w:val="21"/>
                <w:szCs w:val="21"/>
              </w:rPr>
            </w:pPr>
            <w:r>
              <w:rPr>
                <w:rFonts w:hint="eastAsia"/>
                <w:color w:val="000000"/>
                <w:sz w:val="21"/>
                <w:szCs w:val="21"/>
                <w:lang w:val="en-US" w:eastAsia="zh-CN"/>
              </w:rPr>
              <w:t>2</w:t>
            </w:r>
            <w:r>
              <w:rPr>
                <w:rFonts w:ascii="Times New Roman" w:hAnsi="宋体"/>
                <w:color w:val="000000"/>
                <w:sz w:val="21"/>
                <w:szCs w:val="21"/>
              </w:rPr>
              <w:t>类</w:t>
            </w:r>
          </w:p>
        </w:tc>
        <w:tc>
          <w:tcPr>
            <w:tcW w:w="1677"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南侧、北侧、东侧厂界</w:t>
            </w:r>
          </w:p>
        </w:tc>
        <w:tc>
          <w:tcPr>
            <w:tcW w:w="125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spacing w:val="-2"/>
                <w:sz w:val="21"/>
                <w:szCs w:val="21"/>
                <w:lang w:val="en-US" w:eastAsia="zh-CN"/>
              </w:rPr>
            </w:pPr>
            <w:r>
              <w:rPr>
                <w:rFonts w:hint="eastAsia" w:ascii="Times New Roman" w:hAnsi="Times New Roman" w:eastAsia="宋体"/>
                <w:color w:val="000000"/>
                <w:spacing w:val="-2"/>
                <w:sz w:val="21"/>
                <w:szCs w:val="21"/>
                <w:lang w:val="en-US" w:eastAsia="zh-CN"/>
              </w:rPr>
              <w:t>6</w:t>
            </w:r>
            <w:r>
              <w:rPr>
                <w:rFonts w:hint="eastAsia"/>
                <w:color w:val="000000"/>
                <w:spacing w:val="-2"/>
                <w:sz w:val="21"/>
                <w:szCs w:val="21"/>
                <w:lang w:val="en-US" w:eastAsia="zh-CN"/>
              </w:rPr>
              <w:t>0</w:t>
            </w:r>
          </w:p>
        </w:tc>
        <w:tc>
          <w:tcPr>
            <w:tcW w:w="140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olor w:val="000000"/>
                <w:sz w:val="21"/>
                <w:szCs w:val="21"/>
                <w:lang w:eastAsia="zh-CN"/>
              </w:rPr>
            </w:pPr>
            <w:r>
              <w:rPr>
                <w:rFonts w:hint="eastAsia" w:ascii="Times New Roman" w:hAnsi="Times New Roman"/>
                <w:color w:val="000000"/>
                <w:sz w:val="21"/>
                <w:szCs w:val="21"/>
                <w:lang w:val="en-US" w:eastAsia="zh-CN"/>
              </w:rPr>
              <w:t>5</w:t>
            </w:r>
            <w:r>
              <w:rPr>
                <w:rFonts w:hint="eastAsia"/>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olor w:val="000000"/>
                <w:sz w:val="21"/>
                <w:szCs w:val="21"/>
                <w:lang w:val="en-US" w:eastAsia="zh-CN"/>
              </w:rPr>
            </w:pPr>
            <w:r>
              <w:rPr>
                <w:rFonts w:hint="eastAsia" w:ascii="Times New Roman" w:hAnsi="Times New Roman"/>
                <w:color w:val="000000"/>
                <w:sz w:val="21"/>
                <w:szCs w:val="21"/>
                <w:lang w:val="en-US" w:eastAsia="zh-CN"/>
              </w:rPr>
              <w:t>4类</w:t>
            </w:r>
          </w:p>
        </w:tc>
        <w:tc>
          <w:tcPr>
            <w:tcW w:w="1677"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西侧靠近S402公路一侧</w:t>
            </w:r>
          </w:p>
        </w:tc>
        <w:tc>
          <w:tcPr>
            <w:tcW w:w="125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olor w:val="000000"/>
                <w:spacing w:val="-2"/>
                <w:sz w:val="21"/>
                <w:szCs w:val="21"/>
                <w:lang w:val="en-US" w:eastAsia="zh-CN"/>
              </w:rPr>
            </w:pPr>
            <w:r>
              <w:rPr>
                <w:rFonts w:hint="eastAsia" w:ascii="Times New Roman" w:hAnsi="Times New Roman" w:eastAsia="宋体"/>
                <w:color w:val="000000"/>
                <w:spacing w:val="-2"/>
                <w:sz w:val="21"/>
                <w:szCs w:val="21"/>
                <w:lang w:val="en-US" w:eastAsia="zh-CN"/>
              </w:rPr>
              <w:t>70</w:t>
            </w:r>
          </w:p>
        </w:tc>
        <w:tc>
          <w:tcPr>
            <w:tcW w:w="1406"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olor w:val="000000"/>
                <w:sz w:val="21"/>
                <w:szCs w:val="21"/>
                <w:lang w:val="en-US" w:eastAsia="zh-CN"/>
              </w:rPr>
            </w:pPr>
            <w:r>
              <w:rPr>
                <w:rFonts w:hint="eastAsia" w:ascii="Times New Roman" w:hAnsi="Times New Roman"/>
                <w:color w:val="000000"/>
                <w:sz w:val="21"/>
                <w:szCs w:val="21"/>
                <w:lang w:val="en-US" w:eastAsia="zh-CN"/>
              </w:rPr>
              <w:t>55</w:t>
            </w:r>
          </w:p>
        </w:tc>
      </w:tr>
    </w:tbl>
    <w:p>
      <w:pPr>
        <w:pStyle w:val="64"/>
        <w:rPr>
          <w:rFonts w:hint="eastAsia" w:ascii="Times New Roman" w:hAnsi="Times New Roman" w:eastAsia="宋体" w:cs="Times New Roman"/>
          <w:sz w:val="32"/>
        </w:rPr>
      </w:pPr>
      <w:bookmarkStart w:id="138" w:name="_Toc2148"/>
      <w:r>
        <w:rPr>
          <w:rFonts w:hint="eastAsia" w:ascii="Times New Roman" w:hAnsi="Times New Roman" w:eastAsia="宋体" w:cs="Times New Roman"/>
          <w:sz w:val="32"/>
        </w:rPr>
        <w:t>6.</w:t>
      </w:r>
      <w:bookmarkEnd w:id="136"/>
      <w:r>
        <w:rPr>
          <w:rFonts w:hint="eastAsia" w:ascii="Times New Roman" w:hAnsi="Times New Roman" w:eastAsia="宋体" w:cs="Times New Roman"/>
          <w:sz w:val="32"/>
          <w:lang w:val="en-US" w:eastAsia="zh-CN"/>
        </w:rPr>
        <w:t>4</w:t>
      </w:r>
      <w:r>
        <w:rPr>
          <w:rFonts w:hint="eastAsia" w:ascii="Times New Roman" w:hAnsi="Times New Roman" w:eastAsia="宋体" w:cs="Times New Roman"/>
          <w:sz w:val="32"/>
        </w:rPr>
        <w:t>固体废物污染管控标准要求</w:t>
      </w:r>
      <w:bookmarkEnd w:id="137"/>
      <w:bookmarkEnd w:id="138"/>
    </w:p>
    <w:p>
      <w:pPr>
        <w:spacing w:line="5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根据环评及批复要求，</w:t>
      </w:r>
      <w:r>
        <w:rPr>
          <w:rFonts w:hint="eastAsia" w:ascii="Times New Roman" w:hAnsi="Times New Roman" w:eastAsia="宋体" w:cs="Times New Roman"/>
          <w:sz w:val="24"/>
          <w:szCs w:val="24"/>
          <w:lang w:val="en-US" w:eastAsia="zh-CN"/>
        </w:rPr>
        <w:t>一般工业固体废物执行《一般工业固体废物贮存和填埋污染控制标准》（GB18599-2020），采用库房、包装工具（罐、桶、包装袋等）贮存一般工业固体废物过程的污染控制，其贮存过程应满足相应防渗漏、防雨淋、防扬尘等环境保护要求。危险废物执行《危险废物贮存污染控制标准》（GB18597-2023）和《危险废物收集贮存运输技术规范》（HJ2025-2012）以及《危险废物转移联单管理办法》（国家环境保护总局令第5号）中相关规定。</w:t>
      </w:r>
    </w:p>
    <w:p>
      <w:pPr>
        <w:sectPr>
          <w:pgSz w:w="11906" w:h="16838"/>
          <w:pgMar w:top="1701" w:right="1418" w:bottom="1701" w:left="1418" w:header="851" w:footer="992" w:gutter="0"/>
          <w:cols w:space="425" w:num="1"/>
          <w:docGrid w:type="lines" w:linePitch="312" w:charSpace="0"/>
        </w:sectPr>
      </w:pPr>
    </w:p>
    <w:p>
      <w:pPr>
        <w:pStyle w:val="63"/>
        <w:spacing w:beforeLines="50"/>
        <w:rPr>
          <w:rFonts w:cs="Times New Roman"/>
          <w:sz w:val="36"/>
        </w:rPr>
      </w:pPr>
      <w:bookmarkStart w:id="139" w:name="_Toc3530"/>
      <w:r>
        <w:rPr>
          <w:rFonts w:hint="eastAsia" w:cs="Times New Roman"/>
          <w:sz w:val="36"/>
        </w:rPr>
        <w:t>7</w:t>
      </w:r>
      <w:r>
        <w:rPr>
          <w:rFonts w:cs="Times New Roman"/>
          <w:sz w:val="36"/>
        </w:rPr>
        <w:t>验收监测内容</w:t>
      </w:r>
      <w:bookmarkEnd w:id="115"/>
      <w:bookmarkEnd w:id="124"/>
      <w:bookmarkEnd w:id="125"/>
      <w:bookmarkEnd w:id="126"/>
      <w:bookmarkEnd w:id="139"/>
    </w:p>
    <w:p>
      <w:pPr>
        <w:pStyle w:val="64"/>
        <w:rPr>
          <w:rFonts w:cs="Times New Roman"/>
          <w:sz w:val="32"/>
        </w:rPr>
      </w:pPr>
      <w:bookmarkStart w:id="140" w:name="_Toc16601"/>
      <w:r>
        <w:rPr>
          <w:rFonts w:hint="eastAsia" w:cs="Times New Roman"/>
          <w:sz w:val="32"/>
        </w:rPr>
        <w:t>7</w:t>
      </w:r>
      <w:r>
        <w:rPr>
          <w:rFonts w:cs="Times New Roman"/>
          <w:sz w:val="32"/>
        </w:rPr>
        <w:t xml:space="preserve">.1 </w:t>
      </w:r>
      <w:r>
        <w:rPr>
          <w:rFonts w:hint="eastAsia" w:cs="Times New Roman"/>
          <w:sz w:val="32"/>
        </w:rPr>
        <w:t>废水</w:t>
      </w:r>
      <w:bookmarkEnd w:id="140"/>
    </w:p>
    <w:p>
      <w:pPr>
        <w:spacing w:line="540" w:lineRule="exact"/>
        <w:ind w:firstLine="463" w:firstLineChars="192"/>
        <w:jc w:val="center"/>
        <w:rPr>
          <w:sz w:val="24"/>
          <w:szCs w:val="24"/>
        </w:rPr>
      </w:pPr>
      <w:r>
        <w:rPr>
          <w:rFonts w:hAnsiTheme="minorEastAsia" w:eastAsiaTheme="minorEastAsia"/>
          <w:b/>
          <w:sz w:val="24"/>
          <w:szCs w:val="24"/>
        </w:rPr>
        <w:t>表</w:t>
      </w:r>
      <w:r>
        <w:rPr>
          <w:rFonts w:hint="eastAsia" w:eastAsiaTheme="minorEastAsia"/>
          <w:b/>
          <w:sz w:val="24"/>
          <w:szCs w:val="24"/>
        </w:rPr>
        <w:t>7</w:t>
      </w:r>
      <w:r>
        <w:rPr>
          <w:rFonts w:eastAsiaTheme="minorEastAsia"/>
          <w:b/>
          <w:sz w:val="24"/>
          <w:szCs w:val="24"/>
        </w:rPr>
        <w:t xml:space="preserve">-1    </w:t>
      </w:r>
      <w:r>
        <w:rPr>
          <w:rFonts w:hAnsiTheme="minorEastAsia" w:eastAsiaTheme="minorEastAsia"/>
          <w:b/>
          <w:sz w:val="24"/>
          <w:szCs w:val="24"/>
        </w:rPr>
        <w:t>废水监测表</w:t>
      </w:r>
    </w:p>
    <w:tbl>
      <w:tblPr>
        <w:tblStyle w:val="2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71"/>
        <w:gridCol w:w="2243"/>
        <w:gridCol w:w="2243"/>
        <w:gridCol w:w="1786"/>
        <w:gridCol w:w="1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77" w:type="pct"/>
            <w:noWrap w:val="0"/>
            <w:vAlign w:val="center"/>
          </w:tcPr>
          <w:p>
            <w:pPr>
              <w:pStyle w:val="44"/>
              <w:spacing w:line="240" w:lineRule="auto"/>
            </w:pPr>
            <w:r>
              <w:rPr>
                <w:rFonts w:hint="eastAsia"/>
              </w:rPr>
              <w:t>监测</w:t>
            </w:r>
            <w:r>
              <w:t>项目</w:t>
            </w:r>
          </w:p>
        </w:tc>
        <w:tc>
          <w:tcPr>
            <w:tcW w:w="1207" w:type="pct"/>
            <w:noWrap w:val="0"/>
            <w:vAlign w:val="center"/>
          </w:tcPr>
          <w:p>
            <w:pPr>
              <w:pStyle w:val="44"/>
              <w:spacing w:line="240" w:lineRule="auto"/>
            </w:pPr>
            <w:r>
              <w:rPr>
                <w:rFonts w:hint="eastAsia"/>
              </w:rPr>
              <w:t>监测点位</w:t>
            </w:r>
          </w:p>
        </w:tc>
        <w:tc>
          <w:tcPr>
            <w:tcW w:w="1207" w:type="pct"/>
            <w:tcBorders>
              <w:bottom w:val="single" w:color="auto" w:sz="4" w:space="0"/>
            </w:tcBorders>
            <w:noWrap w:val="0"/>
            <w:vAlign w:val="center"/>
          </w:tcPr>
          <w:p>
            <w:pPr>
              <w:pStyle w:val="44"/>
              <w:spacing w:line="240" w:lineRule="auto"/>
            </w:pPr>
            <w:r>
              <w:t>监测</w:t>
            </w:r>
            <w:r>
              <w:rPr>
                <w:rFonts w:hint="eastAsia"/>
              </w:rPr>
              <w:t>因子</w:t>
            </w:r>
          </w:p>
        </w:tc>
        <w:tc>
          <w:tcPr>
            <w:tcW w:w="961" w:type="pct"/>
            <w:tcBorders>
              <w:bottom w:val="single" w:color="auto" w:sz="4" w:space="0"/>
            </w:tcBorders>
            <w:noWrap w:val="0"/>
            <w:vAlign w:val="center"/>
          </w:tcPr>
          <w:p>
            <w:pPr>
              <w:pStyle w:val="44"/>
              <w:spacing w:line="240" w:lineRule="auto"/>
            </w:pPr>
            <w:r>
              <w:rPr>
                <w:rFonts w:hint="eastAsia"/>
              </w:rPr>
              <w:t>监测</w:t>
            </w:r>
            <w:r>
              <w:t>频次</w:t>
            </w:r>
          </w:p>
        </w:tc>
        <w:tc>
          <w:tcPr>
            <w:tcW w:w="1046" w:type="pct"/>
            <w:noWrap w:val="0"/>
            <w:vAlign w:val="top"/>
          </w:tcPr>
          <w:p>
            <w:pPr>
              <w:pStyle w:val="44"/>
              <w:spacing w:line="240" w:lineRule="auto"/>
              <w:rPr>
                <w:rFonts w:hint="eastAsia"/>
              </w:rPr>
            </w:pPr>
            <w:r>
              <w:rPr>
                <w:rFonts w:hint="eastAsia"/>
                <w:szCs w:val="21"/>
              </w:rPr>
              <w:t>执行标准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77" w:type="pct"/>
            <w:vMerge w:val="restart"/>
            <w:noWrap w:val="0"/>
            <w:vAlign w:val="center"/>
          </w:tcPr>
          <w:p>
            <w:pPr>
              <w:pStyle w:val="44"/>
              <w:jc w:val="center"/>
              <w:rPr>
                <w:rFonts w:hint="eastAsia" w:eastAsia="宋体"/>
                <w:snapToGrid w:val="0"/>
                <w:color w:val="000000"/>
                <w:kern w:val="24"/>
                <w:sz w:val="21"/>
                <w:szCs w:val="20"/>
                <w:lang w:val="en-US" w:eastAsia="zh-CN" w:bidi="ar-SA"/>
              </w:rPr>
            </w:pPr>
            <w:r>
              <w:rPr>
                <w:rFonts w:hint="eastAsia" w:eastAsia="宋体"/>
                <w:snapToGrid w:val="0"/>
                <w:color w:val="000000"/>
                <w:kern w:val="24"/>
                <w:sz w:val="21"/>
                <w:szCs w:val="20"/>
                <w:lang w:val="en-US" w:eastAsia="zh-CN" w:bidi="ar-SA"/>
              </w:rPr>
              <w:t>废水</w:t>
            </w:r>
          </w:p>
        </w:tc>
        <w:tc>
          <w:tcPr>
            <w:tcW w:w="1207" w:type="pct"/>
            <w:noWrap w:val="0"/>
            <w:vAlign w:val="center"/>
          </w:tcPr>
          <w:p>
            <w:pPr>
              <w:pStyle w:val="44"/>
              <w:jc w:val="center"/>
              <w:rPr>
                <w:rFonts w:hint="eastAsia" w:eastAsia="宋体"/>
                <w:snapToGrid w:val="0"/>
                <w:color w:val="000000"/>
                <w:kern w:val="24"/>
                <w:sz w:val="21"/>
                <w:szCs w:val="20"/>
                <w:lang w:val="en-US" w:eastAsia="zh-CN" w:bidi="ar-SA"/>
              </w:rPr>
            </w:pPr>
            <w:r>
              <w:rPr>
                <w:rFonts w:hint="eastAsia" w:eastAsia="宋体"/>
                <w:snapToGrid w:val="0"/>
                <w:color w:val="000000"/>
                <w:kern w:val="24"/>
                <w:sz w:val="21"/>
                <w:szCs w:val="20"/>
                <w:lang w:val="en-US" w:eastAsia="zh-CN" w:bidi="ar-SA"/>
              </w:rPr>
              <w:t>隔油池进水口（WS1）</w:t>
            </w:r>
          </w:p>
        </w:tc>
        <w:tc>
          <w:tcPr>
            <w:tcW w:w="1207" w:type="pct"/>
            <w:vMerge w:val="restart"/>
            <w:noWrap w:val="0"/>
            <w:vAlign w:val="center"/>
          </w:tcPr>
          <w:p>
            <w:pPr>
              <w:pStyle w:val="44"/>
              <w:jc w:val="center"/>
              <w:rPr>
                <w:rFonts w:hint="eastAsia" w:eastAsia="宋体"/>
                <w:snapToGrid w:val="0"/>
                <w:color w:val="000000"/>
                <w:kern w:val="24"/>
                <w:sz w:val="21"/>
                <w:szCs w:val="20"/>
                <w:lang w:val="en-US" w:eastAsia="zh-CN" w:bidi="ar-SA"/>
              </w:rPr>
            </w:pPr>
            <w:r>
              <w:rPr>
                <w:rFonts w:hint="default" w:eastAsia="宋体"/>
                <w:snapToGrid w:val="0"/>
                <w:color w:val="000000"/>
                <w:kern w:val="24"/>
                <w:sz w:val="21"/>
                <w:szCs w:val="20"/>
                <w:lang w:val="en-US" w:eastAsia="zh-CN" w:bidi="ar-SA"/>
              </w:rPr>
              <w:t>COD、BOD5、SS、NH3-N</w:t>
            </w:r>
            <w:r>
              <w:rPr>
                <w:rFonts w:hint="eastAsia" w:eastAsia="宋体"/>
                <w:snapToGrid w:val="0"/>
                <w:color w:val="000000"/>
                <w:kern w:val="24"/>
                <w:sz w:val="21"/>
                <w:szCs w:val="20"/>
                <w:lang w:val="en-US" w:eastAsia="zh-CN" w:bidi="ar-SA"/>
              </w:rPr>
              <w:t>、石油类</w:t>
            </w:r>
          </w:p>
        </w:tc>
        <w:tc>
          <w:tcPr>
            <w:tcW w:w="961" w:type="pct"/>
            <w:vMerge w:val="restart"/>
            <w:tcBorders>
              <w:top w:val="single" w:color="auto" w:sz="4" w:space="0"/>
            </w:tcBorders>
            <w:noWrap w:val="0"/>
            <w:vAlign w:val="center"/>
          </w:tcPr>
          <w:p>
            <w:pPr>
              <w:pStyle w:val="44"/>
              <w:jc w:val="center"/>
              <w:rPr>
                <w:rFonts w:hint="eastAsia"/>
                <w:snapToGrid w:val="0"/>
                <w:color w:val="000000"/>
                <w:kern w:val="24"/>
                <w:sz w:val="21"/>
                <w:szCs w:val="20"/>
                <w:lang w:val="en-US" w:eastAsia="zh-CN" w:bidi="ar-SA"/>
              </w:rPr>
            </w:pPr>
            <w:r>
              <w:rPr>
                <w:rFonts w:hint="eastAsia"/>
                <w:snapToGrid w:val="0"/>
                <w:color w:val="000000"/>
                <w:kern w:val="24"/>
                <w:sz w:val="21"/>
                <w:szCs w:val="20"/>
                <w:lang w:val="en-US" w:eastAsia="zh-CN" w:bidi="ar-SA"/>
              </w:rPr>
              <w:t>连续监测2天，每天采样4次</w:t>
            </w:r>
          </w:p>
        </w:tc>
        <w:tc>
          <w:tcPr>
            <w:tcW w:w="1046" w:type="pct"/>
            <w:vMerge w:val="restart"/>
            <w:tcBorders>
              <w:top w:val="single" w:color="auto" w:sz="4" w:space="0"/>
            </w:tcBorders>
            <w:noWrap w:val="0"/>
            <w:vAlign w:val="center"/>
          </w:tcPr>
          <w:p>
            <w:pPr>
              <w:pStyle w:val="44"/>
              <w:jc w:val="center"/>
              <w:rPr>
                <w:rFonts w:hint="eastAsia"/>
              </w:rPr>
            </w:pPr>
            <w:r>
              <w:rPr>
                <w:rFonts w:hint="default"/>
                <w:szCs w:val="21"/>
                <w:lang w:val="en-US" w:eastAsia="zh-CN"/>
              </w:rPr>
              <w:t>《污水综合排放标准》（GB8978-1996）三级标准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577" w:type="pct"/>
            <w:vMerge w:val="continue"/>
            <w:noWrap w:val="0"/>
            <w:vAlign w:val="center"/>
          </w:tcPr>
          <w:p>
            <w:pPr>
              <w:pStyle w:val="44"/>
              <w:spacing w:line="240" w:lineRule="auto"/>
              <w:jc w:val="center"/>
              <w:rPr>
                <w:rFonts w:hint="eastAsia"/>
                <w:lang w:val="en-US" w:eastAsia="zh-CN"/>
              </w:rPr>
            </w:pPr>
          </w:p>
        </w:tc>
        <w:tc>
          <w:tcPr>
            <w:tcW w:w="1207" w:type="pct"/>
            <w:noWrap w:val="0"/>
            <w:vAlign w:val="center"/>
          </w:tcPr>
          <w:p>
            <w:pPr>
              <w:pStyle w:val="44"/>
              <w:jc w:val="center"/>
              <w:rPr>
                <w:rFonts w:hint="eastAsia" w:eastAsia="宋体"/>
                <w:snapToGrid w:val="0"/>
                <w:color w:val="000000"/>
                <w:kern w:val="24"/>
                <w:sz w:val="21"/>
                <w:szCs w:val="20"/>
                <w:lang w:val="en-US" w:eastAsia="zh-CN" w:bidi="ar-SA"/>
              </w:rPr>
            </w:pPr>
            <w:r>
              <w:rPr>
                <w:rFonts w:hint="eastAsia" w:eastAsia="宋体"/>
                <w:snapToGrid w:val="0"/>
                <w:color w:val="000000"/>
                <w:kern w:val="24"/>
                <w:sz w:val="21"/>
                <w:szCs w:val="20"/>
                <w:lang w:val="en-US" w:eastAsia="zh-CN" w:bidi="ar-SA"/>
              </w:rPr>
              <w:t>总排口</w:t>
            </w:r>
          </w:p>
          <w:p>
            <w:pPr>
              <w:pStyle w:val="44"/>
              <w:jc w:val="center"/>
              <w:rPr>
                <w:rFonts w:hint="eastAsia" w:eastAsia="宋体"/>
                <w:snapToGrid w:val="0"/>
                <w:color w:val="000000"/>
                <w:kern w:val="24"/>
                <w:sz w:val="21"/>
                <w:szCs w:val="20"/>
                <w:lang w:val="en-US" w:eastAsia="zh-CN" w:bidi="ar-SA"/>
              </w:rPr>
            </w:pPr>
            <w:r>
              <w:rPr>
                <w:rFonts w:hint="eastAsia" w:eastAsia="宋体"/>
                <w:snapToGrid w:val="0"/>
                <w:color w:val="000000"/>
                <w:kern w:val="24"/>
                <w:sz w:val="21"/>
                <w:szCs w:val="20"/>
                <w:lang w:val="en-US" w:eastAsia="zh-CN" w:bidi="ar-SA"/>
              </w:rPr>
              <w:t>（WS2）</w:t>
            </w:r>
          </w:p>
        </w:tc>
        <w:tc>
          <w:tcPr>
            <w:tcW w:w="1207" w:type="pct"/>
            <w:vMerge w:val="continue"/>
            <w:noWrap w:val="0"/>
            <w:vAlign w:val="center"/>
          </w:tcPr>
          <w:p>
            <w:pPr>
              <w:pStyle w:val="44"/>
              <w:spacing w:line="240" w:lineRule="auto"/>
              <w:jc w:val="center"/>
              <w:rPr>
                <w:rFonts w:hint="default" w:ascii="Times New Roman" w:hAnsi="Times New Roman" w:cs="Times New Roman"/>
                <w:bCs/>
                <w:color w:val="auto"/>
                <w:sz w:val="21"/>
                <w:szCs w:val="21"/>
                <w:lang w:val="en-US" w:eastAsia="zh-CN"/>
              </w:rPr>
            </w:pPr>
          </w:p>
        </w:tc>
        <w:tc>
          <w:tcPr>
            <w:tcW w:w="961" w:type="pct"/>
            <w:vMerge w:val="continue"/>
            <w:noWrap w:val="0"/>
            <w:vAlign w:val="center"/>
          </w:tcPr>
          <w:p>
            <w:pPr>
              <w:pStyle w:val="44"/>
              <w:jc w:val="center"/>
              <w:rPr>
                <w:rFonts w:hint="eastAsia"/>
                <w:snapToGrid w:val="0"/>
                <w:color w:val="000000"/>
                <w:kern w:val="24"/>
                <w:sz w:val="21"/>
                <w:szCs w:val="20"/>
                <w:lang w:val="en-US" w:eastAsia="zh-CN" w:bidi="ar-SA"/>
              </w:rPr>
            </w:pPr>
          </w:p>
        </w:tc>
        <w:tc>
          <w:tcPr>
            <w:tcW w:w="1046" w:type="pct"/>
            <w:vMerge w:val="continue"/>
            <w:noWrap w:val="0"/>
            <w:vAlign w:val="center"/>
          </w:tcPr>
          <w:p>
            <w:pPr>
              <w:pStyle w:val="44"/>
              <w:jc w:val="center"/>
              <w:rPr>
                <w:rFonts w:hint="default"/>
                <w:szCs w:val="21"/>
                <w:lang w:val="en-US" w:eastAsia="zh-CN"/>
              </w:rPr>
            </w:pPr>
          </w:p>
        </w:tc>
      </w:tr>
    </w:tbl>
    <w:p>
      <w:pPr>
        <w:pStyle w:val="64"/>
        <w:rPr>
          <w:rFonts w:cs="Times New Roman"/>
          <w:sz w:val="32"/>
        </w:rPr>
      </w:pPr>
      <w:bookmarkStart w:id="141" w:name="_Toc2006"/>
      <w:r>
        <w:rPr>
          <w:rFonts w:hint="eastAsia" w:cs="Times New Roman"/>
          <w:sz w:val="32"/>
        </w:rPr>
        <w:t>7</w:t>
      </w:r>
      <w:r>
        <w:rPr>
          <w:rFonts w:cs="Times New Roman"/>
          <w:sz w:val="32"/>
        </w:rPr>
        <w:t>.</w:t>
      </w:r>
      <w:r>
        <w:rPr>
          <w:rFonts w:hint="eastAsia" w:cs="Times New Roman"/>
          <w:sz w:val="32"/>
        </w:rPr>
        <w:t>2废气</w:t>
      </w:r>
      <w:bookmarkEnd w:id="141"/>
    </w:p>
    <w:p>
      <w:pPr>
        <w:jc w:val="center"/>
        <w:rPr>
          <w:rFonts w:hAnsiTheme="minorEastAsia" w:eastAsiaTheme="minorEastAsia"/>
          <w:b/>
          <w:bCs/>
          <w:sz w:val="24"/>
          <w:szCs w:val="24"/>
        </w:rPr>
      </w:pPr>
      <w:r>
        <w:rPr>
          <w:rFonts w:hint="eastAsia" w:hAnsiTheme="minorEastAsia" w:eastAsiaTheme="minorEastAsia"/>
          <w:b/>
          <w:bCs/>
          <w:sz w:val="24"/>
          <w:szCs w:val="24"/>
        </w:rPr>
        <w:t>表7-2    废气监测表</w:t>
      </w:r>
    </w:p>
    <w:tbl>
      <w:tblPr>
        <w:tblStyle w:val="2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2160"/>
        <w:gridCol w:w="1350"/>
        <w:gridCol w:w="1710"/>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03" w:type="dxa"/>
            <w:vAlign w:val="center"/>
          </w:tcPr>
          <w:p>
            <w:pPr>
              <w:pStyle w:val="44"/>
              <w:rPr>
                <w:rFonts w:ascii="Times New Roman" w:hAnsi="Times New Roman" w:eastAsia="宋体" w:cs="Times New Roman"/>
                <w:snapToGrid w:val="0"/>
                <w:color w:val="000000"/>
                <w:kern w:val="0"/>
                <w:sz w:val="21"/>
                <w:szCs w:val="20"/>
                <w:lang w:val="en-US" w:eastAsia="zh-CN" w:bidi="ar-SA"/>
              </w:rPr>
            </w:pPr>
            <w:r>
              <w:rPr>
                <w:rFonts w:hint="eastAsia"/>
                <w:szCs w:val="21"/>
              </w:rPr>
              <w:t>监测</w:t>
            </w:r>
            <w:r>
              <w:rPr>
                <w:szCs w:val="21"/>
              </w:rPr>
              <w:t>项目</w:t>
            </w:r>
          </w:p>
        </w:tc>
        <w:tc>
          <w:tcPr>
            <w:tcW w:w="2160" w:type="dxa"/>
            <w:vAlign w:val="center"/>
          </w:tcPr>
          <w:p>
            <w:pPr>
              <w:pStyle w:val="44"/>
              <w:rPr>
                <w:rFonts w:ascii="Times New Roman" w:hAnsi="Times New Roman" w:eastAsia="宋体" w:cs="Times New Roman"/>
                <w:snapToGrid w:val="0"/>
                <w:color w:val="000000"/>
                <w:kern w:val="0"/>
                <w:sz w:val="21"/>
                <w:szCs w:val="20"/>
                <w:lang w:val="en-US" w:eastAsia="zh-CN" w:bidi="ar-SA"/>
              </w:rPr>
            </w:pPr>
            <w:r>
              <w:rPr>
                <w:rFonts w:hint="eastAsia"/>
                <w:szCs w:val="21"/>
              </w:rPr>
              <w:t>监测点位</w:t>
            </w:r>
          </w:p>
        </w:tc>
        <w:tc>
          <w:tcPr>
            <w:tcW w:w="1350" w:type="dxa"/>
            <w:vAlign w:val="center"/>
          </w:tcPr>
          <w:p>
            <w:pPr>
              <w:pStyle w:val="44"/>
              <w:rPr>
                <w:rFonts w:ascii="Times New Roman" w:hAnsi="Times New Roman" w:eastAsia="宋体" w:cs="Times New Roman"/>
                <w:snapToGrid w:val="0"/>
                <w:color w:val="000000"/>
                <w:kern w:val="0"/>
                <w:sz w:val="21"/>
                <w:szCs w:val="20"/>
                <w:lang w:val="en-US" w:eastAsia="zh-CN" w:bidi="ar-SA"/>
              </w:rPr>
            </w:pPr>
            <w:r>
              <w:rPr>
                <w:szCs w:val="21"/>
              </w:rPr>
              <w:t>监测</w:t>
            </w:r>
            <w:r>
              <w:rPr>
                <w:rFonts w:hint="eastAsia"/>
                <w:szCs w:val="21"/>
              </w:rPr>
              <w:t>因子</w:t>
            </w:r>
          </w:p>
        </w:tc>
        <w:tc>
          <w:tcPr>
            <w:tcW w:w="1710" w:type="dxa"/>
            <w:vAlign w:val="center"/>
          </w:tcPr>
          <w:p>
            <w:pPr>
              <w:pStyle w:val="44"/>
              <w:rPr>
                <w:rFonts w:ascii="Times New Roman" w:hAnsi="Times New Roman" w:eastAsia="宋体" w:cs="Times New Roman"/>
                <w:snapToGrid w:val="0"/>
                <w:color w:val="000000"/>
                <w:kern w:val="0"/>
                <w:sz w:val="21"/>
                <w:szCs w:val="20"/>
                <w:lang w:val="en-US" w:eastAsia="zh-CN" w:bidi="ar-SA"/>
              </w:rPr>
            </w:pPr>
            <w:r>
              <w:rPr>
                <w:rFonts w:hint="eastAsia"/>
                <w:szCs w:val="21"/>
              </w:rPr>
              <w:t>监测</w:t>
            </w:r>
            <w:r>
              <w:rPr>
                <w:szCs w:val="21"/>
              </w:rPr>
              <w:t>频次</w:t>
            </w:r>
          </w:p>
        </w:tc>
        <w:tc>
          <w:tcPr>
            <w:tcW w:w="2956" w:type="dxa"/>
            <w:vAlign w:val="center"/>
          </w:tcPr>
          <w:p>
            <w:pPr>
              <w:pStyle w:val="44"/>
              <w:rPr>
                <w:rFonts w:hint="eastAsia"/>
                <w:szCs w:val="21"/>
              </w:rPr>
            </w:pPr>
            <w:r>
              <w:rPr>
                <w:rFonts w:hint="eastAsia"/>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03" w:type="dxa"/>
            <w:vAlign w:val="center"/>
          </w:tcPr>
          <w:p>
            <w:pPr>
              <w:pStyle w:val="44"/>
              <w:rPr>
                <w:rFonts w:ascii="Times New Roman" w:hAnsi="Times New Roman" w:eastAsia="宋体" w:cs="Times New Roman"/>
                <w:snapToGrid w:val="0"/>
                <w:color w:val="000000"/>
                <w:kern w:val="0"/>
                <w:sz w:val="21"/>
                <w:szCs w:val="20"/>
                <w:lang w:val="en-US" w:eastAsia="zh-CN" w:bidi="ar-SA"/>
              </w:rPr>
            </w:pPr>
            <w:r>
              <w:rPr>
                <w:rFonts w:hint="eastAsia"/>
                <w:snapToGrid w:val="0"/>
                <w:color w:val="000000"/>
                <w:kern w:val="24"/>
                <w:sz w:val="21"/>
                <w:szCs w:val="20"/>
                <w:lang w:val="en-US" w:eastAsia="zh-CN" w:bidi="ar-SA"/>
              </w:rPr>
              <w:t>无组织排放废气</w:t>
            </w:r>
          </w:p>
        </w:tc>
        <w:tc>
          <w:tcPr>
            <w:tcW w:w="2160" w:type="dxa"/>
            <w:vAlign w:val="center"/>
          </w:tcPr>
          <w:p>
            <w:pPr>
              <w:pStyle w:val="44"/>
              <w:jc w:val="center"/>
              <w:rPr>
                <w:rFonts w:hint="default" w:eastAsia="宋体"/>
                <w:snapToGrid w:val="0"/>
                <w:color w:val="000000"/>
                <w:kern w:val="24"/>
                <w:sz w:val="21"/>
                <w:szCs w:val="20"/>
                <w:lang w:val="en-US" w:eastAsia="zh-CN" w:bidi="ar-SA"/>
              </w:rPr>
            </w:pPr>
            <w:r>
              <w:rPr>
                <w:rFonts w:hint="eastAsia" w:eastAsia="宋体"/>
                <w:snapToGrid w:val="0"/>
                <w:color w:val="000000"/>
                <w:kern w:val="24"/>
                <w:sz w:val="21"/>
                <w:szCs w:val="20"/>
                <w:lang w:val="en-US" w:eastAsia="zh-CN" w:bidi="ar-SA"/>
              </w:rPr>
              <w:t>东侧厂界外约2米，高1.5米处（WQ1）</w:t>
            </w:r>
          </w:p>
        </w:tc>
        <w:tc>
          <w:tcPr>
            <w:tcW w:w="1350" w:type="dxa"/>
            <w:vAlign w:val="center"/>
          </w:tcPr>
          <w:p>
            <w:pPr>
              <w:pStyle w:val="44"/>
              <w:jc w:val="center"/>
              <w:rPr>
                <w:rFonts w:hint="eastAsia" w:eastAsia="宋体"/>
                <w:snapToGrid w:val="0"/>
                <w:color w:val="000000"/>
                <w:kern w:val="24"/>
                <w:sz w:val="21"/>
                <w:szCs w:val="20"/>
                <w:lang w:val="en-US" w:eastAsia="zh-CN" w:bidi="ar-SA"/>
              </w:rPr>
            </w:pPr>
            <w:r>
              <w:rPr>
                <w:rFonts w:hint="eastAsia" w:eastAsia="宋体"/>
                <w:snapToGrid w:val="0"/>
                <w:color w:val="000000"/>
                <w:kern w:val="24"/>
                <w:sz w:val="21"/>
                <w:szCs w:val="20"/>
                <w:lang w:val="en-US" w:eastAsia="zh-CN" w:bidi="ar-SA"/>
              </w:rPr>
              <w:t>非甲烷总烃</w:t>
            </w:r>
          </w:p>
        </w:tc>
        <w:tc>
          <w:tcPr>
            <w:tcW w:w="1710" w:type="dxa"/>
            <w:vAlign w:val="center"/>
          </w:tcPr>
          <w:p>
            <w:pPr>
              <w:pStyle w:val="44"/>
              <w:rPr>
                <w:rFonts w:ascii="Times New Roman" w:hAnsi="Times New Roman" w:eastAsia="宋体" w:cs="Times New Roman"/>
                <w:snapToGrid w:val="0"/>
                <w:color w:val="000000"/>
                <w:kern w:val="0"/>
                <w:sz w:val="21"/>
                <w:szCs w:val="20"/>
                <w:lang w:val="en-US" w:eastAsia="zh-CN" w:bidi="ar-SA"/>
              </w:rPr>
            </w:pPr>
            <w:r>
              <w:rPr>
                <w:rFonts w:hint="eastAsia"/>
                <w:snapToGrid w:val="0"/>
                <w:color w:val="000000"/>
                <w:kern w:val="24"/>
                <w:sz w:val="21"/>
                <w:szCs w:val="20"/>
                <w:lang w:val="en-US" w:eastAsia="zh-CN" w:bidi="ar-SA"/>
              </w:rPr>
              <w:t>连续2 天，每天监测3次</w:t>
            </w:r>
          </w:p>
        </w:tc>
        <w:tc>
          <w:tcPr>
            <w:tcW w:w="2956" w:type="dxa"/>
            <w:vAlign w:val="center"/>
          </w:tcPr>
          <w:p>
            <w:pPr>
              <w:pStyle w:val="89"/>
              <w:spacing w:line="260" w:lineRule="exact"/>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场界外：《加油站大气污染物排放标准》</w:t>
            </w:r>
            <w:r>
              <w:rPr>
                <w:rFonts w:hint="eastAsia" w:ascii="Times New Roman" w:hAnsi="Times New Roman" w:cs="Times New Roman"/>
                <w:color w:val="auto"/>
                <w:sz w:val="21"/>
                <w:szCs w:val="21"/>
                <w:lang w:eastAsia="zh-CN"/>
              </w:rPr>
              <w:t>（</w:t>
            </w:r>
            <w:r>
              <w:rPr>
                <w:rFonts w:hint="eastAsia" w:ascii="Times New Roman" w:hAnsi="Times New Roman" w:eastAsia="宋体" w:cs="Times New Roman"/>
                <w:color w:val="auto"/>
                <w:sz w:val="21"/>
                <w:szCs w:val="21"/>
                <w:lang w:eastAsia="zh-CN"/>
              </w:rPr>
              <w:t>GB20952-2020</w:t>
            </w:r>
            <w:r>
              <w:rPr>
                <w:rFonts w:hint="eastAsia" w:ascii="Times New Roman" w:hAnsi="Times New Roman" w:cs="Times New Roman"/>
                <w:color w:val="auto"/>
                <w:sz w:val="21"/>
                <w:szCs w:val="21"/>
                <w:lang w:eastAsia="zh-CN"/>
              </w:rPr>
              <w:t>）</w:t>
            </w:r>
            <w:r>
              <w:rPr>
                <w:rFonts w:hint="eastAsia" w:ascii="Times New Roman" w:hAnsi="Times New Roman" w:eastAsia="宋体" w:cs="Times New Roman"/>
                <w:color w:val="auto"/>
                <w:sz w:val="21"/>
                <w:szCs w:val="21"/>
                <w:lang w:eastAsia="zh-CN"/>
              </w:rPr>
              <w:t>；</w:t>
            </w:r>
          </w:p>
          <w:p>
            <w:pPr>
              <w:pStyle w:val="89"/>
              <w:spacing w:line="260" w:lineRule="exact"/>
              <w:ind w:firstLine="0" w:firstLineChars="0"/>
              <w:rPr>
                <w:rFonts w:hint="eastAsia"/>
                <w:snapToGrid w:val="0"/>
                <w:color w:val="000000"/>
                <w:kern w:val="24"/>
                <w:sz w:val="21"/>
                <w:szCs w:val="20"/>
                <w:lang w:val="en-US" w:eastAsia="zh-CN" w:bidi="ar-SA"/>
              </w:rPr>
            </w:pPr>
            <w:r>
              <w:rPr>
                <w:rFonts w:hint="eastAsia" w:ascii="Times New Roman" w:hAnsi="Times New Roman" w:eastAsia="宋体" w:cs="Times New Roman"/>
                <w:color w:val="auto"/>
                <w:sz w:val="21"/>
                <w:szCs w:val="21"/>
                <w:lang w:eastAsia="zh-CN"/>
              </w:rPr>
              <w:t>非甲烷总烃≤4.0mg/m</w:t>
            </w:r>
            <w:r>
              <w:rPr>
                <w:rFonts w:hint="eastAsia" w:ascii="Times New Roman" w:hAnsi="Times New Roman" w:eastAsia="宋体" w:cs="Times New Roman"/>
                <w:color w:val="auto"/>
                <w:sz w:val="21"/>
                <w:szCs w:val="21"/>
                <w:vertAlign w:val="superscript"/>
                <w:lang w:eastAsia="zh-CN"/>
              </w:rPr>
              <w:t>3</w:t>
            </w:r>
            <w:r>
              <w:rPr>
                <w:rFonts w:hint="eastAsia" w:ascii="Times New Roman" w:hAnsi="Times New Roman" w:eastAsia="宋体" w:cs="Times New Roman"/>
                <w:color w:val="auto"/>
                <w:sz w:val="21"/>
                <w:szCs w:val="21"/>
                <w:lang w:eastAsia="zh-CN"/>
              </w:rPr>
              <w:t>。</w:t>
            </w:r>
          </w:p>
        </w:tc>
      </w:tr>
    </w:tbl>
    <w:p>
      <w:pPr>
        <w:pStyle w:val="64"/>
        <w:rPr>
          <w:rFonts w:hint="eastAsia" w:eastAsia="宋体" w:cs="Times New Roman"/>
          <w:sz w:val="32"/>
          <w:lang w:eastAsia="zh-CN"/>
        </w:rPr>
      </w:pPr>
      <w:bookmarkStart w:id="142" w:name="_Toc21649"/>
      <w:r>
        <w:rPr>
          <w:rFonts w:hint="eastAsia" w:cs="Times New Roman"/>
          <w:sz w:val="32"/>
        </w:rPr>
        <w:t>7</w:t>
      </w:r>
      <w:r>
        <w:rPr>
          <w:rFonts w:cs="Times New Roman"/>
          <w:sz w:val="32"/>
        </w:rPr>
        <w:t>.</w:t>
      </w:r>
      <w:r>
        <w:rPr>
          <w:rFonts w:hint="eastAsia" w:cs="Times New Roman"/>
          <w:sz w:val="32"/>
        </w:rPr>
        <w:t>3</w:t>
      </w:r>
      <w:r>
        <w:rPr>
          <w:rFonts w:cs="Times New Roman"/>
          <w:sz w:val="32"/>
        </w:rPr>
        <w:t>噪</w:t>
      </w:r>
      <w:r>
        <w:rPr>
          <w:rFonts w:hint="eastAsia" w:cs="Times New Roman"/>
          <w:sz w:val="32"/>
          <w:lang w:eastAsia="zh-CN"/>
        </w:rPr>
        <w:t>声</w:t>
      </w:r>
      <w:bookmarkEnd w:id="142"/>
    </w:p>
    <w:p>
      <w:pPr>
        <w:spacing w:line="540" w:lineRule="exact"/>
        <w:ind w:firstLine="463" w:firstLineChars="192"/>
        <w:jc w:val="center"/>
        <w:rPr>
          <w:rFonts w:hAnsiTheme="minorEastAsia" w:eastAsiaTheme="minorEastAsia"/>
          <w:b/>
          <w:sz w:val="24"/>
          <w:szCs w:val="24"/>
        </w:rPr>
      </w:pPr>
      <w:r>
        <w:rPr>
          <w:rFonts w:hAnsiTheme="minorEastAsia" w:eastAsiaTheme="minorEastAsia"/>
          <w:b/>
          <w:sz w:val="24"/>
          <w:szCs w:val="24"/>
        </w:rPr>
        <w:t>表</w:t>
      </w:r>
      <w:r>
        <w:rPr>
          <w:rFonts w:hint="eastAsia" w:eastAsiaTheme="minorEastAsia"/>
          <w:b/>
          <w:sz w:val="24"/>
          <w:szCs w:val="24"/>
        </w:rPr>
        <w:t>7</w:t>
      </w:r>
      <w:r>
        <w:rPr>
          <w:rFonts w:eastAsiaTheme="minorEastAsia"/>
          <w:b/>
          <w:sz w:val="24"/>
          <w:szCs w:val="24"/>
        </w:rPr>
        <w:t>-</w:t>
      </w:r>
      <w:r>
        <w:rPr>
          <w:rFonts w:hint="eastAsia" w:eastAsiaTheme="minorEastAsia"/>
          <w:b/>
          <w:sz w:val="24"/>
          <w:szCs w:val="24"/>
        </w:rPr>
        <w:t>3</w:t>
      </w:r>
      <w:r>
        <w:rPr>
          <w:rFonts w:hAnsiTheme="minorEastAsia" w:eastAsiaTheme="minorEastAsia"/>
          <w:b/>
          <w:sz w:val="24"/>
          <w:szCs w:val="24"/>
        </w:rPr>
        <w:t>噪声监测表</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1905"/>
        <w:gridCol w:w="1716"/>
        <w:gridCol w:w="2253"/>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95" w:type="pct"/>
            <w:vAlign w:val="center"/>
          </w:tcPr>
          <w:p>
            <w:pPr>
              <w:pStyle w:val="44"/>
              <w:spacing w:line="240" w:lineRule="auto"/>
              <w:jc w:val="center"/>
              <w:rPr>
                <w:rFonts w:ascii="Times New Roman" w:hAnsi="Times New Roman" w:eastAsia="宋体" w:cs="Times New Roman"/>
                <w:snapToGrid w:val="0"/>
                <w:color w:val="000000"/>
                <w:kern w:val="0"/>
                <w:sz w:val="21"/>
                <w:szCs w:val="20"/>
                <w:lang w:val="en-US" w:eastAsia="zh-CN" w:bidi="ar-SA"/>
              </w:rPr>
            </w:pPr>
            <w:r>
              <w:rPr>
                <w:rFonts w:ascii="Times New Roman" w:hAnsi="Times New Roman" w:eastAsia="宋体" w:cs="Times New Roman"/>
                <w:snapToGrid w:val="0"/>
                <w:color w:val="000000"/>
                <w:kern w:val="0"/>
                <w:sz w:val="21"/>
                <w:szCs w:val="20"/>
                <w:lang w:val="en-US" w:eastAsia="zh-CN" w:bidi="ar-SA"/>
              </w:rPr>
              <w:t>监测类别</w:t>
            </w:r>
          </w:p>
        </w:tc>
        <w:tc>
          <w:tcPr>
            <w:tcW w:w="1026" w:type="pct"/>
            <w:vAlign w:val="center"/>
          </w:tcPr>
          <w:p>
            <w:pPr>
              <w:pStyle w:val="44"/>
              <w:spacing w:line="240" w:lineRule="auto"/>
              <w:jc w:val="center"/>
              <w:rPr>
                <w:rFonts w:ascii="Times New Roman" w:hAnsi="Times New Roman" w:eastAsia="宋体" w:cs="Times New Roman"/>
                <w:snapToGrid w:val="0"/>
                <w:color w:val="000000"/>
                <w:kern w:val="0"/>
                <w:sz w:val="21"/>
                <w:szCs w:val="20"/>
                <w:lang w:val="en-US" w:eastAsia="zh-CN" w:bidi="ar-SA"/>
              </w:rPr>
            </w:pPr>
            <w:r>
              <w:rPr>
                <w:rFonts w:ascii="Times New Roman" w:hAnsi="Times New Roman" w:eastAsia="宋体" w:cs="Times New Roman"/>
                <w:snapToGrid w:val="0"/>
                <w:color w:val="000000"/>
                <w:kern w:val="0"/>
                <w:sz w:val="21"/>
                <w:szCs w:val="20"/>
                <w:lang w:val="en-US" w:eastAsia="zh-CN" w:bidi="ar-SA"/>
              </w:rPr>
              <w:t>采样点编号</w:t>
            </w:r>
          </w:p>
        </w:tc>
        <w:tc>
          <w:tcPr>
            <w:tcW w:w="924" w:type="pct"/>
            <w:vAlign w:val="center"/>
          </w:tcPr>
          <w:p>
            <w:pPr>
              <w:pStyle w:val="44"/>
              <w:spacing w:line="240" w:lineRule="auto"/>
              <w:jc w:val="center"/>
              <w:rPr>
                <w:rFonts w:ascii="Times New Roman" w:hAnsi="Times New Roman" w:eastAsia="宋体" w:cs="Times New Roman"/>
                <w:snapToGrid w:val="0"/>
                <w:color w:val="000000"/>
                <w:kern w:val="0"/>
                <w:sz w:val="21"/>
                <w:szCs w:val="20"/>
                <w:lang w:val="en-US" w:eastAsia="zh-CN" w:bidi="ar-SA"/>
              </w:rPr>
            </w:pPr>
            <w:r>
              <w:rPr>
                <w:rFonts w:ascii="Times New Roman" w:hAnsi="Times New Roman" w:eastAsia="宋体" w:cs="Times New Roman"/>
                <w:snapToGrid w:val="0"/>
                <w:color w:val="000000"/>
                <w:kern w:val="0"/>
                <w:sz w:val="21"/>
                <w:szCs w:val="20"/>
                <w:lang w:val="en-US" w:eastAsia="zh-CN" w:bidi="ar-SA"/>
              </w:rPr>
              <w:t>监测项目</w:t>
            </w:r>
          </w:p>
        </w:tc>
        <w:tc>
          <w:tcPr>
            <w:tcW w:w="1213" w:type="pct"/>
            <w:vAlign w:val="center"/>
          </w:tcPr>
          <w:p>
            <w:pPr>
              <w:pStyle w:val="44"/>
              <w:spacing w:line="240" w:lineRule="auto"/>
              <w:jc w:val="center"/>
              <w:rPr>
                <w:rFonts w:ascii="Times New Roman" w:hAnsi="Times New Roman" w:eastAsia="宋体" w:cs="Times New Roman"/>
                <w:snapToGrid w:val="0"/>
                <w:color w:val="000000"/>
                <w:kern w:val="0"/>
                <w:sz w:val="21"/>
                <w:szCs w:val="20"/>
                <w:lang w:val="en-US" w:eastAsia="zh-CN" w:bidi="ar-SA"/>
              </w:rPr>
            </w:pPr>
            <w:r>
              <w:rPr>
                <w:rFonts w:ascii="Times New Roman" w:hAnsi="Times New Roman" w:eastAsia="宋体" w:cs="Times New Roman"/>
                <w:snapToGrid w:val="0"/>
                <w:color w:val="000000"/>
                <w:kern w:val="0"/>
                <w:sz w:val="21"/>
                <w:szCs w:val="20"/>
                <w:lang w:val="en-US" w:eastAsia="zh-CN" w:bidi="ar-SA"/>
              </w:rPr>
              <w:t>监测频次</w:t>
            </w:r>
          </w:p>
        </w:tc>
        <w:tc>
          <w:tcPr>
            <w:tcW w:w="1240" w:type="pct"/>
            <w:vAlign w:val="center"/>
          </w:tcPr>
          <w:p>
            <w:pPr>
              <w:pStyle w:val="44"/>
              <w:spacing w:line="240" w:lineRule="auto"/>
              <w:jc w:val="center"/>
              <w:rPr>
                <w:rFonts w:ascii="Times New Roman" w:hAnsi="Times New Roman" w:eastAsia="宋体" w:cs="Times New Roman"/>
                <w:snapToGrid w:val="0"/>
                <w:color w:val="000000"/>
                <w:kern w:val="0"/>
                <w:sz w:val="21"/>
                <w:szCs w:val="20"/>
                <w:lang w:val="en-US" w:eastAsia="zh-CN" w:bidi="ar-SA"/>
              </w:rPr>
            </w:pPr>
            <w:r>
              <w:rPr>
                <w:rFonts w:hint="eastAsia"/>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95" w:type="pct"/>
            <w:vMerge w:val="restart"/>
            <w:vAlign w:val="center"/>
          </w:tcPr>
          <w:p>
            <w:pPr>
              <w:pStyle w:val="44"/>
              <w:spacing w:line="240" w:lineRule="auto"/>
              <w:jc w:val="center"/>
              <w:rPr>
                <w:rFonts w:ascii="Times New Roman" w:hAnsi="Times New Roman" w:eastAsia="宋体" w:cs="Times New Roman"/>
                <w:snapToGrid w:val="0"/>
                <w:color w:val="000000"/>
                <w:kern w:val="0"/>
                <w:sz w:val="21"/>
                <w:szCs w:val="20"/>
                <w:lang w:val="en-US" w:eastAsia="zh-CN" w:bidi="ar-SA"/>
              </w:rPr>
            </w:pPr>
            <w:r>
              <w:rPr>
                <w:rFonts w:hint="eastAsia" w:ascii="Times New Roman" w:hAnsi="Times New Roman" w:eastAsia="宋体" w:cs="Times New Roman"/>
                <w:snapToGrid w:val="0"/>
                <w:color w:val="000000"/>
                <w:kern w:val="0"/>
                <w:sz w:val="21"/>
                <w:szCs w:val="20"/>
                <w:lang w:val="en-US" w:eastAsia="zh-CN" w:bidi="ar-SA"/>
              </w:rPr>
              <w:t>厂界</w:t>
            </w:r>
            <w:r>
              <w:rPr>
                <w:rFonts w:ascii="Times New Roman" w:hAnsi="Times New Roman" w:eastAsia="宋体" w:cs="Times New Roman"/>
                <w:snapToGrid w:val="0"/>
                <w:color w:val="000000"/>
                <w:kern w:val="0"/>
                <w:sz w:val="21"/>
                <w:szCs w:val="20"/>
                <w:lang w:val="en-US" w:eastAsia="zh-CN" w:bidi="ar-SA"/>
              </w:rPr>
              <w:t>噪声</w:t>
            </w:r>
          </w:p>
        </w:tc>
        <w:tc>
          <w:tcPr>
            <w:tcW w:w="1026" w:type="pct"/>
            <w:vAlign w:val="center"/>
          </w:tcPr>
          <w:p>
            <w:pPr>
              <w:pStyle w:val="44"/>
              <w:spacing w:line="240" w:lineRule="auto"/>
              <w:jc w:val="center"/>
              <w:rPr>
                <w:rFonts w:hint="eastAsia" w:ascii="Times New Roman" w:hAnsi="Times New Roman" w:eastAsia="宋体" w:cs="Times New Roman"/>
                <w:snapToGrid w:val="0"/>
                <w:color w:val="000000"/>
                <w:kern w:val="0"/>
                <w:sz w:val="21"/>
                <w:szCs w:val="20"/>
                <w:lang w:val="en-US" w:eastAsia="zh-CN" w:bidi="ar-SA"/>
              </w:rPr>
            </w:pPr>
            <w:r>
              <w:rPr>
                <w:rFonts w:hint="eastAsia" w:ascii="Times New Roman" w:hAnsi="Times New Roman" w:eastAsia="宋体" w:cs="Times New Roman"/>
                <w:snapToGrid w:val="0"/>
                <w:color w:val="000000"/>
                <w:kern w:val="0"/>
                <w:sz w:val="21"/>
                <w:szCs w:val="20"/>
                <w:lang w:val="en-US" w:eastAsia="zh-CN" w:bidi="ar-SA"/>
              </w:rPr>
              <w:t>东侧厂界外约1米处（ZS1）</w:t>
            </w:r>
          </w:p>
        </w:tc>
        <w:tc>
          <w:tcPr>
            <w:tcW w:w="924" w:type="pct"/>
            <w:vMerge w:val="restart"/>
            <w:vAlign w:val="center"/>
          </w:tcPr>
          <w:p>
            <w:pPr>
              <w:pStyle w:val="44"/>
              <w:spacing w:line="240" w:lineRule="auto"/>
              <w:jc w:val="center"/>
              <w:rPr>
                <w:rFonts w:ascii="Times New Roman" w:hAnsi="Times New Roman" w:eastAsia="宋体" w:cs="Times New Roman"/>
                <w:snapToGrid w:val="0"/>
                <w:color w:val="000000"/>
                <w:kern w:val="0"/>
                <w:sz w:val="21"/>
                <w:szCs w:val="20"/>
                <w:lang w:val="en-US" w:eastAsia="zh-CN" w:bidi="ar-SA"/>
              </w:rPr>
            </w:pPr>
            <w:r>
              <w:rPr>
                <w:rFonts w:hint="eastAsia" w:cs="Times New Roman"/>
                <w:snapToGrid w:val="0"/>
                <w:color w:val="000000"/>
                <w:kern w:val="0"/>
                <w:sz w:val="21"/>
                <w:szCs w:val="20"/>
                <w:lang w:val="en-US" w:eastAsia="zh-CN" w:bidi="ar-SA"/>
              </w:rPr>
              <w:t>厂界噪声</w:t>
            </w:r>
          </w:p>
        </w:tc>
        <w:tc>
          <w:tcPr>
            <w:tcW w:w="1213" w:type="pct"/>
            <w:vMerge w:val="restart"/>
            <w:vAlign w:val="center"/>
          </w:tcPr>
          <w:p>
            <w:pPr>
              <w:pStyle w:val="44"/>
              <w:spacing w:line="240" w:lineRule="auto"/>
              <w:jc w:val="center"/>
              <w:rPr>
                <w:rFonts w:ascii="Times New Roman" w:hAnsi="Times New Roman" w:eastAsia="宋体" w:cs="Times New Roman"/>
                <w:snapToGrid w:val="0"/>
                <w:color w:val="000000"/>
                <w:kern w:val="0"/>
                <w:sz w:val="21"/>
                <w:szCs w:val="20"/>
                <w:lang w:val="en-US" w:eastAsia="zh-CN" w:bidi="ar-SA"/>
              </w:rPr>
            </w:pPr>
            <w:r>
              <w:rPr>
                <w:rFonts w:hint="eastAsia" w:ascii="Times New Roman" w:hAnsi="Times New Roman" w:eastAsia="宋体" w:cs="Times New Roman"/>
                <w:snapToGrid w:val="0"/>
                <w:color w:val="000000"/>
                <w:kern w:val="0"/>
                <w:sz w:val="21"/>
                <w:szCs w:val="20"/>
                <w:lang w:val="en-US" w:eastAsia="zh-CN" w:bidi="ar-SA"/>
              </w:rPr>
              <w:t>连续监测</w:t>
            </w:r>
            <w:r>
              <w:rPr>
                <w:rFonts w:ascii="Times New Roman" w:hAnsi="Times New Roman" w:eastAsia="宋体" w:cs="Times New Roman"/>
                <w:snapToGrid w:val="0"/>
                <w:color w:val="000000"/>
                <w:kern w:val="0"/>
                <w:sz w:val="21"/>
                <w:szCs w:val="20"/>
                <w:lang w:val="en-US" w:eastAsia="zh-CN" w:bidi="ar-SA"/>
              </w:rPr>
              <w:t>2天，</w:t>
            </w:r>
            <w:r>
              <w:rPr>
                <w:rFonts w:hint="eastAsia" w:ascii="Times New Roman" w:hAnsi="Times New Roman" w:eastAsia="宋体" w:cs="Times New Roman"/>
                <w:snapToGrid w:val="0"/>
                <w:color w:val="000000"/>
                <w:kern w:val="0"/>
                <w:sz w:val="21"/>
                <w:szCs w:val="20"/>
                <w:lang w:val="en-US" w:eastAsia="zh-CN" w:bidi="ar-SA"/>
              </w:rPr>
              <w:t>每天</w:t>
            </w:r>
            <w:r>
              <w:rPr>
                <w:rFonts w:ascii="Times New Roman" w:hAnsi="Times New Roman" w:eastAsia="宋体" w:cs="Times New Roman"/>
                <w:snapToGrid w:val="0"/>
                <w:color w:val="000000"/>
                <w:kern w:val="0"/>
                <w:sz w:val="21"/>
                <w:szCs w:val="20"/>
                <w:lang w:val="en-US" w:eastAsia="zh-CN" w:bidi="ar-SA"/>
              </w:rPr>
              <w:t>昼、夜各</w:t>
            </w:r>
            <w:r>
              <w:rPr>
                <w:rFonts w:hint="eastAsia" w:ascii="Times New Roman" w:hAnsi="Times New Roman" w:eastAsia="宋体" w:cs="Times New Roman"/>
                <w:snapToGrid w:val="0"/>
                <w:color w:val="000000"/>
                <w:kern w:val="0"/>
                <w:sz w:val="21"/>
                <w:szCs w:val="20"/>
                <w:lang w:val="en-US" w:eastAsia="zh-CN" w:bidi="ar-SA"/>
              </w:rPr>
              <w:t>1</w:t>
            </w:r>
            <w:r>
              <w:rPr>
                <w:rFonts w:ascii="Times New Roman" w:hAnsi="Times New Roman" w:eastAsia="宋体" w:cs="Times New Roman"/>
                <w:snapToGrid w:val="0"/>
                <w:color w:val="000000"/>
                <w:kern w:val="0"/>
                <w:sz w:val="21"/>
                <w:szCs w:val="20"/>
                <w:lang w:val="en-US" w:eastAsia="zh-CN" w:bidi="ar-SA"/>
              </w:rPr>
              <w:t>次</w:t>
            </w:r>
          </w:p>
        </w:tc>
        <w:tc>
          <w:tcPr>
            <w:tcW w:w="1240" w:type="pct"/>
            <w:vMerge w:val="restart"/>
            <w:vAlign w:val="center"/>
          </w:tcPr>
          <w:p>
            <w:pPr>
              <w:pStyle w:val="44"/>
              <w:spacing w:line="240" w:lineRule="auto"/>
              <w:jc w:val="center"/>
              <w:rPr>
                <w:rFonts w:ascii="Times New Roman" w:hAnsi="Times New Roman" w:eastAsia="宋体" w:cs="Times New Roman"/>
                <w:snapToGrid w:val="0"/>
                <w:color w:val="000000"/>
                <w:kern w:val="0"/>
                <w:sz w:val="21"/>
                <w:szCs w:val="20"/>
                <w:lang w:val="en-US" w:eastAsia="zh-CN" w:bidi="ar-SA"/>
              </w:rPr>
            </w:pPr>
            <w:r>
              <w:rPr>
                <w:rFonts w:ascii="Times New Roman" w:hAnsi="Times New Roman" w:eastAsia="宋体" w:cs="Times New Roman"/>
                <w:snapToGrid w:val="0"/>
                <w:color w:val="000000"/>
                <w:kern w:val="0"/>
                <w:sz w:val="21"/>
                <w:szCs w:val="20"/>
                <w:lang w:val="en-US" w:eastAsia="zh-CN" w:bidi="ar-SA"/>
              </w:rPr>
              <w:t>《工业企业厂界环境噪声排放标准》（GB12348-2008）</w:t>
            </w:r>
            <w:r>
              <w:rPr>
                <w:rFonts w:hint="eastAsia" w:cs="Times New Roman"/>
                <w:snapToGrid w:val="0"/>
                <w:color w:val="000000"/>
                <w:kern w:val="0"/>
                <w:sz w:val="21"/>
                <w:szCs w:val="20"/>
                <w:lang w:val="en-US" w:eastAsia="zh-CN" w:bidi="ar-SA"/>
              </w:rPr>
              <w:t>3</w:t>
            </w:r>
            <w:r>
              <w:rPr>
                <w:rFonts w:ascii="Times New Roman" w:hAnsi="Times New Roman" w:eastAsia="宋体" w:cs="Times New Roman"/>
                <w:snapToGrid w:val="0"/>
                <w:color w:val="000000"/>
                <w:kern w:val="0"/>
                <w:sz w:val="21"/>
                <w:szCs w:val="20"/>
                <w:lang w:val="en-US" w:eastAsia="zh-CN" w:bidi="ar-SA"/>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95" w:type="pct"/>
            <w:vMerge w:val="continue"/>
            <w:vAlign w:val="center"/>
          </w:tcPr>
          <w:p>
            <w:pPr>
              <w:pStyle w:val="44"/>
              <w:spacing w:line="240" w:lineRule="exact"/>
              <w:rPr>
                <w:snapToGrid w:val="0"/>
                <w:kern w:val="0"/>
              </w:rPr>
            </w:pPr>
          </w:p>
        </w:tc>
        <w:tc>
          <w:tcPr>
            <w:tcW w:w="1026" w:type="pct"/>
            <w:vAlign w:val="center"/>
          </w:tcPr>
          <w:p>
            <w:pPr>
              <w:pStyle w:val="44"/>
              <w:spacing w:line="240" w:lineRule="auto"/>
              <w:jc w:val="center"/>
              <w:rPr>
                <w:rFonts w:hint="eastAsia" w:ascii="Times New Roman" w:hAnsi="Times New Roman" w:eastAsia="宋体" w:cs="Times New Roman"/>
                <w:snapToGrid w:val="0"/>
                <w:color w:val="000000"/>
                <w:kern w:val="0"/>
                <w:sz w:val="21"/>
                <w:szCs w:val="20"/>
                <w:lang w:val="en-US" w:eastAsia="zh-CN" w:bidi="ar-SA"/>
              </w:rPr>
            </w:pPr>
            <w:r>
              <w:rPr>
                <w:rFonts w:hint="eastAsia" w:ascii="Times New Roman" w:hAnsi="Times New Roman" w:eastAsia="宋体" w:cs="Times New Roman"/>
                <w:snapToGrid w:val="0"/>
                <w:color w:val="000000"/>
                <w:kern w:val="0"/>
                <w:sz w:val="21"/>
                <w:szCs w:val="20"/>
                <w:lang w:val="en-US" w:eastAsia="zh-CN" w:bidi="ar-SA"/>
              </w:rPr>
              <w:t>西南侧厂界外约1米处（ZS2）</w:t>
            </w:r>
          </w:p>
        </w:tc>
        <w:tc>
          <w:tcPr>
            <w:tcW w:w="924" w:type="pct"/>
            <w:vMerge w:val="continue"/>
            <w:vAlign w:val="center"/>
          </w:tcPr>
          <w:p>
            <w:pPr>
              <w:pStyle w:val="44"/>
              <w:spacing w:line="240" w:lineRule="exact"/>
              <w:rPr>
                <w:snapToGrid w:val="0"/>
                <w:kern w:val="0"/>
              </w:rPr>
            </w:pPr>
          </w:p>
        </w:tc>
        <w:tc>
          <w:tcPr>
            <w:tcW w:w="1213" w:type="pct"/>
            <w:vMerge w:val="continue"/>
            <w:vAlign w:val="center"/>
          </w:tcPr>
          <w:p>
            <w:pPr>
              <w:pStyle w:val="44"/>
              <w:rPr>
                <w:snapToGrid w:val="0"/>
                <w:kern w:val="0"/>
              </w:rPr>
            </w:pPr>
          </w:p>
        </w:tc>
        <w:tc>
          <w:tcPr>
            <w:tcW w:w="1240" w:type="pct"/>
            <w:vMerge w:val="continue"/>
            <w:vAlign w:val="center"/>
          </w:tcPr>
          <w:p>
            <w:pPr>
              <w:pStyle w:val="44"/>
              <w:rPr>
                <w:snapToGrid w:val="0"/>
                <w:kern w:val="0"/>
              </w:rPr>
            </w:pPr>
          </w:p>
        </w:tc>
      </w:tr>
    </w:tbl>
    <w:p>
      <w:pPr>
        <w:pStyle w:val="64"/>
        <w:jc w:val="center"/>
      </w:pPr>
      <w:r>
        <w:drawing>
          <wp:inline distT="0" distB="0" distL="114300" distR="114300">
            <wp:extent cx="5391150" cy="3409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5391150" cy="3409950"/>
                    </a:xfrm>
                    <a:prstGeom prst="rect">
                      <a:avLst/>
                    </a:prstGeom>
                    <a:noFill/>
                    <a:ln>
                      <a:noFill/>
                    </a:ln>
                  </pic:spPr>
                </pic:pic>
              </a:graphicData>
            </a:graphic>
          </wp:inline>
        </w:drawing>
      </w:r>
    </w:p>
    <w:p>
      <w:pPr>
        <w:pStyle w:val="64"/>
        <w:spacing w:line="240" w:lineRule="auto"/>
        <w:jc w:val="center"/>
        <w:rPr>
          <w:rFonts w:hint="eastAsia" w:ascii="Times New Roman" w:hAnsi="Times New Roman" w:eastAsia="宋体" w:cs="Times New Roman"/>
          <w:color w:val="auto"/>
          <w:kern w:val="0"/>
          <w:sz w:val="24"/>
          <w:szCs w:val="24"/>
          <w:lang w:val="en-US" w:eastAsia="zh-CN" w:bidi="ar-SA"/>
        </w:rPr>
        <w:sectPr>
          <w:footerReference r:id="rId5" w:type="default"/>
          <w:pgSz w:w="11906" w:h="16838"/>
          <w:pgMar w:top="1701" w:right="1418" w:bottom="1701" w:left="1418" w:header="851" w:footer="992" w:gutter="0"/>
          <w:cols w:space="425" w:num="1"/>
          <w:docGrid w:type="lines" w:linePitch="312" w:charSpace="0"/>
        </w:sectPr>
      </w:pPr>
      <w:bookmarkStart w:id="143" w:name="_Toc3776"/>
      <w:r>
        <w:rPr>
          <w:rFonts w:hint="eastAsia" w:ascii="Times New Roman" w:hAnsi="Times New Roman" w:eastAsia="宋体" w:cs="Times New Roman"/>
          <w:color w:val="auto"/>
          <w:kern w:val="0"/>
          <w:sz w:val="24"/>
          <w:szCs w:val="24"/>
          <w:lang w:val="en-US" w:eastAsia="zh-CN" w:bidi="ar-SA"/>
        </w:rPr>
        <w:t>图7.1  监测点位图</w:t>
      </w:r>
      <w:bookmarkEnd w:id="143"/>
    </w:p>
    <w:p>
      <w:pPr>
        <w:pStyle w:val="63"/>
        <w:spacing w:beforeLines="50"/>
        <w:rPr>
          <w:rFonts w:hint="eastAsia" w:ascii="Times New Roman" w:hAnsi="Times New Roman" w:cs="Times New Roman"/>
          <w:sz w:val="36"/>
        </w:rPr>
      </w:pPr>
      <w:bookmarkStart w:id="144" w:name="_Toc333588664"/>
      <w:bookmarkStart w:id="145" w:name="_Toc312829623"/>
      <w:bookmarkStart w:id="146" w:name="_Toc333501123"/>
      <w:bookmarkStart w:id="147" w:name="_Toc27659"/>
      <w:bookmarkStart w:id="148" w:name="_Toc333501412"/>
      <w:r>
        <w:rPr>
          <w:rFonts w:hint="eastAsia" w:ascii="Times New Roman" w:hAnsi="Times New Roman" w:cs="Times New Roman"/>
          <w:sz w:val="36"/>
        </w:rPr>
        <w:t>8质量保证及质量控制</w:t>
      </w:r>
      <w:bookmarkEnd w:id="144"/>
      <w:bookmarkEnd w:id="145"/>
      <w:bookmarkEnd w:id="146"/>
      <w:bookmarkEnd w:id="147"/>
      <w:bookmarkEnd w:id="148"/>
    </w:p>
    <w:p>
      <w:pPr>
        <w:pStyle w:val="64"/>
        <w:spacing w:after="40"/>
        <w:rPr>
          <w:rFonts w:cs="Times New Roman"/>
          <w:color w:val="auto"/>
          <w:sz w:val="32"/>
        </w:rPr>
      </w:pPr>
      <w:bookmarkStart w:id="149" w:name="_Toc333501124"/>
      <w:bookmarkStart w:id="150" w:name="_Toc16762"/>
      <w:bookmarkStart w:id="151" w:name="_Toc312829624"/>
      <w:bookmarkStart w:id="152" w:name="_Toc333588665"/>
      <w:bookmarkStart w:id="153" w:name="_Toc333501413"/>
      <w:r>
        <w:rPr>
          <w:rFonts w:hint="eastAsia" w:cs="Times New Roman"/>
          <w:color w:val="auto"/>
          <w:sz w:val="32"/>
        </w:rPr>
        <w:t>8</w:t>
      </w:r>
      <w:r>
        <w:rPr>
          <w:rFonts w:cs="Times New Roman"/>
          <w:color w:val="auto"/>
          <w:sz w:val="32"/>
        </w:rPr>
        <w:t>.1 监测分析方法</w:t>
      </w:r>
      <w:bookmarkEnd w:id="149"/>
      <w:bookmarkEnd w:id="150"/>
      <w:bookmarkEnd w:id="151"/>
      <w:bookmarkEnd w:id="152"/>
      <w:bookmarkEnd w:id="153"/>
    </w:p>
    <w:p>
      <w:pPr>
        <w:spacing w:line="540" w:lineRule="exact"/>
        <w:ind w:firstLine="561"/>
        <w:rPr>
          <w:kern w:val="0"/>
          <w:sz w:val="24"/>
          <w:szCs w:val="24"/>
        </w:rPr>
      </w:pPr>
      <w:r>
        <w:rPr>
          <w:kern w:val="0"/>
          <w:sz w:val="24"/>
          <w:szCs w:val="24"/>
        </w:rPr>
        <w:t>按国家污染物排放标准、环境质量标准和环境监测技术规范要求，</w:t>
      </w:r>
      <w:r>
        <w:rPr>
          <w:rFonts w:hint="eastAsia"/>
          <w:kern w:val="0"/>
          <w:sz w:val="24"/>
          <w:szCs w:val="24"/>
        </w:rPr>
        <w:t>废水、无组织废气、噪声检测项目、检测方法来源</w:t>
      </w:r>
      <w:r>
        <w:rPr>
          <w:rFonts w:hint="eastAsia"/>
          <w:kern w:val="0"/>
          <w:sz w:val="24"/>
          <w:szCs w:val="24"/>
          <w:lang w:eastAsia="zh-CN"/>
        </w:rPr>
        <w:t>见</w:t>
      </w:r>
      <w:r>
        <w:rPr>
          <w:kern w:val="0"/>
          <w:sz w:val="24"/>
          <w:szCs w:val="24"/>
        </w:rPr>
        <w:t>表</w:t>
      </w:r>
      <w:r>
        <w:rPr>
          <w:rFonts w:hint="eastAsia"/>
          <w:kern w:val="0"/>
          <w:sz w:val="24"/>
          <w:szCs w:val="24"/>
        </w:rPr>
        <w:t>8</w:t>
      </w:r>
      <w:r>
        <w:rPr>
          <w:kern w:val="0"/>
          <w:sz w:val="24"/>
          <w:szCs w:val="24"/>
        </w:rPr>
        <w:t>-1。</w:t>
      </w:r>
    </w:p>
    <w:p>
      <w:pPr>
        <w:spacing w:line="540" w:lineRule="exact"/>
        <w:ind w:firstLine="463" w:firstLineChars="192"/>
        <w:jc w:val="center"/>
        <w:rPr>
          <w:rFonts w:hAnsiTheme="minorEastAsia" w:eastAsiaTheme="minorEastAsia"/>
          <w:b/>
          <w:sz w:val="24"/>
          <w:szCs w:val="24"/>
        </w:rPr>
      </w:pPr>
      <w:r>
        <w:rPr>
          <w:rFonts w:hAnsiTheme="minorEastAsia" w:eastAsiaTheme="minorEastAsia"/>
          <w:b/>
          <w:sz w:val="24"/>
          <w:szCs w:val="24"/>
        </w:rPr>
        <w:t>表</w:t>
      </w:r>
      <w:r>
        <w:rPr>
          <w:rFonts w:hint="eastAsia" w:hAnsiTheme="minorEastAsia" w:eastAsiaTheme="minorEastAsia"/>
          <w:b/>
          <w:sz w:val="24"/>
          <w:szCs w:val="24"/>
        </w:rPr>
        <w:t>8</w:t>
      </w:r>
      <w:r>
        <w:rPr>
          <w:rFonts w:hAnsiTheme="minorEastAsia" w:eastAsiaTheme="minorEastAsia"/>
          <w:b/>
          <w:sz w:val="24"/>
          <w:szCs w:val="24"/>
        </w:rPr>
        <w:t xml:space="preserve">-1   </w:t>
      </w:r>
      <w:r>
        <w:rPr>
          <w:rFonts w:hint="eastAsia" w:hAnsiTheme="minorEastAsia" w:eastAsiaTheme="minorEastAsia"/>
          <w:b/>
          <w:sz w:val="24"/>
          <w:szCs w:val="24"/>
        </w:rPr>
        <w:t>废水、无组织废气、噪声检测项目、检测方法来源</w:t>
      </w:r>
      <w:r>
        <w:rPr>
          <w:rFonts w:hAnsiTheme="minorEastAsia" w:eastAsiaTheme="minorEastAsia"/>
          <w:b/>
          <w:sz w:val="24"/>
          <w:szCs w:val="24"/>
        </w:rPr>
        <w:t>一览表</w:t>
      </w:r>
    </w:p>
    <w:tbl>
      <w:tblPr>
        <w:tblStyle w:val="28"/>
        <w:tblW w:w="4996" w:type="pct"/>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141"/>
        <w:gridCol w:w="1452"/>
        <w:gridCol w:w="5182"/>
        <w:gridCol w:w="728"/>
        <w:gridCol w:w="776"/>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tblHeader/>
          <w:jc w:val="center"/>
        </w:trPr>
        <w:tc>
          <w:tcPr>
            <w:tcW w:w="61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检测类别</w:t>
            </w:r>
          </w:p>
        </w:tc>
        <w:tc>
          <w:tcPr>
            <w:tcW w:w="78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项目名称</w:t>
            </w:r>
          </w:p>
        </w:tc>
        <w:tc>
          <w:tcPr>
            <w:tcW w:w="279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b/>
                <w:kern w:val="0"/>
                <w:sz w:val="21"/>
                <w:szCs w:val="21"/>
                <w:lang w:val="en-US" w:eastAsia="zh-CN"/>
              </w:rPr>
            </w:pPr>
            <w:r>
              <w:rPr>
                <w:rFonts w:hint="default" w:ascii="Times New Roman" w:hAnsi="Times New Roman" w:eastAsia="宋体" w:cs="Times New Roman"/>
                <w:b/>
                <w:kern w:val="0"/>
                <w:sz w:val="21"/>
                <w:szCs w:val="21"/>
                <w:lang w:val="en-US" w:eastAsia="zh-CN"/>
              </w:rPr>
              <w:t>检测方法来源</w:t>
            </w:r>
          </w:p>
        </w:tc>
        <w:tc>
          <w:tcPr>
            <w:tcW w:w="81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检出限及单位</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15"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废水</w:t>
            </w:r>
          </w:p>
        </w:tc>
        <w:tc>
          <w:tcPr>
            <w:tcW w:w="782" w:type="pct"/>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720"/>
              </w:tabs>
              <w:autoSpaceDE w:val="0"/>
              <w:autoSpaceDN w:val="0"/>
              <w:adjustRightInd w:val="0"/>
              <w:snapToGrid w:val="0"/>
              <w:spacing w:line="240" w:lineRule="exact"/>
              <w:jc w:val="center"/>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color w:val="000000"/>
                <w:kern w:val="0"/>
                <w:sz w:val="21"/>
                <w:szCs w:val="21"/>
                <w:highlight w:val="none"/>
                <w:lang w:val="en-US" w:eastAsia="zh-CN"/>
              </w:rPr>
              <w:t>样品</w:t>
            </w:r>
            <w:r>
              <w:rPr>
                <w:rFonts w:hint="default" w:ascii="Times New Roman" w:hAnsi="Times New Roman" w:eastAsia="宋体" w:cs="Times New Roman"/>
                <w:color w:val="000000"/>
                <w:kern w:val="0"/>
                <w:sz w:val="21"/>
                <w:szCs w:val="21"/>
                <w:highlight w:val="none"/>
              </w:rPr>
              <w:t>采集</w:t>
            </w:r>
          </w:p>
        </w:tc>
        <w:tc>
          <w:tcPr>
            <w:tcW w:w="2791" w:type="pct"/>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720"/>
                <w:tab w:val="left" w:pos="1080"/>
                <w:tab w:val="left" w:pos="1440"/>
                <w:tab w:val="left" w:pos="1800"/>
                <w:tab w:val="left" w:pos="2160"/>
                <w:tab w:val="left" w:pos="2520"/>
              </w:tabs>
              <w:autoSpaceDE w:val="0"/>
              <w:autoSpaceDN w:val="0"/>
              <w:adjustRightInd w:val="0"/>
              <w:snapToGrid w:val="0"/>
              <w:spacing w:line="240" w:lineRule="exact"/>
              <w:jc w:val="center"/>
              <w:rPr>
                <w:rFonts w:hint="default" w:ascii="Times New Roman" w:hAnsi="Times New Roman" w:eastAsia="宋体" w:cs="Times New Roman"/>
                <w:bCs/>
                <w:kern w:val="0"/>
                <w:sz w:val="21"/>
                <w:szCs w:val="21"/>
                <w:lang w:val="en-US"/>
              </w:rPr>
            </w:pPr>
            <w:r>
              <w:rPr>
                <w:rFonts w:hint="default" w:ascii="Times New Roman" w:hAnsi="Times New Roman" w:eastAsia="宋体" w:cs="Times New Roman"/>
                <w:color w:val="auto"/>
                <w:kern w:val="0"/>
                <w:sz w:val="21"/>
                <w:szCs w:val="21"/>
                <w:highlight w:val="none"/>
                <w:lang w:val="en-US" w:eastAsia="zh-CN"/>
              </w:rPr>
              <w:t xml:space="preserve">污水监测技术规范 </w:t>
            </w:r>
            <w:r>
              <w:rPr>
                <w:rFonts w:hint="default" w:ascii="Times New Roman" w:hAnsi="Times New Roman" w:eastAsia="宋体" w:cs="Times New Roman"/>
                <w:bCs/>
                <w:color w:val="auto"/>
                <w:kern w:val="0"/>
                <w:sz w:val="21"/>
                <w:szCs w:val="21"/>
                <w:highlight w:val="none"/>
                <w:lang w:val="en-US" w:eastAsia="zh-CN"/>
              </w:rPr>
              <w:t>HJ 91.1-2019</w:t>
            </w:r>
          </w:p>
        </w:tc>
        <w:tc>
          <w:tcPr>
            <w:tcW w:w="392" w:type="pct"/>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720"/>
                <w:tab w:val="left" w:pos="1080"/>
                <w:tab w:val="left" w:pos="1440"/>
                <w:tab w:val="left" w:pos="1800"/>
                <w:tab w:val="left" w:pos="2160"/>
              </w:tabs>
              <w:autoSpaceDE w:val="0"/>
              <w:autoSpaceDN w:val="0"/>
              <w:adjustRightInd w:val="0"/>
              <w:snapToGrid w:val="0"/>
              <w:spacing w:line="240" w:lineRule="exact"/>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w:t>
            </w:r>
          </w:p>
        </w:tc>
        <w:tc>
          <w:tcPr>
            <w:tcW w:w="41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Cs/>
                <w:kern w:val="0"/>
                <w:sz w:val="21"/>
                <w:szCs w:val="21"/>
                <w:lang w:val="en-US" w:eastAsia="zh-CN"/>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1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bCs/>
                <w:kern w:val="0"/>
                <w:sz w:val="21"/>
                <w:szCs w:val="21"/>
              </w:rPr>
            </w:pPr>
          </w:p>
        </w:tc>
        <w:tc>
          <w:tcPr>
            <w:tcW w:w="782" w:type="pct"/>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720"/>
              </w:tabs>
              <w:autoSpaceDE w:val="0"/>
              <w:autoSpaceDN w:val="0"/>
              <w:adjustRightInd w:val="0"/>
              <w:spacing w:line="240" w:lineRule="exact"/>
              <w:jc w:val="center"/>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rPr>
              <w:t>氨氮</w:t>
            </w:r>
          </w:p>
        </w:tc>
        <w:tc>
          <w:tcPr>
            <w:tcW w:w="2791" w:type="pct"/>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720"/>
                <w:tab w:val="left" w:pos="1080"/>
                <w:tab w:val="left" w:pos="1440"/>
                <w:tab w:val="left" w:pos="1800"/>
                <w:tab w:val="left" w:pos="2160"/>
                <w:tab w:val="left" w:pos="2520"/>
              </w:tabs>
              <w:autoSpaceDE w:val="0"/>
              <w:autoSpaceDN w:val="0"/>
              <w:adjustRightInd w:val="0"/>
              <w:spacing w:line="240" w:lineRule="exact"/>
              <w:jc w:val="center"/>
              <w:rPr>
                <w:rFonts w:hint="default" w:ascii="Times New Roman" w:hAnsi="Times New Roman" w:eastAsia="宋体" w:cs="Times New Roman"/>
                <w:kern w:val="0"/>
                <w:sz w:val="21"/>
                <w:szCs w:val="21"/>
                <w:highlight w:val="none"/>
                <w:lang w:val="en-US" w:eastAsia="zh-CN"/>
              </w:rPr>
            </w:pPr>
            <w:r>
              <w:rPr>
                <w:rFonts w:hint="default" w:ascii="Times New Roman" w:hAnsi="Times New Roman" w:eastAsia="宋体" w:cs="Times New Roman"/>
                <w:kern w:val="0"/>
                <w:sz w:val="21"/>
                <w:szCs w:val="21"/>
                <w:highlight w:val="none"/>
              </w:rPr>
              <w:t xml:space="preserve">水质 氨氮的测定 </w:t>
            </w:r>
            <w:r>
              <w:rPr>
                <w:rFonts w:hint="default" w:ascii="Times New Roman" w:hAnsi="Times New Roman" w:eastAsia="宋体" w:cs="Times New Roman"/>
                <w:kern w:val="0"/>
                <w:sz w:val="21"/>
                <w:szCs w:val="21"/>
                <w:highlight w:val="none"/>
                <w:lang w:val="en-US" w:eastAsia="zh-CN"/>
              </w:rPr>
              <w:t>纳氏试剂分光光度法 HJ 535-2009</w:t>
            </w:r>
          </w:p>
        </w:tc>
        <w:tc>
          <w:tcPr>
            <w:tcW w:w="392" w:type="pc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highlight w:val="none"/>
                <w:lang w:val="en-US" w:eastAsia="zh-CN"/>
              </w:rPr>
              <w:t>0.025</w:t>
            </w:r>
          </w:p>
        </w:tc>
        <w:tc>
          <w:tcPr>
            <w:tcW w:w="418" w:type="pc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highlight w:val="none"/>
              </w:rPr>
              <w:t>mg/L</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1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bCs/>
                <w:kern w:val="0"/>
                <w:sz w:val="21"/>
                <w:szCs w:val="21"/>
              </w:rPr>
            </w:pPr>
          </w:p>
        </w:tc>
        <w:tc>
          <w:tcPr>
            <w:tcW w:w="782" w:type="pct"/>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720"/>
              </w:tabs>
              <w:autoSpaceDE w:val="0"/>
              <w:autoSpaceDN w:val="0"/>
              <w:adjustRightInd w:val="0"/>
              <w:spacing w:line="240" w:lineRule="exact"/>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bCs/>
                <w:kern w:val="0"/>
                <w:sz w:val="21"/>
                <w:szCs w:val="21"/>
                <w:highlight w:val="none"/>
                <w:lang w:val="en-US" w:eastAsia="zh-CN"/>
              </w:rPr>
              <w:t>悬浮物</w:t>
            </w:r>
          </w:p>
        </w:tc>
        <w:tc>
          <w:tcPr>
            <w:tcW w:w="279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0"/>
                <w:sz w:val="21"/>
                <w:szCs w:val="21"/>
                <w:highlight w:val="none"/>
              </w:rPr>
              <w:t>水质 悬浮物的测定 重量法</w:t>
            </w:r>
            <w:r>
              <w:rPr>
                <w:rFonts w:hint="default" w:ascii="Times New Roman" w:hAnsi="Times New Roman" w:eastAsia="宋体" w:cs="Times New Roman"/>
                <w:kern w:val="0"/>
                <w:sz w:val="21"/>
                <w:szCs w:val="21"/>
                <w:highlight w:val="none"/>
                <w:lang w:val="en-US" w:eastAsia="zh-CN"/>
              </w:rPr>
              <w:t xml:space="preserve"> </w:t>
            </w:r>
            <w:r>
              <w:rPr>
                <w:rFonts w:hint="default" w:ascii="Times New Roman" w:hAnsi="Times New Roman" w:eastAsia="宋体" w:cs="Times New Roman"/>
                <w:kern w:val="0"/>
                <w:sz w:val="21"/>
                <w:szCs w:val="21"/>
                <w:highlight w:val="none"/>
              </w:rPr>
              <w:t>GB/T</w:t>
            </w:r>
            <w:r>
              <w:rPr>
                <w:rFonts w:hint="default" w:ascii="Times New Roman" w:hAnsi="Times New Roman" w:eastAsia="宋体" w:cs="Times New Roman"/>
                <w:kern w:val="0"/>
                <w:sz w:val="21"/>
                <w:szCs w:val="21"/>
                <w:highlight w:val="none"/>
                <w:lang w:val="en-US" w:eastAsia="zh-CN"/>
              </w:rPr>
              <w:t xml:space="preserve"> </w:t>
            </w:r>
            <w:r>
              <w:rPr>
                <w:rFonts w:hint="default" w:ascii="Times New Roman" w:hAnsi="Times New Roman" w:eastAsia="宋体" w:cs="Times New Roman"/>
                <w:kern w:val="0"/>
                <w:sz w:val="21"/>
                <w:szCs w:val="21"/>
                <w:highlight w:val="none"/>
              </w:rPr>
              <w:t>11901-1989</w:t>
            </w:r>
          </w:p>
        </w:tc>
        <w:tc>
          <w:tcPr>
            <w:tcW w:w="392" w:type="pc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bCs/>
                <w:kern w:val="0"/>
                <w:sz w:val="21"/>
                <w:szCs w:val="21"/>
              </w:rPr>
              <w:t>4</w:t>
            </w:r>
          </w:p>
        </w:tc>
        <w:tc>
          <w:tcPr>
            <w:tcW w:w="418" w:type="pc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rPr>
              <w:t>mg/L</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1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bCs/>
                <w:kern w:val="0"/>
                <w:sz w:val="21"/>
                <w:szCs w:val="21"/>
              </w:rPr>
            </w:pPr>
          </w:p>
        </w:tc>
        <w:tc>
          <w:tcPr>
            <w:tcW w:w="78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化学需氧量</w:t>
            </w:r>
          </w:p>
        </w:tc>
        <w:tc>
          <w:tcPr>
            <w:tcW w:w="2791"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水质 化学需氧量的测定 重铬酸盐法</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HJ</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828-2017</w:t>
            </w:r>
          </w:p>
        </w:tc>
        <w:tc>
          <w:tcPr>
            <w:tcW w:w="392" w:type="pc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rPr>
              <w:t>4</w:t>
            </w:r>
          </w:p>
        </w:tc>
        <w:tc>
          <w:tcPr>
            <w:tcW w:w="418" w:type="pc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rPr>
              <w:t>mg/L</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1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bCs/>
                <w:kern w:val="0"/>
                <w:sz w:val="21"/>
                <w:szCs w:val="21"/>
              </w:rPr>
            </w:pPr>
          </w:p>
        </w:tc>
        <w:tc>
          <w:tcPr>
            <w:tcW w:w="78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石油类</w:t>
            </w:r>
          </w:p>
        </w:tc>
        <w:tc>
          <w:tcPr>
            <w:tcW w:w="279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水质 石油类和动植物油类的测定 红外分光光度法</w:t>
            </w:r>
            <w:r>
              <w:rPr>
                <w:rFonts w:hint="default" w:ascii="Times New Roman" w:hAnsi="Times New Roman" w:eastAsia="宋体" w:cs="Times New Roman"/>
                <w:kern w:val="0"/>
                <w:sz w:val="21"/>
                <w:szCs w:val="21"/>
              </w:rPr>
              <w:tab/>
            </w:r>
            <w:r>
              <w:rPr>
                <w:rFonts w:hint="default" w:ascii="Times New Roman" w:hAnsi="Times New Roman" w:eastAsia="宋体" w:cs="Times New Roman"/>
                <w:kern w:val="0"/>
                <w:sz w:val="21"/>
                <w:szCs w:val="21"/>
              </w:rPr>
              <w:t xml:space="preserve"> HJ 637-2018</w:t>
            </w:r>
          </w:p>
        </w:tc>
        <w:tc>
          <w:tcPr>
            <w:tcW w:w="392" w:type="pc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rPr>
              <w:t>0.06</w:t>
            </w:r>
          </w:p>
        </w:tc>
        <w:tc>
          <w:tcPr>
            <w:tcW w:w="418" w:type="pc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rPr>
              <w:t>mg/L</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1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bCs/>
                <w:kern w:val="0"/>
                <w:sz w:val="21"/>
                <w:szCs w:val="21"/>
              </w:rPr>
            </w:pPr>
          </w:p>
        </w:tc>
        <w:tc>
          <w:tcPr>
            <w:tcW w:w="782" w:type="pct"/>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720"/>
              </w:tabs>
              <w:autoSpaceDE w:val="0"/>
              <w:autoSpaceDN w:val="0"/>
              <w:adjustRightInd w:val="0"/>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rPr>
              <w:t>五日生化需氧量</w:t>
            </w:r>
          </w:p>
        </w:tc>
        <w:tc>
          <w:tcPr>
            <w:tcW w:w="2791" w:type="pct"/>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720"/>
                <w:tab w:val="left" w:pos="1080"/>
                <w:tab w:val="left" w:pos="1440"/>
                <w:tab w:val="left" w:pos="1800"/>
                <w:tab w:val="left" w:pos="2160"/>
                <w:tab w:val="left" w:pos="2520"/>
              </w:tabs>
              <w:autoSpaceDE w:val="0"/>
              <w:autoSpaceDN w:val="0"/>
              <w:adjustRightInd w:val="0"/>
              <w:spacing w:line="240" w:lineRule="exact"/>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0"/>
                <w:sz w:val="21"/>
                <w:szCs w:val="21"/>
              </w:rPr>
              <w:t>水质 五日生化需氧量(BOD</w:t>
            </w:r>
            <w:r>
              <w:rPr>
                <w:rFonts w:hint="default" w:ascii="Times New Roman" w:hAnsi="Times New Roman" w:eastAsia="宋体" w:cs="Times New Roman"/>
                <w:kern w:val="0"/>
                <w:sz w:val="21"/>
                <w:szCs w:val="21"/>
                <w:vertAlign w:val="subscript"/>
              </w:rPr>
              <w:t>5</w:t>
            </w:r>
            <w:r>
              <w:rPr>
                <w:rFonts w:hint="default" w:ascii="Times New Roman" w:hAnsi="Times New Roman" w:eastAsia="宋体" w:cs="Times New Roman"/>
                <w:kern w:val="0"/>
                <w:sz w:val="21"/>
                <w:szCs w:val="21"/>
              </w:rPr>
              <w:t>)的测定</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稀释与接种法</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HJ</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505-2009</w:t>
            </w:r>
          </w:p>
        </w:tc>
        <w:tc>
          <w:tcPr>
            <w:tcW w:w="392" w:type="pc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rPr>
              <w:t>0.5</w:t>
            </w:r>
          </w:p>
        </w:tc>
        <w:tc>
          <w:tcPr>
            <w:tcW w:w="418" w:type="pct"/>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default" w:ascii="Times New Roman" w:hAnsi="Times New Roman" w:eastAsia="宋体" w:cs="Times New Roman"/>
                <w:bCs/>
                <w:kern w:val="0"/>
                <w:sz w:val="21"/>
                <w:szCs w:val="21"/>
                <w:lang w:val="en-US" w:eastAsia="zh-CN" w:bidi="ar-SA"/>
              </w:rPr>
            </w:pPr>
            <w:r>
              <w:rPr>
                <w:rFonts w:hint="default" w:ascii="Times New Roman" w:hAnsi="Times New Roman" w:eastAsia="宋体" w:cs="Times New Roman"/>
                <w:bCs/>
                <w:kern w:val="0"/>
                <w:sz w:val="21"/>
                <w:szCs w:val="21"/>
              </w:rPr>
              <w:t>mg/L</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15"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240" w:lineRule="exact"/>
              <w:ind w:right="0" w:rightChars="0" w:firstLine="0" w:firstLineChars="0"/>
              <w:jc w:val="center"/>
              <w:textAlignment w:val="auto"/>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无组织废气</w:t>
            </w:r>
          </w:p>
        </w:tc>
        <w:tc>
          <w:tcPr>
            <w:tcW w:w="7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color w:val="000000"/>
                <w:kern w:val="0"/>
                <w:sz w:val="21"/>
                <w:szCs w:val="21"/>
                <w:highlight w:val="none"/>
              </w:rPr>
              <w:t>现场采集</w:t>
            </w:r>
          </w:p>
        </w:tc>
        <w:tc>
          <w:tcPr>
            <w:tcW w:w="2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240" w:lineRule="exact"/>
              <w:ind w:right="0" w:rightChars="0" w:firstLine="0" w:firstLineChars="0"/>
              <w:jc w:val="center"/>
              <w:textAlignment w:val="auto"/>
              <w:rPr>
                <w:rFonts w:hint="default" w:ascii="Times New Roman" w:hAnsi="Times New Roman" w:eastAsia="宋体" w:cs="Times New Roman"/>
                <w:bCs/>
                <w:kern w:val="0"/>
                <w:sz w:val="21"/>
                <w:szCs w:val="21"/>
                <w:highlight w:val="none"/>
                <w:lang w:val="en-US" w:eastAsia="zh-CN"/>
              </w:rPr>
            </w:pPr>
            <w:r>
              <w:rPr>
                <w:rFonts w:hint="default" w:ascii="Times New Roman" w:hAnsi="Times New Roman" w:eastAsia="宋体" w:cs="Times New Roman"/>
                <w:bCs/>
                <w:kern w:val="0"/>
                <w:sz w:val="21"/>
                <w:szCs w:val="21"/>
                <w:highlight w:val="none"/>
                <w:lang w:val="en-US" w:eastAsia="zh-CN"/>
              </w:rPr>
              <w:t>大气污染物无组织排放监测技术导则 HJ/T 55-2000</w:t>
            </w:r>
          </w:p>
        </w:tc>
        <w:tc>
          <w:tcPr>
            <w:tcW w:w="39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bCs/>
                <w:kern w:val="0"/>
                <w:sz w:val="21"/>
                <w:szCs w:val="21"/>
                <w:highlight w:val="none"/>
                <w:lang w:val="en-US" w:eastAsia="zh-CN"/>
              </w:rPr>
            </w:pPr>
            <w:r>
              <w:rPr>
                <w:rFonts w:hint="default" w:ascii="Times New Roman" w:hAnsi="Times New Roman" w:eastAsia="宋体" w:cs="Times New Roman"/>
                <w:bCs/>
                <w:kern w:val="0"/>
                <w:sz w:val="21"/>
                <w:szCs w:val="21"/>
                <w:highlight w:val="none"/>
                <w:lang w:val="en-US" w:eastAsia="zh-CN"/>
              </w:rPr>
              <w:t>\</w:t>
            </w:r>
          </w:p>
        </w:tc>
        <w:tc>
          <w:tcPr>
            <w:tcW w:w="4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lang w:val="en-US" w:eastAsia="zh-CN"/>
              </w:rPr>
              <w:t>\</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240" w:lineRule="exact"/>
              <w:ind w:right="0" w:rightChars="0" w:firstLine="0" w:firstLineChars="0"/>
              <w:jc w:val="center"/>
              <w:textAlignment w:val="auto"/>
              <w:rPr>
                <w:rFonts w:hint="default" w:ascii="Times New Roman" w:hAnsi="Times New Roman" w:eastAsia="宋体" w:cs="Times New Roman"/>
                <w:bCs/>
                <w:kern w:val="0"/>
                <w:sz w:val="21"/>
                <w:szCs w:val="21"/>
                <w:lang w:val="en-US" w:eastAsia="zh-CN"/>
              </w:rPr>
            </w:pPr>
          </w:p>
        </w:tc>
        <w:tc>
          <w:tcPr>
            <w:tcW w:w="7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非甲烷总烃</w:t>
            </w:r>
          </w:p>
        </w:tc>
        <w:tc>
          <w:tcPr>
            <w:tcW w:w="2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240" w:lineRule="exact"/>
              <w:ind w:right="0" w:rightChars="0" w:firstLine="0" w:firstLineChars="0"/>
              <w:jc w:val="center"/>
              <w:textAlignment w:val="auto"/>
              <w:rPr>
                <w:rFonts w:hint="default" w:ascii="Times New Roman" w:hAnsi="Times New Roman" w:eastAsia="宋体" w:cs="Times New Roman"/>
                <w:bCs/>
                <w:kern w:val="0"/>
                <w:sz w:val="21"/>
                <w:szCs w:val="21"/>
                <w:highlight w:val="none"/>
                <w:lang w:val="en-US" w:eastAsia="zh-CN"/>
              </w:rPr>
            </w:pPr>
            <w:r>
              <w:rPr>
                <w:rFonts w:hint="default" w:ascii="Times New Roman" w:hAnsi="Times New Roman" w:eastAsia="宋体" w:cs="Times New Roman"/>
                <w:bCs/>
                <w:kern w:val="0"/>
                <w:sz w:val="21"/>
                <w:szCs w:val="21"/>
                <w:highlight w:val="none"/>
                <w:lang w:val="en-US" w:eastAsia="zh-CN"/>
              </w:rPr>
              <w:t xml:space="preserve">环境空气 </w:t>
            </w:r>
            <w:r>
              <w:rPr>
                <w:rFonts w:hint="default" w:ascii="Times New Roman" w:hAnsi="Times New Roman" w:eastAsia="宋体" w:cs="Times New Roman"/>
                <w:bCs/>
                <w:kern w:val="0"/>
                <w:sz w:val="21"/>
                <w:szCs w:val="21"/>
                <w:lang w:val="en-US" w:eastAsia="zh-CN"/>
              </w:rPr>
              <w:t>总烃、甲烷和非甲烷总烃的测定 直接进样-气相色谱法HJ 604-2017</w:t>
            </w:r>
          </w:p>
        </w:tc>
        <w:tc>
          <w:tcPr>
            <w:tcW w:w="3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240" w:lineRule="exact"/>
              <w:ind w:right="0" w:rightChars="0" w:firstLine="0" w:firstLineChars="0"/>
              <w:jc w:val="center"/>
              <w:textAlignment w:val="auto"/>
              <w:rPr>
                <w:rFonts w:hint="default" w:ascii="Times New Roman" w:hAnsi="Times New Roman" w:eastAsia="宋体" w:cs="Times New Roman"/>
                <w:bCs/>
                <w:kern w:val="0"/>
                <w:sz w:val="21"/>
                <w:szCs w:val="21"/>
                <w:highlight w:val="none"/>
                <w:lang w:val="en-US" w:eastAsia="zh-CN"/>
              </w:rPr>
            </w:pPr>
            <w:r>
              <w:rPr>
                <w:rFonts w:hint="default" w:ascii="Times New Roman" w:hAnsi="Times New Roman" w:eastAsia="宋体" w:cs="Times New Roman"/>
                <w:bCs/>
                <w:kern w:val="0"/>
                <w:sz w:val="21"/>
                <w:szCs w:val="21"/>
                <w:highlight w:val="none"/>
                <w:lang w:val="en-US" w:eastAsia="zh-CN"/>
              </w:rPr>
              <w:t>0.07</w:t>
            </w:r>
          </w:p>
        </w:tc>
        <w:tc>
          <w:tcPr>
            <w:tcW w:w="4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240" w:lineRule="exact"/>
              <w:ind w:right="0" w:rightChars="0" w:firstLine="0" w:firstLineChars="0"/>
              <w:jc w:val="center"/>
              <w:textAlignment w:val="auto"/>
              <w:rPr>
                <w:rFonts w:hint="default" w:ascii="Times New Roman" w:hAnsi="Times New Roman" w:eastAsia="宋体" w:cs="Times New Roman"/>
                <w:bCs/>
                <w:kern w:val="0"/>
                <w:sz w:val="21"/>
                <w:szCs w:val="21"/>
                <w:highlight w:val="none"/>
                <w:lang w:val="en-US" w:eastAsia="zh-CN"/>
              </w:rPr>
            </w:pPr>
            <w:r>
              <w:rPr>
                <w:rFonts w:hint="default" w:ascii="Times New Roman" w:hAnsi="Times New Roman" w:eastAsia="宋体" w:cs="Times New Roman"/>
                <w:bCs/>
                <w:kern w:val="0"/>
                <w:sz w:val="21"/>
                <w:szCs w:val="21"/>
                <w:highlight w:val="none"/>
                <w:lang w:val="en-US" w:eastAsia="zh-CN"/>
              </w:rPr>
              <w:t>mg/m</w:t>
            </w:r>
            <w:r>
              <w:rPr>
                <w:rFonts w:hint="default" w:ascii="Times New Roman" w:hAnsi="Times New Roman" w:eastAsia="宋体" w:cs="Times New Roman"/>
                <w:bCs/>
                <w:kern w:val="0"/>
                <w:sz w:val="21"/>
                <w:szCs w:val="21"/>
                <w:highlight w:val="none"/>
                <w:vertAlign w:val="superscript"/>
                <w:lang w:val="en-US" w:eastAsia="zh-CN"/>
              </w:rPr>
              <w:t>3</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6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240" w:lineRule="exact"/>
              <w:ind w:right="0" w:rightChars="0" w:firstLine="0" w:firstLineChars="0"/>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val="en-US" w:eastAsia="zh-CN"/>
              </w:rPr>
              <w:t>噪声</w:t>
            </w:r>
          </w:p>
        </w:tc>
        <w:tc>
          <w:tcPr>
            <w:tcW w:w="78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240" w:lineRule="exact"/>
              <w:ind w:right="0" w:rightChars="0"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kern w:val="0"/>
                <w:sz w:val="21"/>
                <w:szCs w:val="21"/>
                <w:highlight w:val="none"/>
                <w:lang w:val="en-US" w:eastAsia="zh-CN" w:bidi="ar-SA"/>
              </w:rPr>
              <w:t>工业企业厂界噪声</w:t>
            </w:r>
          </w:p>
        </w:tc>
        <w:tc>
          <w:tcPr>
            <w:tcW w:w="27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240" w:lineRule="exact"/>
              <w:ind w:right="0" w:rightChars="0" w:firstLine="0" w:firstLineChars="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kern w:val="0"/>
                <w:sz w:val="21"/>
                <w:szCs w:val="21"/>
                <w:lang w:val="en-US" w:eastAsia="zh-CN" w:bidi="ar-SA"/>
              </w:rPr>
              <w:t>工业企业厂界环境噪声排放标准 GB 12348-2008</w:t>
            </w:r>
          </w:p>
        </w:tc>
        <w:tc>
          <w:tcPr>
            <w:tcW w:w="3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bCs/>
                <w:kern w:val="0"/>
                <w:sz w:val="21"/>
                <w:szCs w:val="21"/>
                <w:lang w:val="en-US" w:eastAsia="zh-CN"/>
              </w:rPr>
              <w:t>\</w:t>
            </w:r>
          </w:p>
        </w:tc>
        <w:tc>
          <w:tcPr>
            <w:tcW w:w="4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240" w:lineRule="exact"/>
              <w:ind w:right="0" w:rightChars="0" w:firstLine="0" w:firstLineChars="0"/>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dB(A)</w:t>
            </w:r>
          </w:p>
        </w:tc>
      </w:tr>
    </w:tbl>
    <w:p>
      <w:pPr>
        <w:pStyle w:val="64"/>
        <w:spacing w:after="40"/>
        <w:rPr>
          <w:rFonts w:cs="Times New Roman"/>
          <w:sz w:val="32"/>
        </w:rPr>
      </w:pPr>
      <w:bookmarkStart w:id="154" w:name="_Toc26027"/>
      <w:r>
        <w:rPr>
          <w:rFonts w:hint="eastAsia" w:cs="Times New Roman"/>
          <w:sz w:val="32"/>
        </w:rPr>
        <w:t>8</w:t>
      </w:r>
      <w:r>
        <w:rPr>
          <w:rFonts w:cs="Times New Roman"/>
          <w:sz w:val="32"/>
        </w:rPr>
        <w:t xml:space="preserve">.2 </w:t>
      </w:r>
      <w:r>
        <w:rPr>
          <w:rFonts w:hint="eastAsia" w:cs="Times New Roman"/>
          <w:sz w:val="32"/>
        </w:rPr>
        <w:t>监测仪器</w:t>
      </w:r>
      <w:bookmarkEnd w:id="154"/>
    </w:p>
    <w:p>
      <w:pPr>
        <w:autoSpaceDE w:val="0"/>
        <w:autoSpaceDN w:val="0"/>
        <w:adjustRightInd w:val="0"/>
        <w:spacing w:line="540" w:lineRule="exact"/>
        <w:ind w:firstLine="480" w:firstLineChars="200"/>
        <w:jc w:val="left"/>
        <w:rPr>
          <w:color w:val="000000"/>
          <w:kern w:val="0"/>
          <w:sz w:val="24"/>
          <w:szCs w:val="24"/>
        </w:rPr>
      </w:pPr>
      <w:r>
        <w:rPr>
          <w:rFonts w:hint="eastAsia"/>
          <w:color w:val="000000"/>
          <w:kern w:val="0"/>
          <w:sz w:val="24"/>
          <w:szCs w:val="24"/>
        </w:rPr>
        <w:t>监测仪器使用见表8-2。</w:t>
      </w:r>
    </w:p>
    <w:p>
      <w:pPr>
        <w:spacing w:line="540" w:lineRule="exact"/>
        <w:ind w:firstLine="463" w:firstLineChars="192"/>
        <w:jc w:val="center"/>
        <w:rPr>
          <w:rFonts w:hAnsiTheme="minorEastAsia" w:eastAsiaTheme="minorEastAsia"/>
          <w:b/>
          <w:sz w:val="24"/>
          <w:szCs w:val="24"/>
        </w:rPr>
      </w:pPr>
      <w:r>
        <w:rPr>
          <w:rFonts w:hAnsiTheme="minorEastAsia" w:eastAsiaTheme="minorEastAsia"/>
          <w:b/>
          <w:sz w:val="24"/>
          <w:szCs w:val="24"/>
        </w:rPr>
        <w:t>表</w:t>
      </w:r>
      <w:r>
        <w:rPr>
          <w:rFonts w:hint="eastAsia" w:hAnsiTheme="minorEastAsia" w:eastAsiaTheme="minorEastAsia"/>
          <w:b/>
          <w:sz w:val="24"/>
          <w:szCs w:val="24"/>
        </w:rPr>
        <w:t>8</w:t>
      </w:r>
      <w:r>
        <w:rPr>
          <w:rFonts w:hAnsiTheme="minorEastAsia" w:eastAsiaTheme="minorEastAsia"/>
          <w:b/>
          <w:sz w:val="24"/>
          <w:szCs w:val="24"/>
        </w:rPr>
        <w:t>-</w:t>
      </w:r>
      <w:r>
        <w:rPr>
          <w:rFonts w:hint="eastAsia" w:hAnsiTheme="minorEastAsia" w:eastAsiaTheme="minorEastAsia"/>
          <w:b/>
          <w:sz w:val="24"/>
          <w:szCs w:val="24"/>
        </w:rPr>
        <w:t>2</w:t>
      </w:r>
      <w:r>
        <w:rPr>
          <w:rFonts w:hAnsiTheme="minorEastAsia" w:eastAsiaTheme="minorEastAsia"/>
          <w:b/>
          <w:sz w:val="24"/>
          <w:szCs w:val="24"/>
        </w:rPr>
        <w:t xml:space="preserve">    监测</w:t>
      </w:r>
      <w:r>
        <w:rPr>
          <w:rFonts w:hint="eastAsia" w:hAnsiTheme="minorEastAsia" w:eastAsiaTheme="minorEastAsia"/>
          <w:b/>
          <w:sz w:val="24"/>
          <w:szCs w:val="24"/>
        </w:rPr>
        <w:t>使用</w:t>
      </w:r>
      <w:r>
        <w:rPr>
          <w:rFonts w:hAnsiTheme="minorEastAsia" w:eastAsiaTheme="minorEastAsia"/>
          <w:b/>
          <w:sz w:val="24"/>
          <w:szCs w:val="24"/>
        </w:rPr>
        <w:t>仪器一览表</w:t>
      </w:r>
    </w:p>
    <w:tbl>
      <w:tblPr>
        <w:tblStyle w:val="80"/>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113"/>
        <w:gridCol w:w="1521"/>
        <w:gridCol w:w="4042"/>
        <w:gridCol w:w="23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614"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b/>
                <w:bCs/>
                <w:kern w:val="0"/>
                <w:sz w:val="21"/>
                <w:szCs w:val="21"/>
                <w:highlight w:val="none"/>
                <w:lang w:val="en-US" w:eastAsia="zh-CN" w:bidi="ar-SA"/>
              </w:rPr>
            </w:pPr>
            <w:r>
              <w:rPr>
                <w:rFonts w:hint="default" w:ascii="Times New Roman" w:hAnsi="Times New Roman" w:eastAsia="宋体" w:cs="Times New Roman"/>
                <w:b/>
                <w:bCs/>
                <w:kern w:val="0"/>
                <w:sz w:val="21"/>
                <w:szCs w:val="21"/>
                <w:highlight w:val="none"/>
                <w:lang w:val="en-US" w:eastAsia="zh-CN" w:bidi="ar-SA"/>
              </w:rPr>
              <w:t>检测类别</w:t>
            </w:r>
          </w:p>
        </w:tc>
        <w:tc>
          <w:tcPr>
            <w:tcW w:w="838"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b/>
                <w:bCs/>
                <w:kern w:val="0"/>
                <w:sz w:val="21"/>
                <w:szCs w:val="21"/>
                <w:highlight w:val="none"/>
                <w:lang w:val="en-US" w:eastAsia="zh-CN" w:bidi="ar-SA"/>
              </w:rPr>
            </w:pPr>
            <w:r>
              <w:rPr>
                <w:rFonts w:hint="default" w:ascii="Times New Roman" w:hAnsi="Times New Roman" w:eastAsia="宋体" w:cs="Times New Roman"/>
                <w:b/>
                <w:bCs/>
                <w:kern w:val="0"/>
                <w:sz w:val="21"/>
                <w:szCs w:val="21"/>
                <w:highlight w:val="none"/>
                <w:lang w:val="en-US" w:eastAsia="zh-CN" w:bidi="ar-SA"/>
              </w:rPr>
              <w:t>项目名称</w:t>
            </w:r>
          </w:p>
        </w:tc>
        <w:tc>
          <w:tcPr>
            <w:tcW w:w="2227"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b/>
                <w:bCs/>
                <w:kern w:val="0"/>
                <w:sz w:val="21"/>
                <w:szCs w:val="21"/>
                <w:highlight w:val="none"/>
                <w:lang w:val="en-US" w:eastAsia="zh-CN" w:bidi="ar-SA"/>
              </w:rPr>
            </w:pPr>
            <w:r>
              <w:rPr>
                <w:rFonts w:hint="default" w:ascii="Times New Roman" w:hAnsi="Times New Roman" w:eastAsia="宋体" w:cs="Times New Roman"/>
                <w:b/>
                <w:bCs/>
                <w:kern w:val="0"/>
                <w:sz w:val="21"/>
                <w:szCs w:val="21"/>
                <w:highlight w:val="none"/>
                <w:lang w:val="en-US" w:eastAsia="zh-CN" w:bidi="ar-SA"/>
              </w:rPr>
              <w:t>检测仪器名称及型号</w:t>
            </w:r>
          </w:p>
        </w:tc>
        <w:tc>
          <w:tcPr>
            <w:tcW w:w="1318"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b/>
                <w:bCs/>
                <w:kern w:val="0"/>
                <w:sz w:val="21"/>
                <w:szCs w:val="21"/>
                <w:highlight w:val="none"/>
                <w:lang w:val="en-US" w:eastAsia="zh-CN" w:bidi="ar-SA"/>
              </w:rPr>
            </w:pPr>
            <w:r>
              <w:rPr>
                <w:rFonts w:hint="default" w:ascii="Times New Roman" w:hAnsi="Times New Roman" w:eastAsia="宋体" w:cs="Times New Roman"/>
                <w:b/>
                <w:bCs/>
                <w:kern w:val="0"/>
                <w:sz w:val="21"/>
                <w:szCs w:val="21"/>
                <w:highlight w:val="none"/>
                <w:lang w:val="en-US" w:eastAsia="zh-CN" w:bidi="ar-SA"/>
              </w:rPr>
              <w:t>仪器编号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614"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废水</w:t>
            </w:r>
          </w:p>
        </w:tc>
        <w:tc>
          <w:tcPr>
            <w:tcW w:w="8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石油类</w:t>
            </w:r>
          </w:p>
        </w:tc>
        <w:tc>
          <w:tcPr>
            <w:tcW w:w="2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红外分光测油仪</w:t>
            </w:r>
            <w:r>
              <w:rPr>
                <w:rFonts w:hint="eastAsia" w:ascii="Times New Roman" w:hAnsi="Times New Roman" w:eastAsia="宋体" w:cs="Times New Roman"/>
                <w:kern w:val="0"/>
                <w:sz w:val="21"/>
                <w:szCs w:val="21"/>
                <w:highlight w:val="none"/>
                <w:lang w:val="en-US" w:eastAsia="zh-CN" w:bidi="ar-SA"/>
              </w:rPr>
              <w:t xml:space="preserve"> </w:t>
            </w:r>
            <w:r>
              <w:rPr>
                <w:rFonts w:hint="default" w:ascii="Times New Roman" w:hAnsi="Times New Roman" w:eastAsia="宋体" w:cs="Times New Roman"/>
                <w:kern w:val="0"/>
                <w:sz w:val="21"/>
                <w:szCs w:val="21"/>
                <w:highlight w:val="none"/>
                <w:lang w:val="en-US" w:eastAsia="zh-CN" w:bidi="ar-SA"/>
              </w:rPr>
              <w:t>O</w:t>
            </w:r>
            <w:r>
              <w:rPr>
                <w:rFonts w:hint="eastAsia" w:ascii="Times New Roman" w:hAnsi="Times New Roman" w:eastAsia="宋体" w:cs="Times New Roman"/>
                <w:kern w:val="0"/>
                <w:sz w:val="21"/>
                <w:szCs w:val="21"/>
                <w:highlight w:val="none"/>
                <w:lang w:val="en-US" w:eastAsia="zh-CN" w:bidi="ar-SA"/>
              </w:rPr>
              <w:t>i</w:t>
            </w:r>
            <w:r>
              <w:rPr>
                <w:rFonts w:hint="default" w:ascii="Times New Roman" w:hAnsi="Times New Roman" w:eastAsia="宋体" w:cs="Times New Roman"/>
                <w:kern w:val="0"/>
                <w:sz w:val="21"/>
                <w:szCs w:val="21"/>
                <w:highlight w:val="none"/>
                <w:lang w:val="en-US" w:eastAsia="zh-CN" w:bidi="ar-SA"/>
              </w:rPr>
              <w:t>L460</w:t>
            </w:r>
          </w:p>
        </w:tc>
        <w:tc>
          <w:tcPr>
            <w:tcW w:w="131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111IIC18030087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61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p>
        </w:tc>
        <w:tc>
          <w:tcPr>
            <w:tcW w:w="8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氨氮</w:t>
            </w:r>
          </w:p>
        </w:tc>
        <w:tc>
          <w:tcPr>
            <w:tcW w:w="2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可见分光光度计 722</w:t>
            </w:r>
          </w:p>
        </w:tc>
        <w:tc>
          <w:tcPr>
            <w:tcW w:w="131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KJ1818040807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61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p>
        </w:tc>
        <w:tc>
          <w:tcPr>
            <w:tcW w:w="8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悬浮物</w:t>
            </w:r>
          </w:p>
        </w:tc>
        <w:tc>
          <w:tcPr>
            <w:tcW w:w="2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电热鼓风干燥箱101-3AB</w:t>
            </w:r>
          </w:p>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电子</w:t>
            </w:r>
            <w:r>
              <w:rPr>
                <w:rFonts w:hint="default" w:ascii="Times New Roman" w:hAnsi="Times New Roman" w:eastAsia="宋体" w:cs="Times New Roman"/>
                <w:kern w:val="0"/>
                <w:sz w:val="21"/>
                <w:szCs w:val="21"/>
                <w:highlight w:val="none"/>
                <w:lang w:val="en-US" w:eastAsia="zh-CN" w:bidi="ar-SA"/>
              </w:rPr>
              <w:t>天平</w:t>
            </w:r>
            <w:r>
              <w:rPr>
                <w:rFonts w:hint="eastAsia" w:ascii="Times New Roman" w:hAnsi="Times New Roman" w:eastAsia="宋体" w:cs="Times New Roman"/>
                <w:kern w:val="0"/>
                <w:sz w:val="21"/>
                <w:szCs w:val="21"/>
                <w:highlight w:val="none"/>
                <w:lang w:val="en-US" w:eastAsia="zh-CN" w:bidi="ar-SA"/>
              </w:rPr>
              <w:t xml:space="preserve"> </w:t>
            </w:r>
            <w:r>
              <w:rPr>
                <w:rFonts w:hint="default" w:ascii="Times New Roman" w:hAnsi="Times New Roman" w:eastAsia="宋体" w:cs="Times New Roman"/>
                <w:kern w:val="0"/>
                <w:sz w:val="21"/>
                <w:szCs w:val="21"/>
                <w:highlight w:val="none"/>
                <w:lang w:val="en-US" w:eastAsia="zh-CN" w:bidi="ar-SA"/>
              </w:rPr>
              <w:t>ATY224</w:t>
            </w:r>
          </w:p>
        </w:tc>
        <w:tc>
          <w:tcPr>
            <w:tcW w:w="131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180502</w:t>
            </w:r>
          </w:p>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D31890045</w:t>
            </w:r>
            <w:r>
              <w:rPr>
                <w:rFonts w:hint="eastAsia" w:ascii="Times New Roman" w:hAnsi="Times New Roman" w:eastAsia="宋体" w:cs="Times New Roman"/>
                <w:kern w:val="0"/>
                <w:sz w:val="21"/>
                <w:szCs w:val="21"/>
                <w:highlight w:val="none"/>
                <w:lang w:val="en-US" w:eastAsia="zh-CN" w:bidi="ar-SA"/>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61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p>
        </w:tc>
        <w:tc>
          <w:tcPr>
            <w:tcW w:w="8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化学需氧量</w:t>
            </w:r>
          </w:p>
        </w:tc>
        <w:tc>
          <w:tcPr>
            <w:tcW w:w="2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 xml:space="preserve">滴定管 50mL </w:t>
            </w:r>
          </w:p>
        </w:tc>
        <w:tc>
          <w:tcPr>
            <w:tcW w:w="131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ZHY50-1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61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p>
        </w:tc>
        <w:tc>
          <w:tcPr>
            <w:tcW w:w="8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五日生化需氧量</w:t>
            </w:r>
          </w:p>
        </w:tc>
        <w:tc>
          <w:tcPr>
            <w:tcW w:w="2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多参数分析仪</w:t>
            </w:r>
            <w:r>
              <w:rPr>
                <w:rFonts w:hint="eastAsia" w:ascii="Times New Roman" w:hAnsi="Times New Roman" w:eastAsia="宋体" w:cs="Times New Roman"/>
                <w:kern w:val="0"/>
                <w:sz w:val="21"/>
                <w:szCs w:val="21"/>
                <w:highlight w:val="none"/>
                <w:lang w:val="en-US" w:eastAsia="zh-CN" w:bidi="ar-SA"/>
              </w:rPr>
              <w:t xml:space="preserve"> </w:t>
            </w:r>
            <w:r>
              <w:rPr>
                <w:rFonts w:hint="default" w:ascii="Times New Roman" w:hAnsi="Times New Roman" w:eastAsia="宋体" w:cs="Times New Roman"/>
                <w:kern w:val="0"/>
                <w:sz w:val="21"/>
                <w:szCs w:val="21"/>
                <w:highlight w:val="none"/>
                <w:lang w:val="en-US" w:eastAsia="zh-CN" w:bidi="ar-SA"/>
              </w:rPr>
              <w:t>DZS-708L</w:t>
            </w:r>
          </w:p>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生化培养箱</w:t>
            </w:r>
            <w:r>
              <w:rPr>
                <w:rFonts w:hint="eastAsia" w:ascii="Times New Roman" w:hAnsi="Times New Roman" w:eastAsia="宋体" w:cs="Times New Roman"/>
                <w:kern w:val="0"/>
                <w:sz w:val="21"/>
                <w:szCs w:val="21"/>
                <w:highlight w:val="none"/>
                <w:lang w:val="en-US" w:eastAsia="zh-CN" w:bidi="ar-SA"/>
              </w:rPr>
              <w:t xml:space="preserve"> SPX-250BE</w:t>
            </w:r>
          </w:p>
        </w:tc>
        <w:tc>
          <w:tcPr>
            <w:tcW w:w="131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651200N</w:t>
            </w:r>
            <w:r>
              <w:rPr>
                <w:rFonts w:hint="eastAsia" w:ascii="Times New Roman" w:hAnsi="Times New Roman" w:eastAsia="宋体" w:cs="Times New Roman"/>
                <w:kern w:val="0"/>
                <w:sz w:val="21"/>
                <w:szCs w:val="21"/>
                <w:highlight w:val="none"/>
                <w:lang w:val="en-US" w:eastAsia="zh-CN" w:bidi="ar-SA"/>
              </w:rPr>
              <w:t>0002</w:t>
            </w:r>
            <w:r>
              <w:rPr>
                <w:rFonts w:hint="default" w:ascii="Times New Roman" w:hAnsi="Times New Roman" w:eastAsia="宋体" w:cs="Times New Roman"/>
                <w:kern w:val="0"/>
                <w:sz w:val="21"/>
                <w:szCs w:val="21"/>
                <w:highlight w:val="none"/>
                <w:lang w:val="en-US" w:eastAsia="zh-CN" w:bidi="ar-SA"/>
              </w:rPr>
              <w:t>080</w:t>
            </w:r>
            <w:r>
              <w:rPr>
                <w:rFonts w:hint="eastAsia" w:ascii="Times New Roman" w:hAnsi="Times New Roman" w:eastAsia="宋体" w:cs="Times New Roman"/>
                <w:kern w:val="0"/>
                <w:sz w:val="21"/>
                <w:szCs w:val="21"/>
                <w:highlight w:val="none"/>
                <w:lang w:val="en-US" w:eastAsia="zh-CN" w:bidi="ar-SA"/>
              </w:rPr>
              <w:t>0</w:t>
            </w:r>
            <w:r>
              <w:rPr>
                <w:rFonts w:hint="default" w:ascii="Times New Roman" w:hAnsi="Times New Roman" w:eastAsia="宋体" w:cs="Times New Roman"/>
                <w:kern w:val="0"/>
                <w:sz w:val="21"/>
                <w:szCs w:val="21"/>
                <w:highlight w:val="none"/>
                <w:lang w:val="en-US" w:eastAsia="zh-CN" w:bidi="ar-SA"/>
              </w:rPr>
              <w:t>05</w:t>
            </w:r>
          </w:p>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180610-11W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614"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无组织废气</w:t>
            </w:r>
          </w:p>
        </w:tc>
        <w:tc>
          <w:tcPr>
            <w:tcW w:w="8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现场采集</w:t>
            </w:r>
          </w:p>
        </w:tc>
        <w:tc>
          <w:tcPr>
            <w:tcW w:w="2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真空箱气袋采样器ZT-33D</w:t>
            </w:r>
          </w:p>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真空箱气袋采样器ZT-33D</w:t>
            </w:r>
          </w:p>
        </w:tc>
        <w:tc>
          <w:tcPr>
            <w:tcW w:w="131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ZHY-XFZ-06</w:t>
            </w:r>
            <w:r>
              <w:rPr>
                <w:rFonts w:hint="eastAsia" w:ascii="Times New Roman" w:hAnsi="Times New Roman" w:eastAsia="宋体" w:cs="Times New Roman"/>
                <w:kern w:val="0"/>
                <w:sz w:val="21"/>
                <w:szCs w:val="21"/>
                <w:highlight w:val="none"/>
                <w:lang w:val="en-US" w:eastAsia="zh-CN" w:bidi="ar-SA"/>
              </w:rPr>
              <w:t>5</w:t>
            </w:r>
            <w:r>
              <w:rPr>
                <w:rFonts w:hint="default" w:ascii="Times New Roman" w:hAnsi="Times New Roman" w:eastAsia="宋体" w:cs="Times New Roman"/>
                <w:kern w:val="0"/>
                <w:sz w:val="21"/>
                <w:szCs w:val="21"/>
                <w:highlight w:val="none"/>
                <w:lang w:val="en-US" w:eastAsia="zh-CN" w:bidi="ar-SA"/>
              </w:rPr>
              <w:t>-ZKCY</w:t>
            </w:r>
          </w:p>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ZHY-XFZ-06</w:t>
            </w:r>
            <w:r>
              <w:rPr>
                <w:rFonts w:hint="eastAsia" w:ascii="Times New Roman" w:hAnsi="Times New Roman" w:eastAsia="宋体" w:cs="Times New Roman"/>
                <w:kern w:val="0"/>
                <w:sz w:val="21"/>
                <w:szCs w:val="21"/>
                <w:highlight w:val="none"/>
                <w:lang w:val="en-US" w:eastAsia="zh-CN" w:bidi="ar-SA"/>
              </w:rPr>
              <w:t>7</w:t>
            </w:r>
            <w:r>
              <w:rPr>
                <w:rFonts w:hint="default" w:ascii="Times New Roman" w:hAnsi="Times New Roman" w:eastAsia="宋体" w:cs="Times New Roman"/>
                <w:kern w:val="0"/>
                <w:sz w:val="21"/>
                <w:szCs w:val="21"/>
                <w:highlight w:val="none"/>
                <w:lang w:val="en-US" w:eastAsia="zh-CN" w:bidi="ar-SA"/>
              </w:rPr>
              <w:t>-ZKCY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61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p>
        </w:tc>
        <w:tc>
          <w:tcPr>
            <w:tcW w:w="8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非甲烷总烃</w:t>
            </w:r>
          </w:p>
        </w:tc>
        <w:tc>
          <w:tcPr>
            <w:tcW w:w="2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气相色谱仪 磐诺A91PLUS</w:t>
            </w:r>
          </w:p>
        </w:tc>
        <w:tc>
          <w:tcPr>
            <w:tcW w:w="131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18041024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6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噪声</w:t>
            </w:r>
          </w:p>
        </w:tc>
        <w:tc>
          <w:tcPr>
            <w:tcW w:w="8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eastAsia"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工业企业厂界噪声</w:t>
            </w:r>
          </w:p>
        </w:tc>
        <w:tc>
          <w:tcPr>
            <w:tcW w:w="22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eastAsia"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lang w:val="en-US" w:eastAsia="zh-CN" w:bidi="ar-SA"/>
              </w:rPr>
              <w:t>多功能声级计AWA6228+</w:t>
            </w:r>
          </w:p>
        </w:tc>
        <w:tc>
          <w:tcPr>
            <w:tcW w:w="131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240" w:lineRule="exact"/>
              <w:ind w:right="0" w:rightChars="0" w:firstLine="0" w:firstLineChars="0"/>
              <w:jc w:val="center"/>
              <w:textAlignment w:val="auto"/>
              <w:rPr>
                <w:rFonts w:hint="eastAsia" w:ascii="Times New Roman" w:hAnsi="Times New Roman" w:eastAsia="宋体" w:cs="Times New Roman"/>
                <w:kern w:val="0"/>
                <w:sz w:val="21"/>
                <w:szCs w:val="21"/>
                <w:highlight w:val="none"/>
                <w:lang w:val="en-US" w:eastAsia="zh-CN" w:bidi="ar-SA"/>
              </w:rPr>
            </w:pPr>
            <w:r>
              <w:rPr>
                <w:rFonts w:hint="eastAsia" w:ascii="Times New Roman" w:hAnsi="Times New Roman" w:eastAsia="宋体" w:cs="Times New Roman"/>
                <w:kern w:val="0"/>
                <w:sz w:val="21"/>
                <w:szCs w:val="21"/>
                <w:highlight w:val="none"/>
                <w:lang w:val="en-US" w:eastAsia="zh-CN" w:bidi="ar-SA"/>
              </w:rPr>
              <w:t>00314001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614" w:type="pct"/>
            <w:tcBorders>
              <w:top w:val="single" w:color="auto" w:sz="4" w:space="0"/>
            </w:tcBorders>
            <w:vAlign w:val="center"/>
          </w:tcPr>
          <w:p>
            <w:pPr>
              <w:autoSpaceDE w:val="0"/>
              <w:autoSpaceDN w:val="0"/>
              <w:adjustRightInd w:val="0"/>
              <w:snapToGrid w:val="0"/>
              <w:spacing w:line="280" w:lineRule="exact"/>
              <w:jc w:val="cente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备 注</w:t>
            </w:r>
          </w:p>
        </w:tc>
        <w:tc>
          <w:tcPr>
            <w:tcW w:w="4385" w:type="pct"/>
            <w:gridSpan w:val="3"/>
            <w:tcBorders>
              <w:top w:val="single" w:color="auto" w:sz="4" w:space="0"/>
            </w:tcBorders>
            <w:vAlign w:val="center"/>
          </w:tcPr>
          <w:p>
            <w:pPr>
              <w:autoSpaceDE w:val="0"/>
              <w:autoSpaceDN w:val="0"/>
              <w:adjustRightInd w:val="0"/>
              <w:snapToGrid w:val="0"/>
              <w:spacing w:line="280" w:lineRule="exact"/>
              <w:jc w:val="cente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仪器均在检定/校准有效期内使用。</w:t>
            </w:r>
          </w:p>
        </w:tc>
      </w:tr>
    </w:tbl>
    <w:p>
      <w:pPr>
        <w:pStyle w:val="64"/>
        <w:rPr>
          <w:rFonts w:cs="Times New Roman"/>
          <w:sz w:val="32"/>
        </w:rPr>
      </w:pPr>
      <w:bookmarkStart w:id="155" w:name="_Toc1612"/>
      <w:r>
        <w:rPr>
          <w:rFonts w:hint="eastAsia" w:cs="Times New Roman"/>
          <w:sz w:val="32"/>
        </w:rPr>
        <w:t>8</w:t>
      </w:r>
      <w:r>
        <w:rPr>
          <w:rFonts w:cs="Times New Roman"/>
          <w:sz w:val="32"/>
        </w:rPr>
        <w:t>.</w:t>
      </w:r>
      <w:r>
        <w:rPr>
          <w:rFonts w:hint="eastAsia" w:cs="Times New Roman"/>
          <w:sz w:val="32"/>
        </w:rPr>
        <w:t>3人员资质</w:t>
      </w:r>
      <w:bookmarkEnd w:id="155"/>
    </w:p>
    <w:p>
      <w:pPr>
        <w:autoSpaceDE w:val="0"/>
        <w:autoSpaceDN w:val="0"/>
        <w:adjustRightInd w:val="0"/>
        <w:spacing w:line="540" w:lineRule="exact"/>
        <w:ind w:firstLine="480" w:firstLineChars="200"/>
        <w:jc w:val="left"/>
        <w:rPr>
          <w:kern w:val="0"/>
          <w:sz w:val="28"/>
          <w:szCs w:val="28"/>
        </w:rPr>
      </w:pPr>
      <w:r>
        <w:rPr>
          <w:rFonts w:hint="eastAsia"/>
          <w:sz w:val="24"/>
          <w:szCs w:val="24"/>
        </w:rPr>
        <w:t>参与本次验收监测的现场采样及实验室分析的人员均</w:t>
      </w:r>
      <w:r>
        <w:rPr>
          <w:sz w:val="24"/>
          <w:szCs w:val="24"/>
        </w:rPr>
        <w:t>经考核合格</w:t>
      </w:r>
      <w:r>
        <w:rPr>
          <w:rFonts w:hint="eastAsia"/>
          <w:sz w:val="24"/>
          <w:szCs w:val="24"/>
        </w:rPr>
        <w:t>。</w:t>
      </w:r>
    </w:p>
    <w:p>
      <w:pPr>
        <w:pStyle w:val="64"/>
        <w:rPr>
          <w:rFonts w:cs="Times New Roman"/>
          <w:sz w:val="32"/>
        </w:rPr>
      </w:pPr>
      <w:bookmarkStart w:id="156" w:name="_Toc19648"/>
      <w:r>
        <w:rPr>
          <w:rFonts w:hint="eastAsia" w:cs="Times New Roman"/>
          <w:sz w:val="32"/>
        </w:rPr>
        <w:t>8</w:t>
      </w:r>
      <w:r>
        <w:rPr>
          <w:rFonts w:cs="Times New Roman"/>
          <w:sz w:val="32"/>
        </w:rPr>
        <w:t>.</w:t>
      </w:r>
      <w:r>
        <w:rPr>
          <w:rFonts w:hint="eastAsia" w:cs="Times New Roman"/>
          <w:sz w:val="32"/>
        </w:rPr>
        <w:t>4</w:t>
      </w:r>
      <w:r>
        <w:rPr>
          <w:rFonts w:cs="Times New Roman"/>
          <w:sz w:val="32"/>
        </w:rPr>
        <w:t>质量保证和质量控制</w:t>
      </w:r>
      <w:bookmarkEnd w:id="156"/>
    </w:p>
    <w:p>
      <w:pPr>
        <w:autoSpaceDE w:val="0"/>
        <w:autoSpaceDN w:val="0"/>
        <w:adjustRightInd w:val="0"/>
        <w:spacing w:line="540" w:lineRule="exact"/>
        <w:ind w:firstLine="480" w:firstLineChars="200"/>
        <w:jc w:val="left"/>
        <w:rPr>
          <w:color w:val="000000"/>
          <w:kern w:val="0"/>
          <w:sz w:val="24"/>
          <w:szCs w:val="24"/>
        </w:rPr>
      </w:pPr>
      <w:r>
        <w:rPr>
          <w:color w:val="000000"/>
          <w:kern w:val="0"/>
          <w:sz w:val="24"/>
          <w:szCs w:val="24"/>
        </w:rPr>
        <w:t>建设项目竣工环境保护验收现场监测质量控制与质量保证按环发[2000]38号文附件和相关监测技术规范要求进行。</w:t>
      </w:r>
    </w:p>
    <w:p>
      <w:pPr>
        <w:autoSpaceDE w:val="0"/>
        <w:autoSpaceDN w:val="0"/>
        <w:adjustRightInd w:val="0"/>
        <w:spacing w:line="540" w:lineRule="exact"/>
        <w:ind w:firstLine="480" w:firstLineChars="200"/>
        <w:jc w:val="left"/>
        <w:rPr>
          <w:color w:val="000000"/>
          <w:kern w:val="0"/>
          <w:sz w:val="24"/>
          <w:szCs w:val="24"/>
        </w:rPr>
      </w:pPr>
      <w:r>
        <w:rPr>
          <w:color w:val="000000"/>
          <w:kern w:val="0"/>
          <w:sz w:val="24"/>
          <w:szCs w:val="24"/>
        </w:rPr>
        <w:t>为了确保验收监测的环境样品的代表性，分析测试的准确性、精密性，监测报告的完整性，对验收监测的全过程（包括布点、采样、样品贮运、实验室分析、数据统计分析、报告编制和审核等）进行严格的质量控制。</w:t>
      </w:r>
    </w:p>
    <w:p>
      <w:pPr>
        <w:autoSpaceDE w:val="0"/>
        <w:autoSpaceDN w:val="0"/>
        <w:adjustRightInd w:val="0"/>
        <w:spacing w:line="540" w:lineRule="exact"/>
        <w:ind w:firstLine="480" w:firstLineChars="200"/>
        <w:jc w:val="left"/>
        <w:rPr>
          <w:color w:val="000000"/>
          <w:kern w:val="0"/>
          <w:sz w:val="24"/>
          <w:szCs w:val="24"/>
        </w:rPr>
      </w:pPr>
      <w:r>
        <w:rPr>
          <w:color w:val="000000"/>
          <w:kern w:val="0"/>
          <w:sz w:val="24"/>
          <w:szCs w:val="24"/>
        </w:rPr>
        <w:t>1、严格按照验收监测方案要求开展监测工作</w:t>
      </w:r>
      <w:r>
        <w:rPr>
          <w:rFonts w:hint="eastAsia"/>
          <w:color w:val="000000"/>
          <w:kern w:val="0"/>
          <w:sz w:val="24"/>
          <w:szCs w:val="24"/>
        </w:rPr>
        <w:t>。</w:t>
      </w:r>
    </w:p>
    <w:p>
      <w:pPr>
        <w:autoSpaceDE w:val="0"/>
        <w:autoSpaceDN w:val="0"/>
        <w:adjustRightInd w:val="0"/>
        <w:spacing w:line="540" w:lineRule="exact"/>
        <w:ind w:firstLine="480" w:firstLineChars="200"/>
        <w:jc w:val="left"/>
        <w:rPr>
          <w:color w:val="000000"/>
          <w:kern w:val="0"/>
          <w:sz w:val="24"/>
          <w:szCs w:val="24"/>
        </w:rPr>
      </w:pPr>
      <w:r>
        <w:rPr>
          <w:color w:val="000000"/>
          <w:kern w:val="0"/>
          <w:sz w:val="24"/>
          <w:szCs w:val="24"/>
        </w:rPr>
        <w:t>2、合理布设监测点，保证各监测点位布设的科学性和代表性</w:t>
      </w:r>
      <w:r>
        <w:rPr>
          <w:rFonts w:hint="eastAsia"/>
          <w:color w:val="000000"/>
          <w:kern w:val="0"/>
          <w:sz w:val="24"/>
          <w:szCs w:val="24"/>
        </w:rPr>
        <w:t>。</w:t>
      </w:r>
    </w:p>
    <w:p>
      <w:pPr>
        <w:autoSpaceDE w:val="0"/>
        <w:autoSpaceDN w:val="0"/>
        <w:adjustRightInd w:val="0"/>
        <w:spacing w:line="540" w:lineRule="exact"/>
        <w:ind w:firstLine="480" w:firstLineChars="200"/>
        <w:jc w:val="left"/>
        <w:rPr>
          <w:color w:val="000000"/>
          <w:kern w:val="0"/>
          <w:sz w:val="24"/>
          <w:szCs w:val="24"/>
        </w:rPr>
      </w:pPr>
      <w:r>
        <w:rPr>
          <w:color w:val="000000"/>
          <w:kern w:val="0"/>
          <w:sz w:val="24"/>
          <w:szCs w:val="24"/>
        </w:rPr>
        <w:t>3、采样人员严格遵守采样操作规程，在生产设备和环保设施运行稳定条件下采样。同时，认真填写采样记录，注明采样工况，并按规定保存、运输样品，确保验收监测样品采集的代表性</w:t>
      </w:r>
      <w:r>
        <w:rPr>
          <w:rFonts w:hint="eastAsia"/>
          <w:color w:val="000000"/>
          <w:kern w:val="0"/>
          <w:sz w:val="24"/>
          <w:szCs w:val="24"/>
        </w:rPr>
        <w:t>。</w:t>
      </w:r>
    </w:p>
    <w:p>
      <w:pPr>
        <w:autoSpaceDE w:val="0"/>
        <w:autoSpaceDN w:val="0"/>
        <w:adjustRightInd w:val="0"/>
        <w:spacing w:line="540" w:lineRule="exact"/>
        <w:ind w:firstLine="480" w:firstLineChars="200"/>
        <w:jc w:val="left"/>
        <w:rPr>
          <w:color w:val="000000"/>
          <w:kern w:val="0"/>
          <w:sz w:val="24"/>
          <w:szCs w:val="24"/>
        </w:rPr>
      </w:pPr>
      <w:r>
        <w:rPr>
          <w:color w:val="000000"/>
          <w:kern w:val="0"/>
          <w:sz w:val="24"/>
          <w:szCs w:val="24"/>
        </w:rPr>
        <w:t>4、监测分析采用国家有关部门颁布的标准分析方法或推荐方法；监测人员经考核合格并持有上岗证，所有监测仪器、量具均经过计量部门检定合格并在有效期内使用</w:t>
      </w:r>
      <w:r>
        <w:rPr>
          <w:rFonts w:hint="eastAsia"/>
          <w:color w:val="000000"/>
          <w:kern w:val="0"/>
          <w:sz w:val="24"/>
          <w:szCs w:val="24"/>
        </w:rPr>
        <w:t>。</w:t>
      </w:r>
    </w:p>
    <w:p>
      <w:pPr>
        <w:autoSpaceDE w:val="0"/>
        <w:autoSpaceDN w:val="0"/>
        <w:adjustRightInd w:val="0"/>
        <w:spacing w:line="360" w:lineRule="auto"/>
        <w:ind w:firstLine="480" w:firstLineChars="200"/>
        <w:jc w:val="left"/>
        <w:rPr>
          <w:rFonts w:hAnsi="宋体"/>
          <w:color w:val="000000"/>
          <w:kern w:val="0"/>
          <w:sz w:val="24"/>
          <w:szCs w:val="24"/>
        </w:rPr>
      </w:pPr>
      <w:r>
        <w:rPr>
          <w:rFonts w:hint="eastAsia"/>
          <w:color w:val="000000"/>
          <w:kern w:val="0"/>
          <w:sz w:val="24"/>
          <w:szCs w:val="24"/>
        </w:rPr>
        <w:t>5</w:t>
      </w:r>
      <w:r>
        <w:rPr>
          <w:color w:val="000000"/>
          <w:kern w:val="0"/>
          <w:sz w:val="24"/>
          <w:szCs w:val="24"/>
        </w:rPr>
        <w:t>、</w:t>
      </w:r>
      <w:r>
        <w:rPr>
          <w:rFonts w:hAnsi="宋体"/>
          <w:color w:val="000000"/>
          <w:kern w:val="0"/>
          <w:sz w:val="24"/>
          <w:szCs w:val="24"/>
        </w:rPr>
        <w:t>水样、固体废物采集采用合适的器皿和保存措施，并采集不少于10%的平行样；实验室分析加测不少于10%的平行样；对可以得到标准/质控样品的监测因子，加测10%的标准/质控样品；对无标准/质控样品的监测因子，</w:t>
      </w:r>
      <w:r>
        <w:rPr>
          <w:rFonts w:hint="eastAsia" w:hAnsi="宋体"/>
          <w:color w:val="000000"/>
          <w:kern w:val="0"/>
          <w:sz w:val="24"/>
          <w:szCs w:val="24"/>
        </w:rPr>
        <w:t>在</w:t>
      </w:r>
      <w:r>
        <w:rPr>
          <w:rFonts w:hAnsi="宋体"/>
          <w:color w:val="000000"/>
          <w:kern w:val="0"/>
          <w:sz w:val="24"/>
          <w:szCs w:val="24"/>
        </w:rPr>
        <w:t>可进行加标回收测试的</w:t>
      </w:r>
      <w:r>
        <w:rPr>
          <w:rFonts w:hint="eastAsia" w:hAnsi="宋体"/>
          <w:color w:val="000000"/>
          <w:kern w:val="0"/>
          <w:sz w:val="24"/>
          <w:szCs w:val="24"/>
        </w:rPr>
        <w:t>时</w:t>
      </w:r>
      <w:r>
        <w:rPr>
          <w:rFonts w:hAnsi="宋体"/>
          <w:color w:val="000000"/>
          <w:kern w:val="0"/>
          <w:sz w:val="24"/>
          <w:szCs w:val="24"/>
        </w:rPr>
        <w:t>，加测10%加标回收样品，或采取其他质控措施。</w:t>
      </w:r>
    </w:p>
    <w:p>
      <w:pPr>
        <w:autoSpaceDE w:val="0"/>
        <w:autoSpaceDN w:val="0"/>
        <w:adjustRightInd w:val="0"/>
        <w:spacing w:line="360" w:lineRule="auto"/>
        <w:ind w:firstLine="480" w:firstLineChars="200"/>
        <w:jc w:val="left"/>
        <w:rPr>
          <w:rFonts w:hAnsi="宋体"/>
          <w:color w:val="000000"/>
          <w:kern w:val="0"/>
          <w:sz w:val="24"/>
          <w:szCs w:val="24"/>
        </w:rPr>
      </w:pPr>
      <w:r>
        <w:rPr>
          <w:rFonts w:hAnsi="宋体"/>
          <w:color w:val="000000"/>
          <w:kern w:val="0"/>
          <w:sz w:val="24"/>
          <w:szCs w:val="24"/>
        </w:rPr>
        <w:t>废气监测（分析）仪在测试前用标准气体和流量计进行校核（标定），测试时应保证其采样流量和气密性，并合理选择量程，使被测污染物浓度落在仪器测试量程的有效范围</w:t>
      </w:r>
      <w:r>
        <w:rPr>
          <w:rFonts w:hint="eastAsia" w:hAnsi="宋体"/>
          <w:color w:val="000000"/>
          <w:kern w:val="0"/>
          <w:sz w:val="24"/>
          <w:szCs w:val="24"/>
        </w:rPr>
        <w:t>，</w:t>
      </w:r>
      <w:r>
        <w:rPr>
          <w:rFonts w:hAnsi="宋体"/>
          <w:color w:val="000000"/>
          <w:kern w:val="0"/>
          <w:sz w:val="24"/>
          <w:szCs w:val="24"/>
        </w:rPr>
        <w:t>即仪器量程的30～70%之间，避免共存污染因子的交叉干扰。</w:t>
      </w:r>
    </w:p>
    <w:p>
      <w:pPr>
        <w:autoSpaceDE w:val="0"/>
        <w:autoSpaceDN w:val="0"/>
        <w:adjustRightInd w:val="0"/>
        <w:spacing w:line="540" w:lineRule="exact"/>
        <w:ind w:firstLine="480" w:firstLineChars="200"/>
        <w:jc w:val="left"/>
        <w:rPr>
          <w:color w:val="000000"/>
          <w:kern w:val="0"/>
          <w:sz w:val="24"/>
          <w:szCs w:val="24"/>
        </w:rPr>
      </w:pPr>
      <w:r>
        <w:rPr>
          <w:rFonts w:hAnsi="宋体"/>
          <w:color w:val="000000"/>
          <w:kern w:val="0"/>
          <w:sz w:val="24"/>
          <w:szCs w:val="24"/>
        </w:rPr>
        <w:t>声级计在测试前后用标准声源进行校准，测量前后仪器的灵敏度相差不大于0.5dB，若大于0.5dB</w:t>
      </w:r>
      <w:r>
        <w:rPr>
          <w:rFonts w:hint="eastAsia" w:hAnsi="宋体"/>
          <w:color w:val="000000"/>
          <w:kern w:val="0"/>
          <w:sz w:val="24"/>
          <w:szCs w:val="24"/>
        </w:rPr>
        <w:t>，</w:t>
      </w:r>
      <w:r>
        <w:rPr>
          <w:rFonts w:hAnsi="宋体"/>
          <w:color w:val="000000"/>
          <w:kern w:val="0"/>
          <w:sz w:val="24"/>
          <w:szCs w:val="24"/>
        </w:rPr>
        <w:t>则测试数据无效</w:t>
      </w:r>
      <w:r>
        <w:rPr>
          <w:rFonts w:hint="eastAsia"/>
          <w:color w:val="000000"/>
          <w:kern w:val="0"/>
          <w:sz w:val="24"/>
          <w:szCs w:val="24"/>
        </w:rPr>
        <w:t>。</w:t>
      </w:r>
    </w:p>
    <w:p>
      <w:pPr>
        <w:autoSpaceDE w:val="0"/>
        <w:autoSpaceDN w:val="0"/>
        <w:adjustRightInd w:val="0"/>
        <w:spacing w:line="540" w:lineRule="exact"/>
        <w:ind w:firstLine="480" w:firstLineChars="200"/>
        <w:jc w:val="left"/>
        <w:rPr>
          <w:kern w:val="0"/>
          <w:sz w:val="28"/>
          <w:szCs w:val="28"/>
        </w:rPr>
      </w:pPr>
      <w:r>
        <w:rPr>
          <w:rFonts w:hint="eastAsia"/>
          <w:color w:val="000000"/>
          <w:kern w:val="0"/>
          <w:sz w:val="24"/>
          <w:szCs w:val="24"/>
        </w:rPr>
        <w:t>6</w:t>
      </w:r>
      <w:r>
        <w:rPr>
          <w:color w:val="000000"/>
          <w:kern w:val="0"/>
          <w:sz w:val="24"/>
          <w:szCs w:val="24"/>
        </w:rPr>
        <w:t>、监测数据和监测报告严格实行</w:t>
      </w:r>
      <w:r>
        <w:rPr>
          <w:rFonts w:hint="eastAsia"/>
          <w:color w:val="000000"/>
          <w:kern w:val="0"/>
          <w:sz w:val="24"/>
          <w:szCs w:val="24"/>
        </w:rPr>
        <w:t>“</w:t>
      </w:r>
      <w:r>
        <w:rPr>
          <w:color w:val="000000"/>
          <w:kern w:val="0"/>
          <w:sz w:val="24"/>
          <w:szCs w:val="24"/>
        </w:rPr>
        <w:t>三级审核</w:t>
      </w:r>
      <w:r>
        <w:rPr>
          <w:rFonts w:hint="eastAsia"/>
          <w:color w:val="000000"/>
          <w:kern w:val="0"/>
          <w:sz w:val="24"/>
          <w:szCs w:val="24"/>
        </w:rPr>
        <w:t>”</w:t>
      </w:r>
      <w:r>
        <w:rPr>
          <w:color w:val="000000"/>
          <w:kern w:val="0"/>
          <w:sz w:val="24"/>
          <w:szCs w:val="24"/>
        </w:rPr>
        <w:t>制度。</w:t>
      </w:r>
    </w:p>
    <w:p>
      <w:pPr>
        <w:pStyle w:val="63"/>
        <w:rPr>
          <w:rFonts w:cs="Times New Roman"/>
          <w:sz w:val="36"/>
        </w:rPr>
        <w:sectPr>
          <w:footerReference r:id="rId6" w:type="default"/>
          <w:pgSz w:w="11906" w:h="16838"/>
          <w:pgMar w:top="1701" w:right="1418" w:bottom="1588" w:left="1418" w:header="851" w:footer="992" w:gutter="0"/>
          <w:cols w:space="425" w:num="1"/>
          <w:docGrid w:type="lines" w:linePitch="312" w:charSpace="0"/>
        </w:sectPr>
      </w:pPr>
      <w:bookmarkStart w:id="157" w:name="_Toc333588667"/>
      <w:bookmarkStart w:id="158" w:name="_Toc333501126"/>
      <w:bookmarkStart w:id="159" w:name="_Toc333501415"/>
      <w:bookmarkStart w:id="160" w:name="_Toc312829626"/>
    </w:p>
    <w:p>
      <w:pPr>
        <w:pStyle w:val="63"/>
        <w:spacing w:beforeLines="50"/>
        <w:rPr>
          <w:rFonts w:hint="eastAsia" w:ascii="Times New Roman" w:hAnsi="Times New Roman" w:cs="Times New Roman"/>
          <w:sz w:val="36"/>
        </w:rPr>
      </w:pPr>
      <w:bookmarkStart w:id="161" w:name="_Toc20624"/>
      <w:r>
        <w:rPr>
          <w:rFonts w:hint="eastAsia" w:ascii="Times New Roman" w:hAnsi="Times New Roman" w:cs="Times New Roman"/>
          <w:sz w:val="36"/>
        </w:rPr>
        <w:t>9</w:t>
      </w:r>
      <w:bookmarkStart w:id="162" w:name="_Toc307820542"/>
      <w:bookmarkStart w:id="163" w:name="_Toc279396510"/>
      <w:bookmarkStart w:id="164" w:name="_Toc279396329"/>
      <w:bookmarkStart w:id="165" w:name="_Toc307944460"/>
      <w:r>
        <w:rPr>
          <w:rFonts w:hint="eastAsia" w:ascii="Times New Roman" w:hAnsi="Times New Roman" w:cs="Times New Roman"/>
          <w:sz w:val="36"/>
        </w:rPr>
        <w:t>验收监测结果</w:t>
      </w:r>
      <w:bookmarkEnd w:id="162"/>
      <w:bookmarkEnd w:id="163"/>
      <w:bookmarkEnd w:id="164"/>
      <w:r>
        <w:rPr>
          <w:rFonts w:hint="eastAsia" w:ascii="Times New Roman" w:hAnsi="Times New Roman" w:cs="Times New Roman"/>
          <w:sz w:val="36"/>
        </w:rPr>
        <w:t>及分析</w:t>
      </w:r>
      <w:bookmarkEnd w:id="157"/>
      <w:bookmarkEnd w:id="158"/>
      <w:bookmarkEnd w:id="159"/>
      <w:bookmarkEnd w:id="160"/>
      <w:bookmarkEnd w:id="161"/>
      <w:bookmarkEnd w:id="165"/>
    </w:p>
    <w:p>
      <w:pPr>
        <w:spacing w:line="540" w:lineRule="exact"/>
        <w:ind w:firstLine="480" w:firstLineChars="200"/>
        <w:rPr>
          <w:sz w:val="24"/>
          <w:szCs w:val="24"/>
        </w:rPr>
      </w:pPr>
      <w:r>
        <w:rPr>
          <w:rFonts w:hint="eastAsia" w:hAnsi="宋体"/>
          <w:sz w:val="24"/>
          <w:szCs w:val="24"/>
          <w:lang w:eastAsia="zh-CN"/>
        </w:rPr>
        <w:t>重庆绿创环境检测技术有限公司</w:t>
      </w:r>
      <w:r>
        <w:rPr>
          <w:rFonts w:hAnsi="宋体"/>
          <w:sz w:val="24"/>
          <w:szCs w:val="24"/>
        </w:rPr>
        <w:t>于</w:t>
      </w:r>
      <w:r>
        <w:rPr>
          <w:rFonts w:hint="eastAsia"/>
          <w:sz w:val="24"/>
          <w:szCs w:val="24"/>
          <w:lang w:eastAsia="zh-CN"/>
        </w:rPr>
        <w:t xml:space="preserve"> 202</w:t>
      </w:r>
      <w:r>
        <w:rPr>
          <w:rFonts w:hint="eastAsia"/>
          <w:sz w:val="24"/>
          <w:szCs w:val="24"/>
          <w:lang w:val="en-US" w:eastAsia="zh-CN"/>
        </w:rPr>
        <w:t>4</w:t>
      </w:r>
      <w:r>
        <w:rPr>
          <w:rFonts w:hint="eastAsia"/>
          <w:sz w:val="24"/>
          <w:szCs w:val="24"/>
          <w:lang w:eastAsia="zh-CN"/>
        </w:rPr>
        <w:t>年</w:t>
      </w:r>
      <w:r>
        <w:rPr>
          <w:rFonts w:hint="eastAsia"/>
          <w:sz w:val="24"/>
          <w:szCs w:val="24"/>
          <w:lang w:val="en-US" w:eastAsia="zh-CN"/>
        </w:rPr>
        <w:t>4</w:t>
      </w:r>
      <w:r>
        <w:rPr>
          <w:rFonts w:hint="eastAsia"/>
          <w:sz w:val="24"/>
          <w:szCs w:val="24"/>
          <w:lang w:eastAsia="zh-CN"/>
        </w:rPr>
        <w:t>月</w:t>
      </w:r>
      <w:r>
        <w:rPr>
          <w:rFonts w:hint="eastAsia"/>
          <w:sz w:val="24"/>
          <w:szCs w:val="24"/>
          <w:lang w:val="en-US" w:eastAsia="zh-CN"/>
        </w:rPr>
        <w:t>12</w:t>
      </w:r>
      <w:r>
        <w:rPr>
          <w:rFonts w:hint="eastAsia"/>
          <w:sz w:val="24"/>
          <w:szCs w:val="24"/>
          <w:lang w:eastAsia="zh-CN"/>
        </w:rPr>
        <w:t>日-</w:t>
      </w:r>
      <w:r>
        <w:rPr>
          <w:rFonts w:hint="eastAsia"/>
          <w:sz w:val="24"/>
          <w:szCs w:val="24"/>
          <w:lang w:val="en-US" w:eastAsia="zh-CN"/>
        </w:rPr>
        <w:t>13</w:t>
      </w:r>
      <w:r>
        <w:rPr>
          <w:rFonts w:hint="eastAsia"/>
          <w:sz w:val="24"/>
          <w:szCs w:val="24"/>
          <w:lang w:eastAsia="zh-CN"/>
        </w:rPr>
        <w:t>日</w:t>
      </w:r>
      <w:r>
        <w:rPr>
          <w:rFonts w:hAnsi="宋体"/>
          <w:sz w:val="24"/>
          <w:szCs w:val="24"/>
        </w:rPr>
        <w:t>按照</w:t>
      </w:r>
      <w:r>
        <w:rPr>
          <w:rFonts w:hint="eastAsia" w:hAnsi="宋体"/>
          <w:sz w:val="24"/>
          <w:szCs w:val="24"/>
          <w:lang w:eastAsia="zh-CN"/>
        </w:rPr>
        <w:t>奉节县顺全加油站改扩建项目</w:t>
      </w:r>
      <w:r>
        <w:rPr>
          <w:rFonts w:hAnsi="宋体"/>
          <w:sz w:val="24"/>
          <w:szCs w:val="24"/>
        </w:rPr>
        <w:t>验收监测方案对</w:t>
      </w:r>
      <w:r>
        <w:rPr>
          <w:rFonts w:hint="eastAsia" w:hAnsi="宋体"/>
          <w:sz w:val="24"/>
          <w:szCs w:val="24"/>
          <w:lang w:eastAsia="zh-CN"/>
        </w:rPr>
        <w:t>奉节县顺全加油站改扩建项目</w:t>
      </w:r>
      <w:r>
        <w:rPr>
          <w:rFonts w:hAnsi="宋体"/>
          <w:sz w:val="24"/>
          <w:szCs w:val="24"/>
        </w:rPr>
        <w:t>外排废水、废气及</w:t>
      </w:r>
      <w:r>
        <w:rPr>
          <w:rFonts w:hint="eastAsia" w:hAnsi="宋体"/>
          <w:sz w:val="24"/>
          <w:szCs w:val="24"/>
        </w:rPr>
        <w:t>厂界</w:t>
      </w:r>
      <w:r>
        <w:rPr>
          <w:rFonts w:hAnsi="宋体"/>
          <w:sz w:val="24"/>
          <w:szCs w:val="24"/>
        </w:rPr>
        <w:t>噪声</w:t>
      </w:r>
      <w:r>
        <w:rPr>
          <w:rFonts w:hAnsi="宋体"/>
          <w:bCs/>
          <w:sz w:val="24"/>
          <w:szCs w:val="24"/>
        </w:rPr>
        <w:t>实施了监测</w:t>
      </w:r>
      <w:r>
        <w:rPr>
          <w:rFonts w:hint="eastAsia" w:hAnsi="宋体"/>
          <w:bCs/>
          <w:sz w:val="24"/>
          <w:szCs w:val="24"/>
        </w:rPr>
        <w:t>，</w:t>
      </w:r>
      <w:r>
        <w:rPr>
          <w:rFonts w:hAnsi="宋体"/>
          <w:sz w:val="24"/>
          <w:szCs w:val="24"/>
        </w:rPr>
        <w:t>监测结果详见附件</w:t>
      </w:r>
      <w:r>
        <w:rPr>
          <w:rFonts w:hint="eastAsia"/>
          <w:sz w:val="24"/>
          <w:szCs w:val="24"/>
        </w:rPr>
        <w:t>2</w:t>
      </w:r>
      <w:r>
        <w:rPr>
          <w:rFonts w:hAnsi="宋体"/>
          <w:sz w:val="24"/>
          <w:szCs w:val="24"/>
        </w:rPr>
        <w:t>（</w:t>
      </w:r>
      <w:r>
        <w:rPr>
          <w:rFonts w:hint="eastAsia" w:hAnsi="宋体"/>
          <w:sz w:val="24"/>
          <w:szCs w:val="24"/>
          <w:lang w:eastAsia="zh-CN"/>
        </w:rPr>
        <w:t>绿创环检字【2024]YS第021号</w:t>
      </w:r>
      <w:r>
        <w:rPr>
          <w:rFonts w:hAnsi="宋体"/>
          <w:sz w:val="24"/>
          <w:szCs w:val="24"/>
        </w:rPr>
        <w:t>）。</w:t>
      </w:r>
    </w:p>
    <w:p>
      <w:pPr>
        <w:pStyle w:val="64"/>
        <w:rPr>
          <w:rFonts w:cs="Times New Roman"/>
          <w:sz w:val="32"/>
        </w:rPr>
      </w:pPr>
      <w:bookmarkStart w:id="166" w:name="_Toc307820543"/>
      <w:bookmarkStart w:id="167" w:name="_Toc333501127"/>
      <w:bookmarkStart w:id="168" w:name="_Toc333588668"/>
      <w:bookmarkStart w:id="169" w:name="_Toc312829627"/>
      <w:bookmarkStart w:id="170" w:name="_Toc333501416"/>
      <w:bookmarkStart w:id="171" w:name="_Toc307944461"/>
      <w:bookmarkStart w:id="172" w:name="_Toc3848"/>
      <w:r>
        <w:rPr>
          <w:rFonts w:hint="eastAsia" w:cs="Times New Roman"/>
          <w:sz w:val="32"/>
        </w:rPr>
        <w:t>9</w:t>
      </w:r>
      <w:r>
        <w:rPr>
          <w:rFonts w:cs="Times New Roman"/>
          <w:sz w:val="32"/>
        </w:rPr>
        <w:t>.1 监测期间工况</w:t>
      </w:r>
      <w:bookmarkEnd w:id="166"/>
      <w:bookmarkEnd w:id="167"/>
      <w:bookmarkEnd w:id="168"/>
      <w:bookmarkEnd w:id="169"/>
      <w:bookmarkEnd w:id="170"/>
      <w:bookmarkEnd w:id="171"/>
      <w:bookmarkEnd w:id="172"/>
    </w:p>
    <w:p>
      <w:pPr>
        <w:pStyle w:val="16"/>
        <w:spacing w:line="5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检测期间，</w:t>
      </w:r>
      <w:r>
        <w:rPr>
          <w:rFonts w:hint="eastAsia" w:ascii="Times New Roman" w:hAnsi="Times New Roman" w:cs="Times New Roman"/>
          <w:sz w:val="24"/>
          <w:szCs w:val="24"/>
          <w:lang w:eastAsia="zh-CN"/>
        </w:rPr>
        <w:t>奉节县顺全加油站改扩建项目建设项目</w:t>
      </w:r>
      <w:r>
        <w:rPr>
          <w:rFonts w:hint="eastAsia" w:ascii="Times New Roman" w:hAnsi="Times New Roman" w:cs="Times New Roman"/>
          <w:sz w:val="24"/>
          <w:szCs w:val="24"/>
        </w:rPr>
        <w:t>正常</w:t>
      </w:r>
      <w:r>
        <w:rPr>
          <w:rFonts w:ascii="Times New Roman" w:hAnsi="Times New Roman" w:cs="Times New Roman"/>
          <w:sz w:val="24"/>
          <w:szCs w:val="24"/>
        </w:rPr>
        <w:t>运行。</w:t>
      </w:r>
    </w:p>
    <w:p>
      <w:pPr>
        <w:pStyle w:val="64"/>
        <w:rPr>
          <w:rFonts w:cs="Times New Roman"/>
          <w:sz w:val="32"/>
        </w:rPr>
      </w:pPr>
      <w:bookmarkStart w:id="173" w:name="_Toc333501417"/>
      <w:bookmarkStart w:id="174" w:name="_Toc307944462"/>
      <w:bookmarkStart w:id="175" w:name="_Toc312829628"/>
      <w:bookmarkStart w:id="176" w:name="_Toc307820544"/>
      <w:bookmarkStart w:id="177" w:name="_Toc279396511"/>
      <w:bookmarkStart w:id="178" w:name="_Toc333588669"/>
      <w:bookmarkStart w:id="179" w:name="_Toc333501128"/>
      <w:bookmarkStart w:id="180" w:name="_Toc279396330"/>
      <w:bookmarkStart w:id="181" w:name="_Toc18326"/>
      <w:r>
        <w:rPr>
          <w:rFonts w:hint="eastAsia" w:cs="Times New Roman"/>
          <w:sz w:val="32"/>
        </w:rPr>
        <w:t>9</w:t>
      </w:r>
      <w:r>
        <w:rPr>
          <w:rFonts w:cs="Times New Roman"/>
          <w:sz w:val="32"/>
        </w:rPr>
        <w:t xml:space="preserve">.2 </w:t>
      </w:r>
      <w:bookmarkEnd w:id="173"/>
      <w:bookmarkEnd w:id="174"/>
      <w:bookmarkEnd w:id="175"/>
      <w:bookmarkEnd w:id="176"/>
      <w:bookmarkEnd w:id="177"/>
      <w:bookmarkEnd w:id="178"/>
      <w:bookmarkEnd w:id="179"/>
      <w:bookmarkEnd w:id="180"/>
      <w:r>
        <w:rPr>
          <w:rFonts w:hint="eastAsia" w:cs="Times New Roman"/>
          <w:sz w:val="32"/>
        </w:rPr>
        <w:t>环境保护设施调试效果</w:t>
      </w:r>
      <w:bookmarkEnd w:id="181"/>
    </w:p>
    <w:p>
      <w:pPr>
        <w:spacing w:line="360" w:lineRule="auto"/>
        <w:rPr>
          <w:b/>
          <w:sz w:val="28"/>
          <w:szCs w:val="28"/>
        </w:rPr>
      </w:pPr>
      <w:r>
        <w:rPr>
          <w:rFonts w:hint="eastAsia"/>
          <w:b/>
          <w:sz w:val="28"/>
        </w:rPr>
        <w:t>9</w:t>
      </w:r>
      <w:r>
        <w:rPr>
          <w:b/>
          <w:sz w:val="28"/>
        </w:rPr>
        <w:t xml:space="preserve">.2.1 </w:t>
      </w:r>
      <w:r>
        <w:rPr>
          <w:rFonts w:hint="eastAsia"/>
          <w:b/>
          <w:sz w:val="28"/>
        </w:rPr>
        <w:t>废水</w:t>
      </w:r>
    </w:p>
    <w:p>
      <w:pPr>
        <w:spacing w:line="540" w:lineRule="exact"/>
        <w:ind w:firstLine="480" w:firstLineChars="200"/>
        <w:rPr>
          <w:rFonts w:hAnsi="宋体"/>
          <w:sz w:val="24"/>
          <w:szCs w:val="24"/>
        </w:rPr>
      </w:pPr>
      <w:bookmarkStart w:id="182" w:name="_Toc312829629"/>
      <w:bookmarkStart w:id="183" w:name="_Toc333501418"/>
      <w:bookmarkStart w:id="184" w:name="_Toc333501129"/>
      <w:bookmarkStart w:id="185" w:name="_Toc333588670"/>
      <w:r>
        <w:rPr>
          <w:rFonts w:hint="eastAsia" w:hAnsi="宋体"/>
          <w:sz w:val="24"/>
          <w:szCs w:val="24"/>
        </w:rPr>
        <w:t>废水监测结果详见表9-1。</w:t>
      </w:r>
    </w:p>
    <w:p>
      <w:pPr>
        <w:spacing w:line="500" w:lineRule="exact"/>
        <w:jc w:val="center"/>
        <w:rPr>
          <w:rFonts w:hAnsi="宋体"/>
          <w:b/>
          <w:sz w:val="24"/>
          <w:szCs w:val="24"/>
        </w:rPr>
      </w:pPr>
      <w:r>
        <w:rPr>
          <w:rFonts w:hAnsi="宋体"/>
          <w:b/>
          <w:sz w:val="24"/>
          <w:szCs w:val="24"/>
        </w:rPr>
        <w:t>表</w:t>
      </w:r>
      <w:r>
        <w:rPr>
          <w:rFonts w:hint="eastAsia"/>
          <w:b/>
          <w:sz w:val="24"/>
          <w:szCs w:val="24"/>
        </w:rPr>
        <w:t>9-1</w:t>
      </w:r>
      <w:r>
        <w:rPr>
          <w:rFonts w:hAnsi="宋体"/>
          <w:b/>
          <w:sz w:val="24"/>
          <w:szCs w:val="24"/>
        </w:rPr>
        <w:t>废水监测结果一览表</w:t>
      </w:r>
    </w:p>
    <w:tbl>
      <w:tblPr>
        <w:tblStyle w:val="80"/>
        <w:tblW w:w="502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0"/>
        <w:gridCol w:w="1169"/>
        <w:gridCol w:w="1055"/>
        <w:gridCol w:w="1577"/>
        <w:gridCol w:w="13"/>
        <w:gridCol w:w="1092"/>
        <w:gridCol w:w="13"/>
        <w:gridCol w:w="1092"/>
        <w:gridCol w:w="13"/>
        <w:gridCol w:w="1105"/>
        <w:gridCol w:w="1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restart"/>
            <w:tcBorders>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检测</w:t>
            </w: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时间</w:t>
            </w:r>
          </w:p>
        </w:tc>
        <w:tc>
          <w:tcPr>
            <w:tcW w:w="1218" w:type="pct"/>
            <w:gridSpan w:val="2"/>
            <w:vMerge w:val="restart"/>
            <w:tcBorders>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检测点位</w:t>
            </w: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及项目</w:t>
            </w:r>
          </w:p>
        </w:tc>
        <w:tc>
          <w:tcPr>
            <w:tcW w:w="870"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外观</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化学需氧量</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氨氮</w:t>
            </w:r>
          </w:p>
        </w:tc>
        <w:tc>
          <w:tcPr>
            <w:tcW w:w="605"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悬浮物</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石油类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continue"/>
            <w:tcBorders>
              <w:top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1218" w:type="pct"/>
            <w:gridSpan w:val="2"/>
            <w:vMerge w:val="continue"/>
            <w:tcBorders>
              <w:top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870"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mg/L</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mg/L</w:t>
            </w:r>
          </w:p>
        </w:tc>
        <w:tc>
          <w:tcPr>
            <w:tcW w:w="605"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mg/L</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restart"/>
            <w:tcBorders>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2024/4/12</w:t>
            </w:r>
          </w:p>
        </w:tc>
        <w:tc>
          <w:tcPr>
            <w:tcW w:w="640" w:type="pct"/>
            <w:vMerge w:val="restart"/>
            <w:tcBorders>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★Al(进口)</w:t>
            </w:r>
          </w:p>
        </w:tc>
        <w:tc>
          <w:tcPr>
            <w:tcW w:w="577"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第一次</w:t>
            </w:r>
          </w:p>
        </w:tc>
        <w:tc>
          <w:tcPr>
            <w:tcW w:w="870"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浅灰、微浊、有异</w:t>
            </w: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味</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25</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0.606</w:t>
            </w:r>
          </w:p>
        </w:tc>
        <w:tc>
          <w:tcPr>
            <w:tcW w:w="605"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12.5</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continue"/>
            <w:tcBorders>
              <w:top w:val="nil"/>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640" w:type="pct"/>
            <w:vMerge w:val="continue"/>
            <w:tcBorders>
              <w:top w:val="nil"/>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577"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第二次</w:t>
            </w:r>
          </w:p>
        </w:tc>
        <w:tc>
          <w:tcPr>
            <w:tcW w:w="870"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浅灰、微浊、有异</w:t>
            </w: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味</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23</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0.620</w:t>
            </w:r>
          </w:p>
        </w:tc>
        <w:tc>
          <w:tcPr>
            <w:tcW w:w="605"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12.4</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continue"/>
            <w:tcBorders>
              <w:top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640" w:type="pct"/>
            <w:vMerge w:val="continue"/>
            <w:tcBorders>
              <w:top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577"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第三次</w:t>
            </w:r>
          </w:p>
        </w:tc>
        <w:tc>
          <w:tcPr>
            <w:tcW w:w="870"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浅灰、微浊、有异</w:t>
            </w: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味</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21</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0.641</w:t>
            </w:r>
          </w:p>
        </w:tc>
        <w:tc>
          <w:tcPr>
            <w:tcW w:w="605"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12.4</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99" w:type="pct"/>
            <w:gridSpan w:val="3"/>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平均值</w:t>
            </w:r>
          </w:p>
        </w:tc>
        <w:tc>
          <w:tcPr>
            <w:tcW w:w="870"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23</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0.622</w:t>
            </w:r>
          </w:p>
        </w:tc>
        <w:tc>
          <w:tcPr>
            <w:tcW w:w="605"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12.4</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restart"/>
            <w:tcBorders>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2024/4/12</w:t>
            </w:r>
          </w:p>
        </w:tc>
        <w:tc>
          <w:tcPr>
            <w:tcW w:w="640" w:type="pct"/>
            <w:vMerge w:val="restart"/>
            <w:tcBorders>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★A2(出口)</w:t>
            </w:r>
          </w:p>
        </w:tc>
        <w:tc>
          <w:tcPr>
            <w:tcW w:w="577"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第一次</w:t>
            </w:r>
          </w:p>
        </w:tc>
        <w:tc>
          <w:tcPr>
            <w:tcW w:w="870"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浅黄、微浊、有异</w:t>
            </w: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味</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466</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61.9</w:t>
            </w:r>
          </w:p>
        </w:tc>
        <w:tc>
          <w:tcPr>
            <w:tcW w:w="605"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43.8</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continue"/>
            <w:tcBorders>
              <w:top w:val="nil"/>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640" w:type="pct"/>
            <w:vMerge w:val="continue"/>
            <w:tcBorders>
              <w:top w:val="nil"/>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577"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第二次</w:t>
            </w:r>
          </w:p>
        </w:tc>
        <w:tc>
          <w:tcPr>
            <w:tcW w:w="870"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浅黄、微浊、有异</w:t>
            </w: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味</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464</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61.3</w:t>
            </w:r>
          </w:p>
        </w:tc>
        <w:tc>
          <w:tcPr>
            <w:tcW w:w="605"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42.1</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continue"/>
            <w:tcBorders>
              <w:top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640" w:type="pct"/>
            <w:vMerge w:val="continue"/>
            <w:tcBorders>
              <w:top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577"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第三次</w:t>
            </w:r>
          </w:p>
        </w:tc>
        <w:tc>
          <w:tcPr>
            <w:tcW w:w="870"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浅黄、微浊、有异</w:t>
            </w: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味</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461</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60.8</w:t>
            </w:r>
          </w:p>
        </w:tc>
        <w:tc>
          <w:tcPr>
            <w:tcW w:w="605"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42.9</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99" w:type="pct"/>
            <w:gridSpan w:val="3"/>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平均值</w:t>
            </w:r>
          </w:p>
        </w:tc>
        <w:tc>
          <w:tcPr>
            <w:tcW w:w="870"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464</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61.3</w:t>
            </w:r>
          </w:p>
        </w:tc>
        <w:tc>
          <w:tcPr>
            <w:tcW w:w="605"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42.9</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99" w:type="pct"/>
            <w:gridSpan w:val="3"/>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标准限值</w:t>
            </w:r>
          </w:p>
        </w:tc>
        <w:tc>
          <w:tcPr>
            <w:tcW w:w="870"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500</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w:t>
            </w:r>
          </w:p>
        </w:tc>
        <w:tc>
          <w:tcPr>
            <w:tcW w:w="605"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400</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99" w:type="pct"/>
            <w:gridSpan w:val="3"/>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参考依据</w:t>
            </w:r>
          </w:p>
        </w:tc>
        <w:tc>
          <w:tcPr>
            <w:tcW w:w="3300" w:type="pct"/>
            <w:gridSpan w:val="8"/>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《污水综合排放标准》(GB8978-1996)三级标准限值。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restart"/>
            <w:tcBorders>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检测</w:t>
            </w: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时间</w:t>
            </w:r>
          </w:p>
        </w:tc>
        <w:tc>
          <w:tcPr>
            <w:tcW w:w="1218" w:type="pct"/>
            <w:gridSpan w:val="2"/>
            <w:vMerge w:val="restart"/>
            <w:tcBorders>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检测点位</w:t>
            </w: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及项目</w:t>
            </w:r>
          </w:p>
        </w:tc>
        <w:tc>
          <w:tcPr>
            <w:tcW w:w="86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外观</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化学</w:t>
            </w: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需氧量</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氨氮</w:t>
            </w:r>
          </w:p>
        </w:tc>
        <w:tc>
          <w:tcPr>
            <w:tcW w:w="612"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悬浮物</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石油类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continue"/>
            <w:tcBorders>
              <w:top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1218" w:type="pct"/>
            <w:gridSpan w:val="2"/>
            <w:vMerge w:val="continue"/>
            <w:tcBorders>
              <w:top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86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mg/L</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mg/L</w:t>
            </w:r>
          </w:p>
        </w:tc>
        <w:tc>
          <w:tcPr>
            <w:tcW w:w="612"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mg/L</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restart"/>
            <w:tcBorders>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2024/4/13</w:t>
            </w:r>
          </w:p>
        </w:tc>
        <w:tc>
          <w:tcPr>
            <w:tcW w:w="640" w:type="pct"/>
            <w:vMerge w:val="restart"/>
            <w:tcBorders>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★A1</w:t>
            </w:r>
            <w:r>
              <w:rPr>
                <w:rFonts w:hint="eastAsia" w:cs="Times New Roman"/>
                <w:kern w:val="0"/>
                <w:sz w:val="21"/>
                <w:szCs w:val="21"/>
                <w:highlight w:val="none"/>
                <w:lang w:val="en-US" w:eastAsia="zh-CN"/>
              </w:rPr>
              <w:t>（</w:t>
            </w:r>
            <w:r>
              <w:rPr>
                <w:rFonts w:hint="eastAsia" w:ascii="Times New Roman" w:hAnsi="Times New Roman" w:cs="Times New Roman"/>
                <w:kern w:val="0"/>
                <w:sz w:val="21"/>
                <w:szCs w:val="21"/>
                <w:highlight w:val="none"/>
                <w:lang w:val="en-US" w:eastAsia="zh-CN"/>
              </w:rPr>
              <w:t>进口</w:t>
            </w:r>
            <w:r>
              <w:rPr>
                <w:rFonts w:hint="eastAsia" w:cs="Times New Roman"/>
                <w:kern w:val="0"/>
                <w:sz w:val="21"/>
                <w:szCs w:val="21"/>
                <w:highlight w:val="none"/>
                <w:lang w:val="en-US" w:eastAsia="zh-CN"/>
              </w:rPr>
              <w:t>）</w:t>
            </w:r>
          </w:p>
        </w:tc>
        <w:tc>
          <w:tcPr>
            <w:tcW w:w="577"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第一次</w:t>
            </w:r>
          </w:p>
        </w:tc>
        <w:tc>
          <w:tcPr>
            <w:tcW w:w="86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浅灰、微</w:t>
            </w: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浊、有异 味</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20</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0.594</w:t>
            </w:r>
          </w:p>
        </w:tc>
        <w:tc>
          <w:tcPr>
            <w:tcW w:w="612"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12.4</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continue"/>
            <w:tcBorders>
              <w:top w:val="nil"/>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640" w:type="pct"/>
            <w:vMerge w:val="continue"/>
            <w:tcBorders>
              <w:top w:val="nil"/>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577"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第二次</w:t>
            </w:r>
          </w:p>
        </w:tc>
        <w:tc>
          <w:tcPr>
            <w:tcW w:w="86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浅灰、微浊、有异味</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15</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0.582</w:t>
            </w:r>
          </w:p>
        </w:tc>
        <w:tc>
          <w:tcPr>
            <w:tcW w:w="612"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12.8</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continue"/>
            <w:tcBorders>
              <w:top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640" w:type="pct"/>
            <w:vMerge w:val="continue"/>
            <w:tcBorders>
              <w:top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577"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第三次</w:t>
            </w:r>
          </w:p>
        </w:tc>
        <w:tc>
          <w:tcPr>
            <w:tcW w:w="86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浅灰、微浊、有异味</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18</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0.605</w:t>
            </w:r>
          </w:p>
        </w:tc>
        <w:tc>
          <w:tcPr>
            <w:tcW w:w="612"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13.0</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99" w:type="pct"/>
            <w:gridSpan w:val="3"/>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平均值</w:t>
            </w:r>
          </w:p>
        </w:tc>
        <w:tc>
          <w:tcPr>
            <w:tcW w:w="86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18</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0.594</w:t>
            </w:r>
          </w:p>
        </w:tc>
        <w:tc>
          <w:tcPr>
            <w:tcW w:w="612"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12.7</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restart"/>
            <w:tcBorders>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2024/4/13</w:t>
            </w:r>
          </w:p>
        </w:tc>
        <w:tc>
          <w:tcPr>
            <w:tcW w:w="640" w:type="pct"/>
            <w:vMerge w:val="restart"/>
            <w:tcBorders>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★A2</w:t>
            </w:r>
            <w:r>
              <w:rPr>
                <w:rFonts w:hint="eastAsia" w:cs="Times New Roman"/>
                <w:kern w:val="0"/>
                <w:sz w:val="21"/>
                <w:szCs w:val="21"/>
                <w:highlight w:val="none"/>
                <w:lang w:val="en-US" w:eastAsia="zh-CN"/>
              </w:rPr>
              <w:t>（</w:t>
            </w:r>
            <w:r>
              <w:rPr>
                <w:rFonts w:hint="eastAsia" w:ascii="Times New Roman" w:hAnsi="Times New Roman" w:cs="Times New Roman"/>
                <w:kern w:val="0"/>
                <w:sz w:val="21"/>
                <w:szCs w:val="21"/>
                <w:highlight w:val="none"/>
                <w:lang w:val="en-US" w:eastAsia="zh-CN"/>
              </w:rPr>
              <w:t>出口</w:t>
            </w:r>
            <w:r>
              <w:rPr>
                <w:rFonts w:hint="eastAsia" w:cs="Times New Roman"/>
                <w:kern w:val="0"/>
                <w:sz w:val="21"/>
                <w:szCs w:val="21"/>
                <w:highlight w:val="none"/>
                <w:lang w:val="en-US" w:eastAsia="zh-CN"/>
              </w:rPr>
              <w:t>）</w:t>
            </w:r>
          </w:p>
        </w:tc>
        <w:tc>
          <w:tcPr>
            <w:tcW w:w="577"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第一次</w:t>
            </w:r>
          </w:p>
        </w:tc>
        <w:tc>
          <w:tcPr>
            <w:tcW w:w="86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浅黄、微浊、有异味</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462</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58.4</w:t>
            </w:r>
          </w:p>
        </w:tc>
        <w:tc>
          <w:tcPr>
            <w:tcW w:w="612"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36.4</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continue"/>
            <w:tcBorders>
              <w:top w:val="nil"/>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640" w:type="pct"/>
            <w:vMerge w:val="continue"/>
            <w:tcBorders>
              <w:top w:val="nil"/>
              <w:bottom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577"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第二次</w:t>
            </w:r>
          </w:p>
        </w:tc>
        <w:tc>
          <w:tcPr>
            <w:tcW w:w="86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浅黄、微浊、有异味</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459</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59.5</w:t>
            </w:r>
          </w:p>
        </w:tc>
        <w:tc>
          <w:tcPr>
            <w:tcW w:w="612"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37.5</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0.06L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1" w:type="pct"/>
            <w:vMerge w:val="continue"/>
            <w:tcBorders>
              <w:top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640" w:type="pct"/>
            <w:vMerge w:val="continue"/>
            <w:tcBorders>
              <w:top w:val="nil"/>
            </w:tcBorders>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p>
        </w:tc>
        <w:tc>
          <w:tcPr>
            <w:tcW w:w="577"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第三次</w:t>
            </w:r>
          </w:p>
        </w:tc>
        <w:tc>
          <w:tcPr>
            <w:tcW w:w="86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浅黄、微浊、有异味</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456</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58.6</w:t>
            </w:r>
          </w:p>
        </w:tc>
        <w:tc>
          <w:tcPr>
            <w:tcW w:w="612"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35.7</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99" w:type="pct"/>
            <w:gridSpan w:val="3"/>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平均值</w:t>
            </w:r>
          </w:p>
        </w:tc>
        <w:tc>
          <w:tcPr>
            <w:tcW w:w="86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459</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58.8</w:t>
            </w:r>
          </w:p>
        </w:tc>
        <w:tc>
          <w:tcPr>
            <w:tcW w:w="612"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36.5</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99" w:type="pct"/>
            <w:gridSpan w:val="3"/>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标准限值</w:t>
            </w:r>
          </w:p>
        </w:tc>
        <w:tc>
          <w:tcPr>
            <w:tcW w:w="86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500</w:t>
            </w:r>
          </w:p>
        </w:tc>
        <w:tc>
          <w:tcPr>
            <w:tcW w:w="605"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w:t>
            </w:r>
          </w:p>
        </w:tc>
        <w:tc>
          <w:tcPr>
            <w:tcW w:w="612" w:type="pct"/>
            <w:gridSpan w:val="2"/>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400</w:t>
            </w:r>
          </w:p>
        </w:tc>
        <w:tc>
          <w:tcPr>
            <w:tcW w:w="613" w:type="pct"/>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99" w:type="pct"/>
            <w:gridSpan w:val="3"/>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参考依据</w:t>
            </w:r>
          </w:p>
        </w:tc>
        <w:tc>
          <w:tcPr>
            <w:tcW w:w="3300" w:type="pct"/>
            <w:gridSpan w:val="8"/>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《污水综合排放标准》(GB8978-1996)三级标准限值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699" w:type="pct"/>
            <w:gridSpan w:val="3"/>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备注</w:t>
            </w:r>
          </w:p>
        </w:tc>
        <w:tc>
          <w:tcPr>
            <w:tcW w:w="3300" w:type="pct"/>
            <w:gridSpan w:val="8"/>
            <w:vAlign w:val="center"/>
          </w:tcPr>
          <w:p>
            <w:pPr>
              <w:autoSpaceDE w:val="0"/>
              <w:autoSpaceDN w:val="0"/>
              <w:spacing w:line="240" w:lineRule="exact"/>
              <w:jc w:val="center"/>
              <w:rPr>
                <w:rFonts w:hint="eastAsia"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“L”表示测定值低于检出限。</w:t>
            </w:r>
          </w:p>
        </w:tc>
      </w:tr>
    </w:tbl>
    <w:p>
      <w:pPr>
        <w:spacing w:line="540" w:lineRule="exact"/>
        <w:ind w:firstLine="480" w:firstLineChars="200"/>
        <w:rPr>
          <w:rFonts w:hint="eastAsia"/>
          <w:b/>
          <w:sz w:val="28"/>
        </w:rPr>
      </w:pPr>
      <w:r>
        <w:rPr>
          <w:rFonts w:hint="eastAsia" w:hAnsi="宋体"/>
          <w:sz w:val="24"/>
          <w:szCs w:val="24"/>
        </w:rPr>
        <w:t>根据表9-1可知，</w:t>
      </w:r>
      <w:r>
        <w:rPr>
          <w:bCs/>
          <w:sz w:val="24"/>
          <w:szCs w:val="24"/>
        </w:rPr>
        <w:t>验收监测期间，</w:t>
      </w:r>
      <w:r>
        <w:rPr>
          <w:rFonts w:hint="eastAsia"/>
          <w:bCs/>
          <w:sz w:val="24"/>
          <w:szCs w:val="24"/>
          <w:lang w:eastAsia="zh-CN"/>
        </w:rPr>
        <w:t>奉节县顺全加油站改扩建项目</w:t>
      </w:r>
      <w:r>
        <w:rPr>
          <w:rFonts w:hint="eastAsia"/>
          <w:bCs/>
          <w:sz w:val="24"/>
          <w:szCs w:val="24"/>
        </w:rPr>
        <w:t>外排废水</w:t>
      </w:r>
      <w:r>
        <w:rPr>
          <w:rFonts w:hint="eastAsia"/>
          <w:sz w:val="24"/>
          <w:szCs w:val="24"/>
        </w:rPr>
        <w:t>CO</w:t>
      </w:r>
      <w:r>
        <w:rPr>
          <w:rFonts w:hint="eastAsia" w:ascii="Times New Roman" w:hAnsi="Times New Roman" w:cs="Times New Roman"/>
          <w:bCs/>
          <w:sz w:val="24"/>
          <w:szCs w:val="24"/>
        </w:rPr>
        <w:t>D、BOD</w:t>
      </w:r>
      <w:r>
        <w:rPr>
          <w:rFonts w:hint="eastAsia" w:ascii="Times New Roman" w:hAnsi="Times New Roman" w:cs="Times New Roman"/>
          <w:bCs/>
          <w:sz w:val="24"/>
          <w:szCs w:val="24"/>
          <w:vertAlign w:val="subscript"/>
        </w:rPr>
        <w:t>5</w:t>
      </w:r>
      <w:r>
        <w:rPr>
          <w:rFonts w:hint="eastAsia" w:ascii="Times New Roman" w:hAnsi="Times New Roman" w:cs="Times New Roman"/>
          <w:bCs/>
          <w:sz w:val="24"/>
          <w:szCs w:val="24"/>
        </w:rPr>
        <w:t>、SS、石油类排放浓度能够满足《污水综合排放标准》（</w:t>
      </w:r>
      <w:r>
        <w:rPr>
          <w:rFonts w:ascii="Times New Roman" w:hAnsi="Times New Roman" w:cs="Times New Roman"/>
          <w:bCs/>
          <w:sz w:val="24"/>
          <w:szCs w:val="24"/>
        </w:rPr>
        <w:t>GB8978-1996</w:t>
      </w:r>
      <w:r>
        <w:rPr>
          <w:rFonts w:hint="eastAsia" w:ascii="Times New Roman" w:hAnsi="Times New Roman" w:cs="Times New Roman"/>
          <w:bCs/>
          <w:sz w:val="24"/>
          <w:szCs w:val="24"/>
        </w:rPr>
        <w:t>）三级标准限值要求</w:t>
      </w:r>
      <w:r>
        <w:rPr>
          <w:rFonts w:hint="eastAsia" w:ascii="Times New Roman" w:hAnsi="Times New Roman" w:cs="Times New Roman"/>
          <w:bCs/>
          <w:sz w:val="24"/>
          <w:szCs w:val="24"/>
          <w:lang w:eastAsia="zh-CN"/>
        </w:rPr>
        <w:t>，</w:t>
      </w:r>
      <w:r>
        <w:rPr>
          <w:rFonts w:ascii="Times New Roman" w:hAnsi="Times New Roman" w:cs="Times New Roman"/>
          <w:bCs/>
          <w:sz w:val="24"/>
          <w:szCs w:val="24"/>
        </w:rPr>
        <w:t>氨氮</w:t>
      </w:r>
      <w:r>
        <w:rPr>
          <w:rFonts w:hint="eastAsia" w:ascii="Times New Roman" w:hAnsi="Times New Roman" w:cs="Times New Roman"/>
          <w:bCs/>
          <w:sz w:val="24"/>
          <w:szCs w:val="24"/>
          <w:lang w:eastAsia="zh-CN"/>
        </w:rPr>
        <w:t>满足</w:t>
      </w:r>
      <w:r>
        <w:rPr>
          <w:rFonts w:ascii="Times New Roman" w:hAnsi="Times New Roman" w:cs="Times New Roman"/>
          <w:bCs/>
          <w:sz w:val="24"/>
          <w:szCs w:val="24"/>
        </w:rPr>
        <w:t>《污水排入城镇下水道水质标准》（GB/T 31962-2015）表 1</w:t>
      </w:r>
      <w:r>
        <w:rPr>
          <w:rFonts w:hint="eastAsia" w:ascii="Times New Roman" w:hAnsi="Times New Roman" w:cs="Times New Roman"/>
          <w:bCs/>
          <w:sz w:val="24"/>
          <w:szCs w:val="24"/>
          <w:lang w:val="en-US" w:eastAsia="zh-CN"/>
        </w:rPr>
        <w:t>.</w:t>
      </w:r>
      <w:r>
        <w:rPr>
          <w:rFonts w:ascii="Times New Roman" w:hAnsi="Times New Roman" w:cs="Times New Roman"/>
          <w:bCs/>
          <w:sz w:val="24"/>
          <w:szCs w:val="24"/>
        </w:rPr>
        <w:t>B 级标准</w:t>
      </w:r>
      <w:r>
        <w:rPr>
          <w:rFonts w:hint="eastAsia" w:ascii="Times New Roman" w:hAnsi="Times New Roman" w:cs="Times New Roman"/>
          <w:bCs/>
          <w:sz w:val="24"/>
          <w:szCs w:val="24"/>
        </w:rPr>
        <w:t>。</w:t>
      </w:r>
    </w:p>
    <w:p>
      <w:pPr>
        <w:spacing w:beforeLines="50" w:line="360" w:lineRule="auto"/>
        <w:rPr>
          <w:b/>
          <w:sz w:val="28"/>
        </w:rPr>
      </w:pPr>
      <w:r>
        <w:rPr>
          <w:rFonts w:hint="eastAsia"/>
          <w:b/>
          <w:sz w:val="28"/>
        </w:rPr>
        <w:t>9</w:t>
      </w:r>
      <w:r>
        <w:rPr>
          <w:b/>
          <w:sz w:val="28"/>
        </w:rPr>
        <w:t xml:space="preserve">.2.2 </w:t>
      </w:r>
      <w:bookmarkEnd w:id="182"/>
      <w:bookmarkEnd w:id="183"/>
      <w:bookmarkEnd w:id="184"/>
      <w:bookmarkEnd w:id="185"/>
      <w:r>
        <w:rPr>
          <w:rFonts w:hint="eastAsia"/>
          <w:b/>
          <w:sz w:val="28"/>
        </w:rPr>
        <w:t>废气</w:t>
      </w:r>
    </w:p>
    <w:p>
      <w:pPr>
        <w:adjustRightInd w:val="0"/>
        <w:snapToGrid w:val="0"/>
        <w:spacing w:line="540" w:lineRule="exact"/>
        <w:ind w:firstLine="480" w:firstLineChars="200"/>
        <w:jc w:val="left"/>
        <w:rPr>
          <w:sz w:val="24"/>
          <w:szCs w:val="24"/>
        </w:rPr>
      </w:pPr>
      <w:r>
        <w:rPr>
          <w:rFonts w:hint="eastAsia"/>
          <w:sz w:val="24"/>
          <w:szCs w:val="24"/>
          <w:lang w:eastAsia="zh-CN"/>
        </w:rPr>
        <w:t>厂界</w:t>
      </w:r>
      <w:r>
        <w:rPr>
          <w:rFonts w:hint="eastAsia"/>
          <w:sz w:val="24"/>
          <w:szCs w:val="24"/>
        </w:rPr>
        <w:t>无组织排放废气监测结果详见表9-2。</w:t>
      </w:r>
    </w:p>
    <w:p>
      <w:pPr>
        <w:spacing w:line="500" w:lineRule="exact"/>
        <w:jc w:val="center"/>
        <w:rPr>
          <w:rFonts w:hint="eastAsia" w:hAnsi="宋体"/>
          <w:b/>
          <w:sz w:val="24"/>
          <w:szCs w:val="24"/>
        </w:rPr>
      </w:pPr>
      <w:r>
        <w:rPr>
          <w:rFonts w:hint="eastAsia" w:hAnsi="宋体"/>
          <w:b/>
          <w:sz w:val="24"/>
          <w:szCs w:val="24"/>
        </w:rPr>
        <w:t>表9-</w:t>
      </w:r>
      <w:r>
        <w:rPr>
          <w:rFonts w:hint="eastAsia"/>
          <w:b/>
          <w:sz w:val="24"/>
          <w:szCs w:val="24"/>
        </w:rPr>
        <w:t>2</w:t>
      </w:r>
      <w:r>
        <w:rPr>
          <w:rFonts w:hint="eastAsia"/>
          <w:b/>
          <w:sz w:val="24"/>
          <w:szCs w:val="24"/>
          <w:lang w:eastAsia="zh-CN"/>
        </w:rPr>
        <w:t>厂界</w:t>
      </w:r>
      <w:r>
        <w:rPr>
          <w:rFonts w:hint="eastAsia" w:hAnsi="宋体"/>
          <w:b/>
          <w:sz w:val="24"/>
          <w:szCs w:val="24"/>
        </w:rPr>
        <w:t>无组织排放废气监测结果一览表</w:t>
      </w:r>
    </w:p>
    <w:tbl>
      <w:tblPr>
        <w:tblStyle w:val="28"/>
        <w:tblW w:w="4998" w:type="pct"/>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223"/>
        <w:gridCol w:w="1235"/>
        <w:gridCol w:w="1363"/>
        <w:gridCol w:w="1027"/>
        <w:gridCol w:w="1027"/>
        <w:gridCol w:w="1027"/>
        <w:gridCol w:w="1383"/>
        <w:gridCol w:w="997"/>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blHeader/>
          <w:jc w:val="center"/>
        </w:trPr>
        <w:tc>
          <w:tcPr>
            <w:tcW w:w="2058"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b/>
                <w:bCs/>
                <w:kern w:val="0"/>
                <w:sz w:val="19"/>
                <w:szCs w:val="19"/>
              </w:rPr>
            </w:pPr>
            <w:r>
              <w:rPr>
                <w:rFonts w:hint="default" w:ascii="Times New Roman" w:hAnsi="Times New Roman" w:cs="Times New Roman"/>
                <w:b/>
                <w:bCs/>
                <w:kern w:val="0"/>
                <w:sz w:val="19"/>
                <w:szCs w:val="19"/>
              </w:rPr>
              <w:t>断面信息</w:t>
            </w:r>
          </w:p>
        </w:tc>
        <w:tc>
          <w:tcPr>
            <w:tcW w:w="2941" w:type="pct"/>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b/>
                <w:bCs/>
                <w:kern w:val="0"/>
                <w:sz w:val="19"/>
                <w:szCs w:val="19"/>
              </w:rPr>
            </w:pPr>
            <w:r>
              <w:rPr>
                <w:rFonts w:hint="default" w:ascii="Times New Roman" w:hAnsi="Times New Roman" w:cs="Times New Roman"/>
                <w:b/>
                <w:bCs/>
                <w:kern w:val="0"/>
                <w:sz w:val="19"/>
                <w:szCs w:val="19"/>
              </w:rPr>
              <w:t>检测结果</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blHeader/>
          <w:jc w:val="center"/>
        </w:trPr>
        <w:tc>
          <w:tcPr>
            <w:tcW w:w="65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kern w:val="0"/>
                <w:sz w:val="21"/>
                <w:szCs w:val="21"/>
              </w:rPr>
            </w:pPr>
            <w:r>
              <w:rPr>
                <w:rFonts w:hint="default" w:ascii="Times New Roman" w:hAnsi="Times New Roman" w:cs="Times New Roman"/>
                <w:b/>
                <w:bCs/>
                <w:kern w:val="0"/>
                <w:sz w:val="21"/>
                <w:szCs w:val="21"/>
              </w:rPr>
              <w:t>检测项目</w:t>
            </w:r>
          </w:p>
        </w:tc>
        <w:tc>
          <w:tcPr>
            <w:tcW w:w="66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kern w:val="0"/>
                <w:sz w:val="21"/>
                <w:szCs w:val="21"/>
              </w:rPr>
            </w:pPr>
            <w:r>
              <w:rPr>
                <w:rFonts w:hint="default" w:ascii="Times New Roman" w:hAnsi="Times New Roman" w:cs="Times New Roman"/>
                <w:b/>
                <w:bCs/>
                <w:kern w:val="0"/>
                <w:sz w:val="21"/>
                <w:szCs w:val="21"/>
              </w:rPr>
              <w:t>采样日期</w:t>
            </w:r>
          </w:p>
        </w:tc>
        <w:tc>
          <w:tcPr>
            <w:tcW w:w="734"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kern w:val="0"/>
                <w:sz w:val="21"/>
                <w:szCs w:val="21"/>
              </w:rPr>
            </w:pPr>
            <w:r>
              <w:rPr>
                <w:rFonts w:hint="default" w:ascii="Times New Roman" w:hAnsi="Times New Roman" w:cs="Times New Roman"/>
                <w:b/>
                <w:bCs/>
                <w:kern w:val="0"/>
                <w:sz w:val="21"/>
                <w:szCs w:val="21"/>
              </w:rPr>
              <w:t>点位名称</w:t>
            </w:r>
          </w:p>
        </w:tc>
        <w:tc>
          <w:tcPr>
            <w:tcW w:w="55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第一次</w:t>
            </w:r>
          </w:p>
        </w:tc>
        <w:tc>
          <w:tcPr>
            <w:tcW w:w="55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第二次</w:t>
            </w:r>
          </w:p>
        </w:tc>
        <w:tc>
          <w:tcPr>
            <w:tcW w:w="55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第三次</w:t>
            </w:r>
          </w:p>
        </w:tc>
        <w:tc>
          <w:tcPr>
            <w:tcW w:w="74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b/>
                <w:bCs/>
                <w:kern w:val="0"/>
                <w:sz w:val="21"/>
                <w:szCs w:val="21"/>
              </w:rPr>
            </w:pPr>
            <w:r>
              <w:rPr>
                <w:rFonts w:hint="default" w:ascii="Times New Roman" w:hAnsi="Times New Roman" w:cs="Times New Roman"/>
                <w:b/>
                <w:kern w:val="0"/>
                <w:sz w:val="21"/>
                <w:szCs w:val="21"/>
              </w:rPr>
              <w:t>标准限值</w:t>
            </w:r>
          </w:p>
        </w:tc>
        <w:tc>
          <w:tcPr>
            <w:tcW w:w="53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b/>
                <w:kern w:val="0"/>
                <w:sz w:val="21"/>
                <w:szCs w:val="21"/>
                <w:lang w:val="en-US" w:eastAsia="zh-CN"/>
              </w:rPr>
            </w:pPr>
            <w:r>
              <w:rPr>
                <w:rFonts w:hint="eastAsia" w:ascii="Times New Roman" w:hAnsi="Times New Roman" w:cs="Times New Roman"/>
                <w:b/>
                <w:kern w:val="0"/>
                <w:sz w:val="21"/>
                <w:szCs w:val="21"/>
                <w:lang w:val="en-US" w:eastAsia="zh-CN"/>
              </w:rPr>
              <w:t>评价</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659"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105" w:leftChars="-50" w:right="-105" w:rightChars="-50"/>
              <w:jc w:val="center"/>
              <w:textAlignment w:val="auto"/>
              <w:rPr>
                <w:rFonts w:hint="default" w:ascii="Times New Roman" w:hAnsi="Times New Roman" w:cs="Times New Roman"/>
                <w:kern w:val="0"/>
                <w:sz w:val="21"/>
                <w:szCs w:val="21"/>
                <w:highlight w:val="none"/>
              </w:rPr>
            </w:pPr>
            <w:r>
              <w:rPr>
                <w:rFonts w:hint="eastAsia" w:ascii="Times New Roman" w:hAnsi="Times New Roman" w:eastAsia="宋体" w:cs="Times New Roman"/>
                <w:sz w:val="21"/>
                <w:szCs w:val="21"/>
                <w:highlight w:val="none"/>
                <w:lang w:val="en-US" w:eastAsia="zh-CN"/>
              </w:rPr>
              <w:t>非甲烷总烃</w:t>
            </w:r>
            <w:r>
              <w:rPr>
                <w:rFonts w:hint="default" w:ascii="Times New Roman" w:hAnsi="Times New Roman" w:cs="Times New Roman"/>
                <w:kern w:val="0"/>
                <w:sz w:val="21"/>
                <w:szCs w:val="21"/>
                <w:highlight w:val="none"/>
              </w:rPr>
              <w:t>（mg/m</w:t>
            </w:r>
            <w:r>
              <w:rPr>
                <w:rFonts w:hint="default" w:ascii="Times New Roman" w:hAnsi="Times New Roman" w:cs="Times New Roman"/>
                <w:kern w:val="0"/>
                <w:sz w:val="21"/>
                <w:szCs w:val="21"/>
                <w:highlight w:val="none"/>
                <w:vertAlign w:val="superscript"/>
              </w:rPr>
              <w:t>3</w:t>
            </w:r>
            <w:r>
              <w:rPr>
                <w:rFonts w:hint="default" w:ascii="Times New Roman" w:hAnsi="Times New Roman" w:cs="Times New Roman"/>
                <w:kern w:val="0"/>
                <w:sz w:val="21"/>
                <w:szCs w:val="21"/>
                <w:highlight w:val="none"/>
              </w:rPr>
              <w:t>）</w:t>
            </w:r>
          </w:p>
        </w:tc>
        <w:tc>
          <w:tcPr>
            <w:tcW w:w="66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宋体" w:cs="Times New Roman"/>
                <w:kern w:val="0"/>
                <w:sz w:val="21"/>
                <w:szCs w:val="21"/>
                <w:highlight w:val="none"/>
                <w:lang w:val="en-US" w:eastAsia="zh-CN"/>
              </w:rPr>
            </w:pPr>
            <w:r>
              <w:rPr>
                <w:rFonts w:hint="eastAsia" w:ascii="Times New Roman" w:hAnsi="Times New Roman" w:eastAsia="宋体" w:cs="Times New Roman"/>
                <w:kern w:val="0"/>
                <w:sz w:val="21"/>
                <w:szCs w:val="21"/>
                <w:highlight w:val="none"/>
                <w:lang w:val="en-US" w:eastAsia="zh-CN"/>
              </w:rPr>
              <w:t>0</w:t>
            </w:r>
            <w:r>
              <w:rPr>
                <w:rFonts w:hint="eastAsia" w:cs="Times New Roman"/>
                <w:kern w:val="0"/>
                <w:sz w:val="21"/>
                <w:szCs w:val="21"/>
                <w:highlight w:val="none"/>
                <w:lang w:val="en-US" w:eastAsia="zh-CN"/>
              </w:rPr>
              <w:t>4</w:t>
            </w:r>
            <w:r>
              <w:rPr>
                <w:rFonts w:hint="eastAsia" w:ascii="Times New Roman" w:hAnsi="Times New Roman" w:eastAsia="宋体" w:cs="Times New Roman"/>
                <w:kern w:val="0"/>
                <w:sz w:val="21"/>
                <w:szCs w:val="21"/>
                <w:highlight w:val="none"/>
                <w:lang w:val="en-US" w:eastAsia="zh-CN"/>
              </w:rPr>
              <w:t>月</w:t>
            </w:r>
            <w:r>
              <w:rPr>
                <w:rFonts w:hint="eastAsia" w:cs="Times New Roman"/>
                <w:kern w:val="0"/>
                <w:sz w:val="21"/>
                <w:szCs w:val="21"/>
                <w:highlight w:val="none"/>
                <w:lang w:val="en-US" w:eastAsia="zh-CN"/>
              </w:rPr>
              <w:t>1</w:t>
            </w:r>
            <w:r>
              <w:rPr>
                <w:rFonts w:hint="eastAsia" w:ascii="Times New Roman" w:hAnsi="Times New Roman" w:eastAsia="宋体" w:cs="Times New Roman"/>
                <w:kern w:val="0"/>
                <w:sz w:val="21"/>
                <w:szCs w:val="21"/>
                <w:highlight w:val="none"/>
                <w:lang w:val="en-US" w:eastAsia="zh-CN"/>
              </w:rPr>
              <w:t>2日</w:t>
            </w:r>
          </w:p>
        </w:tc>
        <w:tc>
          <w:tcPr>
            <w:tcW w:w="73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kern w:val="0"/>
                <w:sz w:val="21"/>
                <w:szCs w:val="21"/>
                <w:highlight w:val="none"/>
                <w:lang w:val="en-US" w:eastAsia="zh-CN" w:bidi="ar-SA"/>
              </w:rPr>
            </w:pPr>
            <w:r>
              <w:rPr>
                <w:rFonts w:hint="eastAsia" w:cs="Times New Roman"/>
                <w:kern w:val="0"/>
                <w:sz w:val="21"/>
                <w:szCs w:val="21"/>
                <w:highlight w:val="none"/>
                <w:lang w:val="en-US" w:eastAsia="zh-CN"/>
              </w:rPr>
              <w:t>b</w:t>
            </w:r>
            <w:r>
              <w:rPr>
                <w:rFonts w:hint="eastAsia" w:ascii="Times New Roman" w:hAnsi="Times New Roman" w:eastAsia="宋体" w:cs="Times New Roman"/>
                <w:kern w:val="0"/>
                <w:sz w:val="21"/>
                <w:szCs w:val="21"/>
                <w:highlight w:val="none"/>
                <w:lang w:val="en-US" w:eastAsia="zh-CN"/>
              </w:rPr>
              <w:t>1</w:t>
            </w:r>
          </w:p>
        </w:tc>
        <w:tc>
          <w:tcPr>
            <w:tcW w:w="55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1.06</w:t>
            </w:r>
          </w:p>
        </w:tc>
        <w:tc>
          <w:tcPr>
            <w:tcW w:w="55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1.19</w:t>
            </w:r>
          </w:p>
        </w:tc>
        <w:tc>
          <w:tcPr>
            <w:tcW w:w="55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1.18</w:t>
            </w:r>
          </w:p>
        </w:tc>
        <w:tc>
          <w:tcPr>
            <w:tcW w:w="745" w:type="pct"/>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4.0</w:t>
            </w:r>
          </w:p>
        </w:tc>
        <w:tc>
          <w:tcPr>
            <w:tcW w:w="536"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达标</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659" w:type="pct"/>
            <w:vMerge w:val="continue"/>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105" w:leftChars="-50" w:right="-105" w:rightChars="-50"/>
              <w:jc w:val="center"/>
              <w:textAlignment w:val="auto"/>
              <w:rPr>
                <w:rFonts w:hint="default" w:ascii="Times New Roman" w:hAnsi="Times New Roman" w:cs="Times New Roman"/>
                <w:kern w:val="0"/>
                <w:sz w:val="21"/>
                <w:szCs w:val="21"/>
                <w:highlight w:val="none"/>
              </w:rPr>
            </w:pPr>
          </w:p>
        </w:tc>
        <w:tc>
          <w:tcPr>
            <w:tcW w:w="665" w:type="pct"/>
            <w:tcBorders>
              <w:top w:val="single" w:color="auto" w:sz="4" w:space="0"/>
            </w:tcBorders>
            <w:noWrap w:val="0"/>
            <w:vAlign w:val="center"/>
          </w:tcPr>
          <w:p>
            <w:pPr>
              <w:adjustRightInd w:val="0"/>
              <w:snapToGrid w:val="0"/>
              <w:spacing w:line="240" w:lineRule="exact"/>
              <w:jc w:val="center"/>
              <w:rPr>
                <w:rFonts w:hint="eastAsia" w:ascii="Times New Roman" w:hAnsi="Times New Roman" w:eastAsia="宋体" w:cs="Times New Roman"/>
                <w:kern w:val="0"/>
                <w:sz w:val="21"/>
                <w:szCs w:val="21"/>
                <w:highlight w:val="none"/>
                <w:lang w:val="en-US" w:eastAsia="zh-CN"/>
              </w:rPr>
            </w:pPr>
            <w:r>
              <w:rPr>
                <w:rFonts w:hint="eastAsia" w:ascii="Times New Roman" w:hAnsi="Times New Roman" w:eastAsia="宋体" w:cs="Times New Roman"/>
                <w:kern w:val="0"/>
                <w:sz w:val="21"/>
                <w:szCs w:val="21"/>
                <w:highlight w:val="none"/>
                <w:lang w:val="en-US" w:eastAsia="zh-CN"/>
              </w:rPr>
              <w:t>0</w:t>
            </w:r>
            <w:r>
              <w:rPr>
                <w:rFonts w:hint="eastAsia" w:cs="Times New Roman"/>
                <w:kern w:val="0"/>
                <w:sz w:val="21"/>
                <w:szCs w:val="21"/>
                <w:highlight w:val="none"/>
                <w:lang w:val="en-US" w:eastAsia="zh-CN"/>
              </w:rPr>
              <w:t>3</w:t>
            </w:r>
            <w:r>
              <w:rPr>
                <w:rFonts w:hint="eastAsia" w:ascii="Times New Roman" w:hAnsi="Times New Roman" w:eastAsia="宋体" w:cs="Times New Roman"/>
                <w:kern w:val="0"/>
                <w:sz w:val="21"/>
                <w:szCs w:val="21"/>
                <w:highlight w:val="none"/>
                <w:lang w:val="en-US" w:eastAsia="zh-CN"/>
              </w:rPr>
              <w:t>月</w:t>
            </w:r>
            <w:r>
              <w:rPr>
                <w:rFonts w:hint="eastAsia" w:cs="Times New Roman"/>
                <w:kern w:val="0"/>
                <w:sz w:val="21"/>
                <w:szCs w:val="21"/>
                <w:highlight w:val="none"/>
                <w:lang w:val="en-US" w:eastAsia="zh-CN"/>
              </w:rPr>
              <w:t>1</w:t>
            </w:r>
            <w:r>
              <w:rPr>
                <w:rFonts w:hint="eastAsia" w:ascii="Times New Roman" w:hAnsi="Times New Roman" w:eastAsia="宋体" w:cs="Times New Roman"/>
                <w:kern w:val="0"/>
                <w:sz w:val="21"/>
                <w:szCs w:val="21"/>
                <w:highlight w:val="none"/>
                <w:lang w:val="en-US" w:eastAsia="zh-CN"/>
              </w:rPr>
              <w:t>3日</w:t>
            </w:r>
          </w:p>
        </w:tc>
        <w:tc>
          <w:tcPr>
            <w:tcW w:w="734" w:type="pct"/>
            <w:vMerge w:val="continue"/>
            <w:tcBorders>
              <w:top w:val="single" w:color="auto" w:sz="4" w:space="0"/>
            </w:tcBorders>
            <w:noWrap w:val="0"/>
            <w:vAlign w:val="center"/>
          </w:tcPr>
          <w:p>
            <w:pPr>
              <w:spacing w:line="240" w:lineRule="exact"/>
              <w:jc w:val="center"/>
              <w:rPr>
                <w:rFonts w:hint="eastAsia" w:ascii="Times New Roman" w:hAnsi="Times New Roman" w:eastAsia="宋体" w:cs="Times New Roman"/>
                <w:kern w:val="0"/>
                <w:sz w:val="21"/>
                <w:szCs w:val="21"/>
                <w:highlight w:val="none"/>
                <w:lang w:val="en-US" w:eastAsia="zh-CN" w:bidi="ar-SA"/>
              </w:rPr>
            </w:pPr>
          </w:p>
        </w:tc>
        <w:tc>
          <w:tcPr>
            <w:tcW w:w="553" w:type="pct"/>
            <w:tcBorders>
              <w:top w:val="single" w:color="auto" w:sz="4" w:space="0"/>
            </w:tcBorders>
            <w:noWrap w:val="0"/>
            <w:vAlign w:val="center"/>
          </w:tcPr>
          <w:p>
            <w:pPr>
              <w:adjustRightInd w:val="0"/>
              <w:snapToGrid w:val="0"/>
              <w:spacing w:line="240" w:lineRule="exact"/>
              <w:jc w:val="center"/>
              <w:rPr>
                <w:rFonts w:hint="default" w:ascii="Times New Roman" w:hAnsi="Times New Roman" w:eastAsia="宋体" w:cs="Times New Roman"/>
                <w:kern w:val="0"/>
                <w:sz w:val="21"/>
                <w:szCs w:val="21"/>
                <w:highlight w:val="none"/>
                <w:lang w:val="en-US" w:eastAsia="zh-CN" w:bidi="ar-SA"/>
              </w:rPr>
            </w:pPr>
            <w:r>
              <w:rPr>
                <w:rFonts w:hint="eastAsia" w:cs="Times New Roman"/>
                <w:kern w:val="0"/>
                <w:sz w:val="21"/>
                <w:szCs w:val="21"/>
                <w:highlight w:val="none"/>
                <w:lang w:val="en-US" w:eastAsia="zh-CN" w:bidi="ar-SA"/>
              </w:rPr>
              <w:t>1.17</w:t>
            </w:r>
          </w:p>
        </w:tc>
        <w:tc>
          <w:tcPr>
            <w:tcW w:w="553" w:type="pct"/>
            <w:tcBorders>
              <w:top w:val="single" w:color="auto" w:sz="4" w:space="0"/>
            </w:tcBorders>
            <w:noWrap w:val="0"/>
            <w:vAlign w:val="center"/>
          </w:tcPr>
          <w:p>
            <w:pPr>
              <w:adjustRightInd w:val="0"/>
              <w:snapToGrid w:val="0"/>
              <w:spacing w:line="240" w:lineRule="exact"/>
              <w:jc w:val="center"/>
              <w:rPr>
                <w:rFonts w:hint="default" w:ascii="Times New Roman" w:hAnsi="Times New Roman" w:eastAsia="宋体" w:cs="Times New Roman"/>
                <w:kern w:val="0"/>
                <w:sz w:val="21"/>
                <w:szCs w:val="21"/>
                <w:highlight w:val="none"/>
                <w:lang w:val="en-US" w:eastAsia="zh-CN" w:bidi="ar-SA"/>
              </w:rPr>
            </w:pPr>
            <w:r>
              <w:rPr>
                <w:rFonts w:hint="eastAsia" w:cs="Times New Roman"/>
                <w:kern w:val="0"/>
                <w:sz w:val="21"/>
                <w:szCs w:val="21"/>
                <w:highlight w:val="none"/>
                <w:lang w:val="en-US" w:eastAsia="zh-CN" w:bidi="ar-SA"/>
              </w:rPr>
              <w:t>1.08</w:t>
            </w:r>
          </w:p>
        </w:tc>
        <w:tc>
          <w:tcPr>
            <w:tcW w:w="553" w:type="pct"/>
            <w:tcBorders>
              <w:top w:val="single" w:color="auto" w:sz="4" w:space="0"/>
            </w:tcBorders>
            <w:noWrap w:val="0"/>
            <w:vAlign w:val="center"/>
          </w:tcPr>
          <w:p>
            <w:pPr>
              <w:adjustRightInd w:val="0"/>
              <w:snapToGrid w:val="0"/>
              <w:spacing w:line="240" w:lineRule="exact"/>
              <w:jc w:val="center"/>
              <w:rPr>
                <w:rFonts w:hint="default" w:ascii="Times New Roman" w:hAnsi="Times New Roman" w:eastAsia="宋体" w:cs="Times New Roman"/>
                <w:kern w:val="0"/>
                <w:sz w:val="21"/>
                <w:szCs w:val="21"/>
                <w:highlight w:val="none"/>
                <w:lang w:val="en-US" w:eastAsia="zh-CN" w:bidi="ar-SA"/>
              </w:rPr>
            </w:pPr>
            <w:r>
              <w:rPr>
                <w:rFonts w:hint="eastAsia" w:cs="Times New Roman"/>
                <w:kern w:val="0"/>
                <w:sz w:val="21"/>
                <w:szCs w:val="21"/>
                <w:highlight w:val="none"/>
                <w:lang w:val="en-US" w:eastAsia="zh-CN" w:bidi="ar-SA"/>
              </w:rPr>
              <w:t>1.10</w:t>
            </w:r>
          </w:p>
        </w:tc>
        <w:tc>
          <w:tcPr>
            <w:tcW w:w="745" w:type="pct"/>
            <w:vMerge w:val="continue"/>
            <w:tcBorders>
              <w:left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sz w:val="17"/>
                <w:szCs w:val="17"/>
                <w:lang w:val="en-US" w:eastAsia="zh-CN"/>
              </w:rPr>
            </w:pPr>
          </w:p>
        </w:tc>
        <w:tc>
          <w:tcPr>
            <w:tcW w:w="536" w:type="pct"/>
            <w:vMerge w:val="continue"/>
            <w:tcBorders>
              <w:top w:val="single" w:color="auto" w:sz="4" w:space="0"/>
              <w:left w:val="single" w:color="000000" w:sz="8"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sz w:val="17"/>
                <w:szCs w:val="17"/>
                <w:lang w:val="en-US" w:eastAsia="zh-CN"/>
              </w:rPr>
            </w:pPr>
          </w:p>
        </w:tc>
      </w:tr>
    </w:tbl>
    <w:p>
      <w:pPr>
        <w:adjustRightInd w:val="0"/>
        <w:snapToGrid w:val="0"/>
        <w:spacing w:line="540" w:lineRule="exact"/>
        <w:ind w:firstLine="480" w:firstLineChars="200"/>
        <w:jc w:val="left"/>
        <w:rPr>
          <w:bCs/>
          <w:sz w:val="28"/>
          <w:szCs w:val="28"/>
        </w:rPr>
      </w:pPr>
      <w:r>
        <w:rPr>
          <w:rFonts w:hint="eastAsia"/>
          <w:sz w:val="24"/>
          <w:szCs w:val="24"/>
        </w:rPr>
        <w:t>根据表9-2可知，</w:t>
      </w:r>
      <w:r>
        <w:rPr>
          <w:bCs/>
          <w:sz w:val="24"/>
          <w:szCs w:val="24"/>
        </w:rPr>
        <w:t>验收监测期间，</w:t>
      </w:r>
      <w:r>
        <w:rPr>
          <w:rFonts w:hint="eastAsia"/>
          <w:bCs/>
          <w:sz w:val="24"/>
          <w:szCs w:val="24"/>
          <w:lang w:eastAsia="zh-CN"/>
        </w:rPr>
        <w:t>奉节县顺全加油站改扩建项目厂界</w:t>
      </w:r>
      <w:r>
        <w:rPr>
          <w:rFonts w:hint="eastAsia"/>
          <w:sz w:val="24"/>
          <w:szCs w:val="24"/>
        </w:rPr>
        <w:t>无组织排放废气非甲烷总烃符合</w:t>
      </w:r>
      <w:r>
        <w:rPr>
          <w:spacing w:val="7"/>
          <w:sz w:val="24"/>
          <w:szCs w:val="24"/>
        </w:rPr>
        <w:t>《加油站大气污染物排放标准》（</w:t>
      </w:r>
      <w:r>
        <w:rPr>
          <w:sz w:val="24"/>
          <w:szCs w:val="24"/>
        </w:rPr>
        <w:t>GB</w:t>
      </w:r>
      <w:r>
        <w:rPr>
          <w:spacing w:val="7"/>
          <w:sz w:val="24"/>
          <w:szCs w:val="24"/>
        </w:rPr>
        <w:t xml:space="preserve"> 20952-2020）表</w:t>
      </w:r>
      <w:r>
        <w:rPr>
          <w:spacing w:val="-24"/>
          <w:sz w:val="24"/>
          <w:szCs w:val="24"/>
        </w:rPr>
        <w:t xml:space="preserve"> </w:t>
      </w:r>
      <w:r>
        <w:rPr>
          <w:spacing w:val="7"/>
          <w:sz w:val="24"/>
          <w:szCs w:val="24"/>
        </w:rPr>
        <w:t>3。</w:t>
      </w:r>
    </w:p>
    <w:p>
      <w:pPr>
        <w:adjustRightInd w:val="0"/>
        <w:snapToGrid w:val="0"/>
        <w:spacing w:line="540" w:lineRule="exact"/>
        <w:ind w:firstLine="562" w:firstLineChars="200"/>
        <w:jc w:val="left"/>
        <w:rPr>
          <w:sz w:val="28"/>
        </w:rPr>
      </w:pPr>
      <w:r>
        <w:rPr>
          <w:rFonts w:hint="eastAsia"/>
          <w:b/>
          <w:sz w:val="28"/>
        </w:rPr>
        <w:t>9</w:t>
      </w:r>
      <w:r>
        <w:rPr>
          <w:b/>
          <w:sz w:val="28"/>
        </w:rPr>
        <w:t>.2.</w:t>
      </w:r>
      <w:r>
        <w:rPr>
          <w:rFonts w:hint="eastAsia"/>
          <w:b/>
          <w:sz w:val="28"/>
        </w:rPr>
        <w:t>3噪声</w:t>
      </w:r>
    </w:p>
    <w:p>
      <w:pPr>
        <w:spacing w:line="500" w:lineRule="exact"/>
        <w:ind w:firstLine="420"/>
        <w:rPr>
          <w:sz w:val="24"/>
          <w:szCs w:val="24"/>
        </w:rPr>
      </w:pPr>
      <w:r>
        <w:rPr>
          <w:rFonts w:hint="eastAsia"/>
          <w:sz w:val="24"/>
          <w:szCs w:val="24"/>
        </w:rPr>
        <w:t>厂界噪声监测结果见表9-</w:t>
      </w:r>
      <w:r>
        <w:rPr>
          <w:rFonts w:hint="eastAsia"/>
          <w:sz w:val="24"/>
          <w:szCs w:val="24"/>
          <w:lang w:val="en-US" w:eastAsia="zh-CN"/>
        </w:rPr>
        <w:t>3</w:t>
      </w:r>
      <w:r>
        <w:rPr>
          <w:rFonts w:hint="eastAsia"/>
          <w:sz w:val="24"/>
          <w:szCs w:val="24"/>
        </w:rPr>
        <w:t>。</w:t>
      </w:r>
    </w:p>
    <w:p>
      <w:pPr>
        <w:spacing w:line="500" w:lineRule="exact"/>
        <w:jc w:val="center"/>
        <w:rPr>
          <w:rFonts w:hint="eastAsia"/>
          <w:b/>
          <w:sz w:val="24"/>
          <w:szCs w:val="24"/>
        </w:rPr>
      </w:pPr>
      <w:r>
        <w:rPr>
          <w:rFonts w:hint="eastAsia"/>
          <w:b/>
          <w:sz w:val="24"/>
          <w:szCs w:val="24"/>
        </w:rPr>
        <w:t>表9-</w:t>
      </w:r>
      <w:r>
        <w:rPr>
          <w:rFonts w:hint="eastAsia"/>
          <w:b/>
          <w:sz w:val="24"/>
          <w:szCs w:val="24"/>
          <w:lang w:val="en-US" w:eastAsia="zh-CN"/>
        </w:rPr>
        <w:t xml:space="preserve">3  </w:t>
      </w:r>
      <w:r>
        <w:rPr>
          <w:rFonts w:hint="eastAsia"/>
          <w:b/>
          <w:sz w:val="24"/>
          <w:szCs w:val="24"/>
        </w:rPr>
        <w:t>厂界噪声监测结果一览表</w:t>
      </w:r>
    </w:p>
    <w:p>
      <w:pPr>
        <w:jc w:val="center"/>
        <w:rPr>
          <w:rFonts w:hint="default" w:ascii="Times New Roman" w:hAnsi="Times New Roman" w:cs="Times New Roman"/>
          <w:b/>
          <w:kern w:val="0"/>
          <w:sz w:val="19"/>
          <w:szCs w:val="19"/>
        </w:rPr>
      </w:pPr>
      <w:r>
        <w:rPr>
          <w:rFonts w:hint="default" w:ascii="Times New Roman" w:hAnsi="Times New Roman" w:cs="Times New Roman"/>
          <w:b/>
          <w:kern w:val="0"/>
          <w:sz w:val="19"/>
          <w:szCs w:val="19"/>
        </w:rPr>
        <w:t xml:space="preserve">检测项目: </w:t>
      </w:r>
      <w:r>
        <w:rPr>
          <w:rFonts w:hint="default" w:ascii="Times New Roman" w:hAnsi="Times New Roman" w:cs="Times New Roman"/>
          <w:b/>
          <w:kern w:val="0"/>
          <w:sz w:val="19"/>
          <w:szCs w:val="19"/>
          <w:lang w:val="en-US" w:eastAsia="zh-CN"/>
        </w:rPr>
        <w:t>工业企业厂界噪声</w:t>
      </w:r>
      <w:r>
        <w:rPr>
          <w:rFonts w:hint="default" w:ascii="Times New Roman" w:hAnsi="Times New Roman" w:cs="Times New Roman"/>
          <w:b/>
          <w:kern w:val="0"/>
          <w:sz w:val="19"/>
          <w:szCs w:val="19"/>
        </w:rPr>
        <w:t xml:space="preserve">                              </w:t>
      </w:r>
      <w:r>
        <w:rPr>
          <w:rFonts w:hint="default" w:ascii="Times New Roman" w:hAnsi="Times New Roman" w:cs="Times New Roman"/>
          <w:b/>
          <w:kern w:val="0"/>
          <w:sz w:val="19"/>
          <w:szCs w:val="19"/>
          <w:lang w:val="en-US" w:eastAsia="zh-CN"/>
        </w:rPr>
        <w:t xml:space="preserve">        </w:t>
      </w:r>
      <w:r>
        <w:rPr>
          <w:rFonts w:hint="default" w:ascii="Times New Roman" w:hAnsi="Times New Roman" w:cs="Times New Roman"/>
          <w:b/>
          <w:kern w:val="0"/>
          <w:sz w:val="19"/>
          <w:szCs w:val="19"/>
        </w:rPr>
        <w:t xml:space="preserve">                    单位: dB（A）</w:t>
      </w:r>
    </w:p>
    <w:tbl>
      <w:tblPr>
        <w:tblStyle w:val="28"/>
        <w:tblW w:w="4997" w:type="pct"/>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202"/>
        <w:gridCol w:w="1428"/>
        <w:gridCol w:w="1105"/>
        <w:gridCol w:w="1105"/>
        <w:gridCol w:w="1114"/>
        <w:gridCol w:w="1105"/>
        <w:gridCol w:w="1105"/>
        <w:gridCol w:w="1116"/>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blHeader/>
          <w:jc w:val="center"/>
        </w:trPr>
        <w:tc>
          <w:tcPr>
            <w:tcW w:w="648" w:type="pct"/>
            <w:vMerge w:val="restart"/>
            <w:tcBorders>
              <w:top w:val="single" w:color="auto" w:sz="4" w:space="0"/>
              <w:left w:val="single" w:color="auto" w:sz="4" w:space="0"/>
            </w:tcBorders>
            <w:noWrap w:val="0"/>
            <w:vAlign w:val="center"/>
          </w:tcPr>
          <w:p>
            <w:pPr>
              <w:spacing w:line="240" w:lineRule="exact"/>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检测日期</w:t>
            </w:r>
          </w:p>
        </w:tc>
        <w:tc>
          <w:tcPr>
            <w:tcW w:w="770" w:type="pct"/>
            <w:vMerge w:val="restart"/>
            <w:tcBorders>
              <w:top w:val="single" w:color="auto" w:sz="4" w:space="0"/>
            </w:tcBorders>
            <w:noWrap w:val="0"/>
            <w:vAlign w:val="center"/>
          </w:tcPr>
          <w:p>
            <w:pPr>
              <w:spacing w:line="240" w:lineRule="exact"/>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测点</w:t>
            </w:r>
            <w:r>
              <w:rPr>
                <w:rFonts w:hint="default" w:ascii="Times New Roman" w:hAnsi="Times New Roman" w:cs="Times New Roman"/>
                <w:b/>
                <w:kern w:val="0"/>
                <w:sz w:val="21"/>
                <w:szCs w:val="21"/>
                <w:lang w:val="en-US" w:eastAsia="zh-CN"/>
              </w:rPr>
              <w:t>位置</w:t>
            </w:r>
          </w:p>
        </w:tc>
        <w:tc>
          <w:tcPr>
            <w:tcW w:w="1790" w:type="pct"/>
            <w:gridSpan w:val="3"/>
            <w:tcBorders>
              <w:top w:val="single" w:color="auto" w:sz="4" w:space="0"/>
              <w:right w:val="single" w:color="auto" w:sz="4" w:space="0"/>
            </w:tcBorders>
            <w:noWrap w:val="0"/>
            <w:vAlign w:val="center"/>
          </w:tcPr>
          <w:p>
            <w:pPr>
              <w:spacing w:line="240" w:lineRule="exact"/>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昼间</w:t>
            </w:r>
          </w:p>
        </w:tc>
        <w:tc>
          <w:tcPr>
            <w:tcW w:w="1791" w:type="pct"/>
            <w:gridSpan w:val="3"/>
            <w:tcBorders>
              <w:top w:val="single" w:color="auto" w:sz="4" w:space="0"/>
              <w:right w:val="single" w:color="auto" w:sz="4" w:space="0"/>
            </w:tcBorders>
            <w:noWrap w:val="0"/>
            <w:vAlign w:val="center"/>
          </w:tcPr>
          <w:p>
            <w:pPr>
              <w:spacing w:line="240" w:lineRule="exact"/>
              <w:jc w:val="center"/>
              <w:rPr>
                <w:rFonts w:hint="default" w:ascii="Times New Roman" w:hAnsi="Times New Roman" w:cs="Times New Roman"/>
                <w:b/>
                <w:kern w:val="0"/>
                <w:sz w:val="21"/>
                <w:szCs w:val="21"/>
              </w:rPr>
            </w:pPr>
            <w:r>
              <w:rPr>
                <w:rFonts w:hint="eastAsia" w:ascii="Times New Roman" w:hAnsi="Times New Roman" w:cs="Times New Roman"/>
                <w:b/>
                <w:kern w:val="0"/>
                <w:sz w:val="21"/>
                <w:szCs w:val="21"/>
                <w:lang w:val="en-US" w:eastAsia="zh-CN"/>
              </w:rPr>
              <w:t>夜间</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blHeader/>
          <w:jc w:val="center"/>
        </w:trPr>
        <w:tc>
          <w:tcPr>
            <w:tcW w:w="648" w:type="pct"/>
            <w:vMerge w:val="continue"/>
            <w:tcBorders>
              <w:left w:val="single" w:color="auto" w:sz="4" w:space="0"/>
            </w:tcBorders>
            <w:noWrap w:val="0"/>
            <w:vAlign w:val="center"/>
          </w:tcPr>
          <w:p>
            <w:pPr>
              <w:spacing w:line="240" w:lineRule="exact"/>
              <w:jc w:val="center"/>
              <w:rPr>
                <w:rFonts w:hint="default" w:ascii="Times New Roman" w:hAnsi="Times New Roman" w:cs="Times New Roman"/>
                <w:b/>
                <w:kern w:val="0"/>
                <w:sz w:val="21"/>
                <w:szCs w:val="21"/>
              </w:rPr>
            </w:pPr>
          </w:p>
        </w:tc>
        <w:tc>
          <w:tcPr>
            <w:tcW w:w="770" w:type="pct"/>
            <w:vMerge w:val="continue"/>
            <w:noWrap w:val="0"/>
            <w:vAlign w:val="center"/>
          </w:tcPr>
          <w:p>
            <w:pPr>
              <w:spacing w:line="240" w:lineRule="exact"/>
              <w:jc w:val="center"/>
              <w:rPr>
                <w:rFonts w:hint="default" w:ascii="Times New Roman" w:hAnsi="Times New Roman" w:cs="Times New Roman"/>
                <w:b/>
                <w:kern w:val="0"/>
                <w:sz w:val="21"/>
                <w:szCs w:val="21"/>
              </w:rPr>
            </w:pPr>
          </w:p>
        </w:tc>
        <w:tc>
          <w:tcPr>
            <w:tcW w:w="595" w:type="pct"/>
            <w:noWrap w:val="0"/>
            <w:vAlign w:val="center"/>
          </w:tcPr>
          <w:p>
            <w:pPr>
              <w:spacing w:line="240" w:lineRule="exact"/>
              <w:jc w:val="center"/>
              <w:rPr>
                <w:rFonts w:hint="default" w:ascii="Times New Roman" w:hAnsi="Times New Roman" w:cs="Times New Roman"/>
                <w:bCs/>
                <w:kern w:val="0"/>
                <w:sz w:val="21"/>
                <w:szCs w:val="21"/>
              </w:rPr>
            </w:pPr>
            <w:r>
              <w:rPr>
                <w:rFonts w:hint="default" w:ascii="Times New Roman" w:hAnsi="Times New Roman" w:cs="Times New Roman"/>
                <w:b/>
                <w:kern w:val="0"/>
                <w:sz w:val="21"/>
                <w:szCs w:val="21"/>
              </w:rPr>
              <w:t>检测结果</w:t>
            </w:r>
          </w:p>
        </w:tc>
        <w:tc>
          <w:tcPr>
            <w:tcW w:w="595" w:type="pct"/>
            <w:noWrap w:val="0"/>
            <w:vAlign w:val="center"/>
          </w:tcPr>
          <w:p>
            <w:pPr>
              <w:spacing w:line="240" w:lineRule="exact"/>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标准限值</w:t>
            </w:r>
          </w:p>
        </w:tc>
        <w:tc>
          <w:tcPr>
            <w:tcW w:w="600" w:type="pct"/>
            <w:tcBorders>
              <w:right w:val="single" w:color="auto" w:sz="4" w:space="0"/>
            </w:tcBorders>
            <w:noWrap w:val="0"/>
            <w:vAlign w:val="center"/>
          </w:tcPr>
          <w:p>
            <w:pPr>
              <w:spacing w:line="240" w:lineRule="exact"/>
              <w:jc w:val="center"/>
              <w:rPr>
                <w:rFonts w:hint="eastAsia" w:ascii="Times New Roman" w:hAnsi="Times New Roman" w:eastAsia="宋体" w:cs="Times New Roman"/>
                <w:b/>
                <w:kern w:val="0"/>
                <w:sz w:val="21"/>
                <w:szCs w:val="21"/>
                <w:lang w:val="en-US" w:eastAsia="zh-CN"/>
              </w:rPr>
            </w:pPr>
            <w:r>
              <w:rPr>
                <w:rFonts w:hint="eastAsia" w:ascii="Times New Roman" w:hAnsi="Times New Roman" w:cs="Times New Roman"/>
                <w:b/>
                <w:kern w:val="0"/>
                <w:sz w:val="21"/>
                <w:szCs w:val="21"/>
                <w:lang w:val="en-US" w:eastAsia="zh-CN"/>
              </w:rPr>
              <w:t>评价</w:t>
            </w:r>
          </w:p>
        </w:tc>
        <w:tc>
          <w:tcPr>
            <w:tcW w:w="595" w:type="pct"/>
            <w:noWrap w:val="0"/>
            <w:vAlign w:val="center"/>
          </w:tcPr>
          <w:p>
            <w:pPr>
              <w:spacing w:line="240" w:lineRule="exact"/>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检测结果</w:t>
            </w:r>
          </w:p>
        </w:tc>
        <w:tc>
          <w:tcPr>
            <w:tcW w:w="595" w:type="pct"/>
            <w:tcBorders>
              <w:right w:val="single" w:color="000000" w:sz="8" w:space="0"/>
            </w:tcBorders>
            <w:noWrap w:val="0"/>
            <w:vAlign w:val="center"/>
          </w:tcPr>
          <w:p>
            <w:pPr>
              <w:spacing w:line="240" w:lineRule="exact"/>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标准限值</w:t>
            </w:r>
          </w:p>
        </w:tc>
        <w:tc>
          <w:tcPr>
            <w:tcW w:w="600" w:type="pct"/>
            <w:tcBorders>
              <w:left w:val="single" w:color="000000" w:sz="8" w:space="0"/>
              <w:right w:val="single" w:color="auto" w:sz="4" w:space="0"/>
            </w:tcBorders>
            <w:noWrap w:val="0"/>
            <w:vAlign w:val="center"/>
          </w:tcPr>
          <w:p>
            <w:pPr>
              <w:spacing w:line="240" w:lineRule="exact"/>
              <w:jc w:val="center"/>
              <w:rPr>
                <w:rFonts w:hint="eastAsia" w:ascii="Times New Roman" w:hAnsi="Times New Roman" w:eastAsia="宋体" w:cs="Times New Roman"/>
                <w:b/>
                <w:kern w:val="0"/>
                <w:sz w:val="21"/>
                <w:szCs w:val="21"/>
                <w:lang w:val="en-US" w:eastAsia="zh-CN"/>
              </w:rPr>
            </w:pPr>
            <w:r>
              <w:rPr>
                <w:rFonts w:hint="eastAsia" w:ascii="Times New Roman" w:hAnsi="Times New Roman" w:cs="Times New Roman"/>
                <w:b/>
                <w:kern w:val="0"/>
                <w:sz w:val="21"/>
                <w:szCs w:val="21"/>
                <w:lang w:val="en-US" w:eastAsia="zh-CN"/>
              </w:rPr>
              <w:t>评价</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648" w:type="pct"/>
            <w:tcBorders>
              <w:left w:val="single" w:color="auto" w:sz="4" w:space="0"/>
            </w:tcBorders>
            <w:noWrap w:val="0"/>
            <w:vAlign w:val="center"/>
          </w:tcPr>
          <w:p>
            <w:pPr>
              <w:spacing w:line="240" w:lineRule="exact"/>
              <w:jc w:val="center"/>
              <w:rPr>
                <w:rFonts w:hint="default" w:ascii="Times New Roman" w:hAnsi="Times New Roman" w:cs="Times New Roman"/>
                <w:bCs/>
                <w:kern w:val="0"/>
                <w:sz w:val="21"/>
                <w:szCs w:val="21"/>
                <w:highlight w:val="none"/>
                <w:lang w:val="en-US"/>
              </w:rPr>
            </w:pPr>
            <w:r>
              <w:rPr>
                <w:rFonts w:hint="eastAsia" w:ascii="Times New Roman" w:hAnsi="Times New Roman" w:cs="Times New Roman"/>
                <w:kern w:val="0"/>
                <w:sz w:val="21"/>
                <w:szCs w:val="21"/>
                <w:highlight w:val="none"/>
                <w:lang w:val="en-US" w:eastAsia="zh-CN"/>
              </w:rPr>
              <w:t>0</w:t>
            </w:r>
            <w:r>
              <w:rPr>
                <w:rFonts w:hint="eastAsia" w:cs="Times New Roman"/>
                <w:kern w:val="0"/>
                <w:sz w:val="21"/>
                <w:szCs w:val="21"/>
                <w:highlight w:val="none"/>
                <w:lang w:val="en-US" w:eastAsia="zh-CN"/>
              </w:rPr>
              <w:t>4</w:t>
            </w:r>
            <w:r>
              <w:rPr>
                <w:rFonts w:hint="eastAsia" w:ascii="Times New Roman" w:hAnsi="Times New Roman" w:cs="Times New Roman"/>
                <w:kern w:val="0"/>
                <w:sz w:val="21"/>
                <w:szCs w:val="21"/>
                <w:highlight w:val="none"/>
                <w:lang w:val="en-US" w:eastAsia="zh-CN"/>
              </w:rPr>
              <w:t>月</w:t>
            </w:r>
            <w:r>
              <w:rPr>
                <w:rFonts w:hint="eastAsia" w:cs="Times New Roman"/>
                <w:kern w:val="0"/>
                <w:sz w:val="21"/>
                <w:szCs w:val="21"/>
                <w:highlight w:val="none"/>
                <w:lang w:val="en-US" w:eastAsia="zh-CN"/>
              </w:rPr>
              <w:t>1</w:t>
            </w:r>
            <w:r>
              <w:rPr>
                <w:rFonts w:hint="eastAsia" w:ascii="Times New Roman" w:hAnsi="Times New Roman" w:cs="Times New Roman"/>
                <w:kern w:val="0"/>
                <w:sz w:val="21"/>
                <w:szCs w:val="21"/>
                <w:highlight w:val="none"/>
                <w:lang w:val="en-US" w:eastAsia="zh-CN"/>
              </w:rPr>
              <w:t>2日</w:t>
            </w:r>
          </w:p>
        </w:tc>
        <w:tc>
          <w:tcPr>
            <w:tcW w:w="770" w:type="pct"/>
            <w:noWrap w:val="0"/>
            <w:vAlign w:val="center"/>
          </w:tcPr>
          <w:p>
            <w:pPr>
              <w:spacing w:line="240" w:lineRule="exact"/>
              <w:jc w:val="center"/>
              <w:rPr>
                <w:rFonts w:hint="default" w:ascii="Times New Roman" w:hAnsi="Times New Roman" w:cs="Times New Roman"/>
                <w:bCs/>
                <w:strike/>
                <w:kern w:val="0"/>
                <w:sz w:val="21"/>
                <w:szCs w:val="21"/>
                <w:highlight w:val="none"/>
                <w:lang w:val="en-US"/>
              </w:rPr>
            </w:pPr>
            <w:r>
              <w:rPr>
                <w:rFonts w:hint="eastAsia" w:cs="Times New Roman"/>
                <w:kern w:val="0"/>
                <w:sz w:val="21"/>
                <w:szCs w:val="21"/>
                <w:highlight w:val="none"/>
                <w:lang w:val="en-US" w:eastAsia="zh-CN"/>
              </w:rPr>
              <w:t>南侧</w:t>
            </w:r>
            <w:r>
              <w:rPr>
                <w:rFonts w:hint="eastAsia" w:ascii="Times New Roman" w:hAnsi="Times New Roman" w:cs="Times New Roman"/>
                <w:kern w:val="0"/>
                <w:sz w:val="21"/>
                <w:szCs w:val="21"/>
                <w:highlight w:val="none"/>
                <w:lang w:val="en-US" w:eastAsia="zh-CN"/>
              </w:rPr>
              <w:t>（</w:t>
            </w:r>
            <w:r>
              <w:rPr>
                <w:rFonts w:hint="eastAsia" w:cs="Times New Roman"/>
                <w:bCs/>
                <w:kern w:val="0"/>
                <w:sz w:val="21"/>
                <w:szCs w:val="21"/>
                <w:highlight w:val="none"/>
                <w:lang w:val="en-US" w:eastAsia="zh-CN"/>
              </w:rPr>
              <w:t>C</w:t>
            </w:r>
            <w:r>
              <w:rPr>
                <w:rFonts w:hint="eastAsia" w:ascii="Times New Roman" w:hAnsi="Times New Roman" w:cs="Times New Roman"/>
                <w:bCs/>
                <w:kern w:val="0"/>
                <w:sz w:val="21"/>
                <w:szCs w:val="21"/>
                <w:highlight w:val="none"/>
                <w:lang w:val="en-US" w:eastAsia="zh-CN"/>
              </w:rPr>
              <w:t>1</w:t>
            </w:r>
            <w:r>
              <w:rPr>
                <w:rFonts w:hint="eastAsia" w:ascii="Times New Roman" w:hAnsi="Times New Roman" w:cs="Times New Roman"/>
                <w:kern w:val="0"/>
                <w:sz w:val="21"/>
                <w:szCs w:val="21"/>
                <w:highlight w:val="none"/>
                <w:lang w:val="en-US" w:eastAsia="zh-CN"/>
              </w:rPr>
              <w:t>）</w:t>
            </w:r>
          </w:p>
        </w:tc>
        <w:tc>
          <w:tcPr>
            <w:tcW w:w="595" w:type="pct"/>
            <w:tcBorders>
              <w:right w:val="single" w:color="auto" w:sz="8" w:space="0"/>
            </w:tcBorders>
            <w:noWrap w:val="0"/>
            <w:vAlign w:val="center"/>
          </w:tcPr>
          <w:p>
            <w:pPr>
              <w:spacing w:line="240" w:lineRule="exact"/>
              <w:jc w:val="center"/>
              <w:rPr>
                <w:rFonts w:hint="default" w:ascii="Times New Roman" w:hAnsi="Times New Roman" w:cs="Times New Roman"/>
                <w:bCs/>
                <w:i w:val="0"/>
                <w:iCs w:val="0"/>
                <w:kern w:val="0"/>
                <w:sz w:val="21"/>
                <w:szCs w:val="21"/>
                <w:highlight w:val="none"/>
                <w:lang w:val="en-US" w:eastAsia="zh-CN"/>
              </w:rPr>
            </w:pPr>
            <w:r>
              <w:rPr>
                <w:rFonts w:hint="eastAsia" w:cs="Times New Roman"/>
                <w:bCs/>
                <w:i w:val="0"/>
                <w:iCs w:val="0"/>
                <w:kern w:val="0"/>
                <w:sz w:val="21"/>
                <w:szCs w:val="21"/>
                <w:highlight w:val="none"/>
                <w:lang w:val="en-US" w:eastAsia="zh-CN"/>
              </w:rPr>
              <w:t>57</w:t>
            </w:r>
          </w:p>
        </w:tc>
        <w:tc>
          <w:tcPr>
            <w:tcW w:w="595" w:type="pct"/>
            <w:tcBorders>
              <w:left w:val="single" w:color="auto" w:sz="8" w:space="0"/>
              <w:right w:val="single" w:color="auto" w:sz="8" w:space="0"/>
            </w:tcBorders>
            <w:noWrap w:val="0"/>
            <w:vAlign w:val="center"/>
          </w:tcPr>
          <w:p>
            <w:pPr>
              <w:spacing w:line="240" w:lineRule="exact"/>
              <w:jc w:val="center"/>
              <w:rPr>
                <w:rFonts w:hint="default" w:ascii="Times New Roman" w:hAnsi="Times New Roman" w:cs="Times New Roman"/>
                <w:bCs/>
                <w:i w:val="0"/>
                <w:iCs w:val="0"/>
                <w:kern w:val="0"/>
                <w:sz w:val="21"/>
                <w:szCs w:val="21"/>
                <w:highlight w:val="none"/>
                <w:lang w:val="en-US" w:eastAsia="zh-CN"/>
              </w:rPr>
            </w:pPr>
            <w:r>
              <w:rPr>
                <w:rFonts w:hint="eastAsia" w:ascii="Times New Roman" w:hAnsi="Times New Roman" w:eastAsia="宋体" w:cs="Times New Roman"/>
                <w:sz w:val="21"/>
                <w:szCs w:val="21"/>
                <w:highlight w:val="none"/>
                <w:lang w:val="en-US" w:eastAsia="zh-CN"/>
              </w:rPr>
              <w:t>65</w:t>
            </w:r>
          </w:p>
        </w:tc>
        <w:tc>
          <w:tcPr>
            <w:tcW w:w="600" w:type="pct"/>
            <w:tcBorders>
              <w:left w:val="single" w:color="auto" w:sz="8" w:space="0"/>
              <w:right w:val="single" w:color="auto" w:sz="8" w:space="0"/>
            </w:tcBorders>
            <w:noWrap w:val="0"/>
            <w:vAlign w:val="center"/>
          </w:tcPr>
          <w:p>
            <w:pPr>
              <w:spacing w:line="240" w:lineRule="exact"/>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达标</w:t>
            </w:r>
          </w:p>
        </w:tc>
        <w:tc>
          <w:tcPr>
            <w:tcW w:w="595" w:type="pct"/>
            <w:tcBorders>
              <w:left w:val="single" w:color="auto" w:sz="8" w:space="0"/>
              <w:right w:val="single" w:color="auto" w:sz="8" w:space="0"/>
            </w:tcBorders>
            <w:noWrap w:val="0"/>
            <w:vAlign w:val="center"/>
          </w:tcPr>
          <w:p>
            <w:pPr>
              <w:spacing w:line="240" w:lineRule="exact"/>
              <w:jc w:val="center"/>
              <w:rPr>
                <w:rFonts w:hint="default" w:ascii="Times New Roman" w:hAnsi="Times New Roman" w:cs="Times New Roman"/>
                <w:bCs/>
                <w:kern w:val="0"/>
                <w:sz w:val="21"/>
                <w:szCs w:val="21"/>
                <w:highlight w:val="none"/>
                <w:lang w:val="en-US" w:eastAsia="zh-CN"/>
              </w:rPr>
            </w:pPr>
            <w:r>
              <w:rPr>
                <w:rFonts w:hint="eastAsia" w:cs="Times New Roman"/>
                <w:bCs/>
                <w:kern w:val="0"/>
                <w:sz w:val="21"/>
                <w:szCs w:val="21"/>
                <w:highlight w:val="none"/>
                <w:lang w:val="en-US" w:eastAsia="zh-CN"/>
              </w:rPr>
              <w:t>45</w:t>
            </w:r>
          </w:p>
        </w:tc>
        <w:tc>
          <w:tcPr>
            <w:tcW w:w="595" w:type="pct"/>
            <w:tcBorders>
              <w:left w:val="single" w:color="auto" w:sz="8" w:space="0"/>
              <w:right w:val="single" w:color="auto" w:sz="8" w:space="0"/>
            </w:tcBorders>
            <w:noWrap w:val="0"/>
            <w:vAlign w:val="center"/>
          </w:tcPr>
          <w:p>
            <w:pPr>
              <w:spacing w:line="240" w:lineRule="exact"/>
              <w:jc w:val="center"/>
              <w:rPr>
                <w:rFonts w:hint="default" w:ascii="Times New Roman" w:hAnsi="Times New Roman" w:cs="Times New Roman"/>
                <w:bCs/>
                <w:kern w:val="0"/>
                <w:sz w:val="21"/>
                <w:szCs w:val="21"/>
                <w:highlight w:val="none"/>
                <w:lang w:val="en-US" w:eastAsia="zh-CN"/>
              </w:rPr>
            </w:pPr>
            <w:r>
              <w:rPr>
                <w:rFonts w:hint="eastAsia" w:ascii="Times New Roman" w:hAnsi="Times New Roman" w:cs="Times New Roman"/>
                <w:bCs/>
                <w:kern w:val="0"/>
                <w:sz w:val="21"/>
                <w:szCs w:val="21"/>
                <w:highlight w:val="none"/>
                <w:lang w:val="en-US" w:eastAsia="zh-CN"/>
              </w:rPr>
              <w:t>55</w:t>
            </w:r>
          </w:p>
        </w:tc>
        <w:tc>
          <w:tcPr>
            <w:tcW w:w="600" w:type="pct"/>
            <w:tcBorders>
              <w:left w:val="single" w:color="auto" w:sz="8" w:space="0"/>
              <w:right w:val="single" w:color="auto" w:sz="4" w:space="0"/>
            </w:tcBorders>
            <w:noWrap w:val="0"/>
            <w:vAlign w:val="center"/>
          </w:tcPr>
          <w:p>
            <w:pPr>
              <w:spacing w:line="240" w:lineRule="exact"/>
              <w:jc w:val="center"/>
              <w:rPr>
                <w:rFonts w:hint="default" w:ascii="Times New Roman" w:hAnsi="Times New Roman" w:cs="Times New Roman"/>
                <w:bCs/>
                <w:kern w:val="0"/>
                <w:sz w:val="21"/>
                <w:szCs w:val="21"/>
                <w:highlight w:val="none"/>
                <w:lang w:val="en-US" w:eastAsia="zh-CN"/>
              </w:rPr>
            </w:pPr>
            <w:r>
              <w:rPr>
                <w:rFonts w:hint="eastAsia" w:ascii="Times New Roman" w:hAnsi="Times New Roman" w:cs="Times New Roman"/>
                <w:bCs/>
                <w:kern w:val="0"/>
                <w:sz w:val="21"/>
                <w:szCs w:val="21"/>
                <w:highlight w:val="none"/>
                <w:lang w:val="en-US" w:eastAsia="zh-CN"/>
              </w:rPr>
              <w:t>达标</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648" w:type="pct"/>
            <w:tcBorders>
              <w:left w:val="single" w:color="auto" w:sz="4" w:space="0"/>
              <w:bottom w:val="single" w:color="auto" w:sz="4" w:space="0"/>
            </w:tcBorders>
            <w:noWrap w:val="0"/>
            <w:vAlign w:val="center"/>
          </w:tcPr>
          <w:p>
            <w:pPr>
              <w:spacing w:line="240" w:lineRule="exact"/>
              <w:jc w:val="center"/>
              <w:rPr>
                <w:rFonts w:hint="default" w:ascii="Times New Roman" w:hAnsi="Times New Roman" w:cs="Times New Roman"/>
                <w:kern w:val="0"/>
                <w:sz w:val="21"/>
                <w:szCs w:val="21"/>
                <w:highlight w:val="none"/>
                <w:lang w:val="en-US" w:eastAsia="zh-CN"/>
              </w:rPr>
            </w:pPr>
            <w:r>
              <w:rPr>
                <w:rFonts w:hint="eastAsia" w:ascii="Times New Roman" w:hAnsi="Times New Roman" w:cs="Times New Roman"/>
                <w:kern w:val="0"/>
                <w:sz w:val="21"/>
                <w:szCs w:val="21"/>
                <w:highlight w:val="none"/>
                <w:lang w:val="en-US" w:eastAsia="zh-CN"/>
              </w:rPr>
              <w:t>0</w:t>
            </w:r>
            <w:r>
              <w:rPr>
                <w:rFonts w:hint="eastAsia" w:cs="Times New Roman"/>
                <w:kern w:val="0"/>
                <w:sz w:val="21"/>
                <w:szCs w:val="21"/>
                <w:highlight w:val="none"/>
                <w:lang w:val="en-US" w:eastAsia="zh-CN"/>
              </w:rPr>
              <w:t>4</w:t>
            </w:r>
            <w:r>
              <w:rPr>
                <w:rFonts w:hint="eastAsia" w:ascii="Times New Roman" w:hAnsi="Times New Roman" w:cs="Times New Roman"/>
                <w:kern w:val="0"/>
                <w:sz w:val="21"/>
                <w:szCs w:val="21"/>
                <w:highlight w:val="none"/>
                <w:lang w:val="en-US" w:eastAsia="zh-CN"/>
              </w:rPr>
              <w:t>月</w:t>
            </w:r>
            <w:r>
              <w:rPr>
                <w:rFonts w:hint="eastAsia" w:cs="Times New Roman"/>
                <w:kern w:val="0"/>
                <w:sz w:val="21"/>
                <w:szCs w:val="21"/>
                <w:highlight w:val="none"/>
                <w:lang w:val="en-US" w:eastAsia="zh-CN"/>
              </w:rPr>
              <w:t>1</w:t>
            </w:r>
            <w:r>
              <w:rPr>
                <w:rFonts w:hint="eastAsia" w:ascii="Times New Roman" w:hAnsi="Times New Roman" w:cs="Times New Roman"/>
                <w:kern w:val="0"/>
                <w:sz w:val="21"/>
                <w:szCs w:val="21"/>
                <w:highlight w:val="none"/>
                <w:lang w:val="en-US" w:eastAsia="zh-CN"/>
              </w:rPr>
              <w:t>3日</w:t>
            </w:r>
          </w:p>
        </w:tc>
        <w:tc>
          <w:tcPr>
            <w:tcW w:w="770" w:type="pct"/>
            <w:tcBorders>
              <w:bottom w:val="single" w:color="auto" w:sz="4" w:space="0"/>
            </w:tcBorders>
            <w:noWrap w:val="0"/>
            <w:vAlign w:val="center"/>
          </w:tcPr>
          <w:p>
            <w:pPr>
              <w:spacing w:line="240" w:lineRule="exact"/>
              <w:jc w:val="center"/>
              <w:rPr>
                <w:rFonts w:hint="eastAsia" w:ascii="Times New Roman" w:hAnsi="Times New Roman" w:cs="Times New Roman"/>
                <w:kern w:val="0"/>
                <w:sz w:val="21"/>
                <w:szCs w:val="21"/>
                <w:highlight w:val="none"/>
                <w:lang w:val="en-US" w:eastAsia="zh-CN"/>
              </w:rPr>
            </w:pPr>
            <w:r>
              <w:rPr>
                <w:rFonts w:hint="eastAsia" w:cs="Times New Roman"/>
                <w:kern w:val="0"/>
                <w:sz w:val="21"/>
                <w:szCs w:val="21"/>
                <w:highlight w:val="none"/>
                <w:lang w:val="en-US" w:eastAsia="zh-CN"/>
              </w:rPr>
              <w:t>南侧</w:t>
            </w:r>
            <w:r>
              <w:rPr>
                <w:rFonts w:hint="eastAsia" w:ascii="Times New Roman" w:hAnsi="Times New Roman" w:cs="Times New Roman"/>
                <w:kern w:val="0"/>
                <w:sz w:val="21"/>
                <w:szCs w:val="21"/>
                <w:highlight w:val="none"/>
                <w:lang w:val="en-US" w:eastAsia="zh-CN"/>
              </w:rPr>
              <w:t>（</w:t>
            </w:r>
            <w:r>
              <w:rPr>
                <w:rFonts w:hint="eastAsia" w:cs="Times New Roman"/>
                <w:bCs/>
                <w:kern w:val="0"/>
                <w:sz w:val="21"/>
                <w:szCs w:val="21"/>
                <w:highlight w:val="none"/>
                <w:lang w:val="en-US" w:eastAsia="zh-CN"/>
              </w:rPr>
              <w:t>C</w:t>
            </w:r>
            <w:r>
              <w:rPr>
                <w:rFonts w:hint="eastAsia" w:ascii="Times New Roman" w:hAnsi="Times New Roman" w:cs="Times New Roman"/>
                <w:bCs/>
                <w:kern w:val="0"/>
                <w:sz w:val="21"/>
                <w:szCs w:val="21"/>
                <w:highlight w:val="none"/>
                <w:lang w:val="en-US" w:eastAsia="zh-CN"/>
              </w:rPr>
              <w:t>1</w:t>
            </w:r>
            <w:r>
              <w:rPr>
                <w:rFonts w:hint="eastAsia" w:ascii="Times New Roman" w:hAnsi="Times New Roman" w:cs="Times New Roman"/>
                <w:kern w:val="0"/>
                <w:sz w:val="21"/>
                <w:szCs w:val="21"/>
                <w:highlight w:val="none"/>
                <w:lang w:val="en-US" w:eastAsia="zh-CN"/>
              </w:rPr>
              <w:t>）</w:t>
            </w:r>
          </w:p>
        </w:tc>
        <w:tc>
          <w:tcPr>
            <w:tcW w:w="595" w:type="pct"/>
            <w:tcBorders>
              <w:top w:val="single" w:color="auto" w:sz="8" w:space="0"/>
              <w:bottom w:val="single" w:color="auto" w:sz="4" w:space="0"/>
              <w:right w:val="single" w:color="auto" w:sz="8" w:space="0"/>
            </w:tcBorders>
            <w:noWrap w:val="0"/>
            <w:vAlign w:val="center"/>
          </w:tcPr>
          <w:p>
            <w:pPr>
              <w:spacing w:line="240" w:lineRule="exact"/>
              <w:jc w:val="center"/>
              <w:rPr>
                <w:rFonts w:hint="default" w:ascii="Times New Roman" w:hAnsi="Times New Roman" w:cs="Times New Roman"/>
                <w:bCs/>
                <w:i w:val="0"/>
                <w:iCs w:val="0"/>
                <w:kern w:val="0"/>
                <w:sz w:val="21"/>
                <w:szCs w:val="21"/>
                <w:highlight w:val="none"/>
                <w:lang w:val="en-US" w:eastAsia="zh-CN"/>
              </w:rPr>
            </w:pPr>
            <w:r>
              <w:rPr>
                <w:rFonts w:hint="eastAsia" w:cs="Times New Roman"/>
                <w:bCs/>
                <w:i w:val="0"/>
                <w:iCs w:val="0"/>
                <w:kern w:val="0"/>
                <w:sz w:val="21"/>
                <w:szCs w:val="21"/>
                <w:highlight w:val="none"/>
                <w:lang w:val="en-US" w:eastAsia="zh-CN"/>
              </w:rPr>
              <w:t>55</w:t>
            </w:r>
          </w:p>
        </w:tc>
        <w:tc>
          <w:tcPr>
            <w:tcW w:w="595" w:type="pct"/>
            <w:tcBorders>
              <w:top w:val="single" w:color="auto" w:sz="8" w:space="0"/>
              <w:left w:val="single" w:color="auto" w:sz="8" w:space="0"/>
              <w:bottom w:val="single" w:color="auto" w:sz="4" w:space="0"/>
              <w:right w:val="single" w:color="auto" w:sz="8" w:space="0"/>
            </w:tcBorders>
            <w:noWrap w:val="0"/>
            <w:vAlign w:val="center"/>
          </w:tcPr>
          <w:p>
            <w:pPr>
              <w:spacing w:line="240" w:lineRule="exact"/>
              <w:jc w:val="center"/>
              <w:rPr>
                <w:rFonts w:hint="default" w:ascii="Times New Roman" w:hAnsi="Times New Roman" w:cs="Times New Roman"/>
                <w:bCs/>
                <w:i w:val="0"/>
                <w:iCs w:val="0"/>
                <w:kern w:val="0"/>
                <w:sz w:val="21"/>
                <w:szCs w:val="21"/>
                <w:highlight w:val="none"/>
                <w:lang w:val="en-US" w:eastAsia="zh-CN"/>
              </w:rPr>
            </w:pPr>
            <w:r>
              <w:rPr>
                <w:rFonts w:hint="eastAsia" w:ascii="Times New Roman" w:hAnsi="Times New Roman" w:eastAsia="宋体" w:cs="Times New Roman"/>
                <w:sz w:val="21"/>
                <w:szCs w:val="21"/>
                <w:highlight w:val="none"/>
                <w:lang w:val="en-US" w:eastAsia="zh-CN"/>
              </w:rPr>
              <w:t>65</w:t>
            </w:r>
          </w:p>
        </w:tc>
        <w:tc>
          <w:tcPr>
            <w:tcW w:w="600" w:type="pct"/>
            <w:tcBorders>
              <w:top w:val="single" w:color="000000" w:sz="8" w:space="0"/>
              <w:left w:val="single" w:color="auto" w:sz="8" w:space="0"/>
              <w:bottom w:val="single" w:color="auto" w:sz="4" w:space="0"/>
              <w:right w:val="single" w:color="auto" w:sz="8" w:space="0"/>
            </w:tcBorders>
            <w:noWrap w:val="0"/>
            <w:vAlign w:val="center"/>
          </w:tcPr>
          <w:p>
            <w:pPr>
              <w:spacing w:line="240" w:lineRule="exact"/>
              <w:jc w:val="center"/>
              <w:rPr>
                <w:rFonts w:hint="eastAsia"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sz w:val="21"/>
                <w:szCs w:val="21"/>
                <w:highlight w:val="none"/>
                <w:lang w:val="en-US" w:eastAsia="zh-CN"/>
              </w:rPr>
              <w:t>达标</w:t>
            </w:r>
          </w:p>
        </w:tc>
        <w:tc>
          <w:tcPr>
            <w:tcW w:w="595" w:type="pct"/>
            <w:tcBorders>
              <w:top w:val="single" w:color="auto" w:sz="8" w:space="0"/>
              <w:left w:val="single" w:color="auto" w:sz="8" w:space="0"/>
              <w:bottom w:val="single" w:color="auto" w:sz="4" w:space="0"/>
              <w:right w:val="single" w:color="auto" w:sz="8" w:space="0"/>
            </w:tcBorders>
            <w:noWrap w:val="0"/>
            <w:vAlign w:val="center"/>
          </w:tcPr>
          <w:p>
            <w:pPr>
              <w:spacing w:line="240" w:lineRule="exact"/>
              <w:jc w:val="center"/>
              <w:rPr>
                <w:rFonts w:hint="default" w:ascii="Times New Roman" w:hAnsi="Times New Roman" w:cs="Times New Roman"/>
                <w:bCs/>
                <w:kern w:val="0"/>
                <w:sz w:val="21"/>
                <w:szCs w:val="21"/>
                <w:highlight w:val="none"/>
                <w:lang w:val="en-US" w:eastAsia="zh-CN"/>
              </w:rPr>
            </w:pPr>
            <w:r>
              <w:rPr>
                <w:rFonts w:hint="eastAsia" w:cs="Times New Roman"/>
                <w:bCs/>
                <w:kern w:val="0"/>
                <w:sz w:val="21"/>
                <w:szCs w:val="21"/>
                <w:highlight w:val="none"/>
                <w:lang w:val="en-US" w:eastAsia="zh-CN"/>
              </w:rPr>
              <w:t>44</w:t>
            </w:r>
          </w:p>
        </w:tc>
        <w:tc>
          <w:tcPr>
            <w:tcW w:w="595" w:type="pct"/>
            <w:tcBorders>
              <w:top w:val="single" w:color="000000" w:sz="8" w:space="0"/>
              <w:left w:val="single" w:color="auto" w:sz="8" w:space="0"/>
              <w:bottom w:val="single" w:color="auto" w:sz="4" w:space="0"/>
              <w:right w:val="single" w:color="auto" w:sz="8" w:space="0"/>
            </w:tcBorders>
            <w:noWrap w:val="0"/>
            <w:vAlign w:val="center"/>
          </w:tcPr>
          <w:p>
            <w:pPr>
              <w:spacing w:line="240" w:lineRule="exact"/>
              <w:jc w:val="center"/>
              <w:rPr>
                <w:rFonts w:hint="eastAsia" w:ascii="Times New Roman" w:hAnsi="Times New Roman" w:cs="Times New Roman"/>
                <w:bCs/>
                <w:kern w:val="0"/>
                <w:sz w:val="21"/>
                <w:szCs w:val="21"/>
                <w:highlight w:val="none"/>
                <w:lang w:val="en-US" w:eastAsia="zh-CN" w:bidi="ar-SA"/>
              </w:rPr>
            </w:pPr>
            <w:r>
              <w:rPr>
                <w:rFonts w:hint="eastAsia" w:ascii="Times New Roman" w:hAnsi="Times New Roman" w:cs="Times New Roman"/>
                <w:bCs/>
                <w:kern w:val="0"/>
                <w:sz w:val="21"/>
                <w:szCs w:val="21"/>
                <w:highlight w:val="none"/>
                <w:lang w:val="en-US" w:eastAsia="zh-CN"/>
              </w:rPr>
              <w:t>55</w:t>
            </w:r>
          </w:p>
        </w:tc>
        <w:tc>
          <w:tcPr>
            <w:tcW w:w="600" w:type="pct"/>
            <w:tcBorders>
              <w:top w:val="single" w:color="000000" w:sz="8" w:space="0"/>
              <w:left w:val="single" w:color="auto" w:sz="8" w:space="0"/>
              <w:bottom w:val="single" w:color="auto" w:sz="4" w:space="0"/>
              <w:right w:val="single" w:color="auto" w:sz="4" w:space="0"/>
            </w:tcBorders>
            <w:noWrap w:val="0"/>
            <w:vAlign w:val="center"/>
          </w:tcPr>
          <w:p>
            <w:pPr>
              <w:spacing w:line="240" w:lineRule="exact"/>
              <w:jc w:val="center"/>
              <w:rPr>
                <w:rFonts w:hint="eastAsia" w:ascii="Times New Roman" w:hAnsi="Times New Roman" w:cs="Times New Roman"/>
                <w:bCs/>
                <w:kern w:val="0"/>
                <w:sz w:val="21"/>
                <w:szCs w:val="21"/>
                <w:highlight w:val="none"/>
                <w:lang w:val="en-US" w:eastAsia="zh-CN" w:bidi="ar-SA"/>
              </w:rPr>
            </w:pPr>
            <w:r>
              <w:rPr>
                <w:rFonts w:hint="eastAsia" w:ascii="Times New Roman" w:hAnsi="Times New Roman" w:cs="Times New Roman"/>
                <w:bCs/>
                <w:kern w:val="0"/>
                <w:sz w:val="21"/>
                <w:szCs w:val="21"/>
                <w:highlight w:val="none"/>
                <w:lang w:val="en-US" w:eastAsia="zh-CN"/>
              </w:rPr>
              <w:t>达标</w:t>
            </w:r>
          </w:p>
        </w:tc>
      </w:tr>
    </w:tbl>
    <w:p>
      <w:pPr>
        <w:spacing w:line="540" w:lineRule="exact"/>
        <w:ind w:firstLine="480" w:firstLineChars="200"/>
        <w:rPr>
          <w:sz w:val="24"/>
          <w:szCs w:val="24"/>
        </w:rPr>
      </w:pPr>
      <w:r>
        <w:rPr>
          <w:rFonts w:hint="eastAsia"/>
          <w:sz w:val="24"/>
          <w:szCs w:val="24"/>
        </w:rPr>
        <w:t>根据表9-</w:t>
      </w:r>
      <w:r>
        <w:rPr>
          <w:rFonts w:hint="eastAsia"/>
          <w:sz w:val="24"/>
          <w:szCs w:val="24"/>
          <w:lang w:val="en-US" w:eastAsia="zh-CN"/>
        </w:rPr>
        <w:t>3</w:t>
      </w:r>
      <w:r>
        <w:rPr>
          <w:rFonts w:hint="eastAsia"/>
          <w:sz w:val="24"/>
          <w:szCs w:val="24"/>
        </w:rPr>
        <w:t>可知，</w:t>
      </w:r>
      <w:r>
        <w:rPr>
          <w:bCs/>
          <w:sz w:val="24"/>
          <w:szCs w:val="24"/>
        </w:rPr>
        <w:t>验收监测期间</w:t>
      </w:r>
      <w:r>
        <w:rPr>
          <w:sz w:val="24"/>
          <w:szCs w:val="24"/>
        </w:rPr>
        <w:t>，</w:t>
      </w:r>
      <w:r>
        <w:rPr>
          <w:rFonts w:hint="eastAsia"/>
          <w:bCs/>
          <w:sz w:val="24"/>
          <w:szCs w:val="24"/>
          <w:lang w:eastAsia="zh-CN"/>
        </w:rPr>
        <w:t>奉节县顺全加油站改扩建项目</w:t>
      </w:r>
      <w:r>
        <w:rPr>
          <w:sz w:val="24"/>
          <w:szCs w:val="24"/>
        </w:rPr>
        <w:t>昼间</w:t>
      </w:r>
      <w:r>
        <w:rPr>
          <w:rFonts w:hint="eastAsia"/>
          <w:sz w:val="24"/>
          <w:szCs w:val="24"/>
        </w:rPr>
        <w:t>、</w:t>
      </w:r>
      <w:r>
        <w:rPr>
          <w:sz w:val="24"/>
          <w:szCs w:val="24"/>
        </w:rPr>
        <w:t>夜间外排厂界噪声符合《工业企业厂界环境噪声排放标准》（GB12348-2008）</w:t>
      </w:r>
      <w:r>
        <w:rPr>
          <w:rFonts w:hint="eastAsia"/>
          <w:sz w:val="24"/>
          <w:szCs w:val="24"/>
          <w:lang w:val="en-US" w:eastAsia="zh-CN"/>
        </w:rPr>
        <w:t>2</w:t>
      </w:r>
      <w:r>
        <w:rPr>
          <w:rFonts w:hint="eastAsia"/>
          <w:sz w:val="24"/>
          <w:szCs w:val="24"/>
        </w:rPr>
        <w:t>类</w:t>
      </w:r>
      <w:r>
        <w:rPr>
          <w:sz w:val="24"/>
          <w:szCs w:val="24"/>
        </w:rPr>
        <w:t>区标准。</w:t>
      </w:r>
    </w:p>
    <w:p>
      <w:pPr>
        <w:pStyle w:val="3"/>
        <w:tabs>
          <w:tab w:val="left" w:pos="541"/>
          <w:tab w:val="left" w:pos="576"/>
        </w:tabs>
      </w:pPr>
      <w:bookmarkStart w:id="186" w:name="_Toc3323"/>
      <w:bookmarkStart w:id="187" w:name="_Toc312829637"/>
      <w:bookmarkStart w:id="188" w:name="_Toc333501137"/>
      <w:bookmarkStart w:id="189" w:name="_Toc333501426"/>
      <w:bookmarkStart w:id="190" w:name="_Toc333588678"/>
      <w:r>
        <w:rPr>
          <w:rFonts w:hint="eastAsia" w:ascii="Times New Roman" w:hAnsi="Times New Roman"/>
          <w:lang w:val="en-US" w:eastAsia="zh-CN"/>
        </w:rPr>
        <w:t>9.3  污染物总量控制</w:t>
      </w:r>
      <w:bookmarkEnd w:id="186"/>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color w:val="000000" w:themeColor="text1"/>
          <w:kern w:val="0"/>
          <w:sz w:val="24"/>
          <w:szCs w:val="24"/>
          <w:highlight w:val="none"/>
          <w:lang w:val="en-US" w:eastAsia="zh-CN" w:bidi="ar-SA"/>
        </w:rPr>
      </w:pPr>
      <w:r>
        <w:rPr>
          <w:rFonts w:hint="eastAsia" w:ascii="Times New Roman" w:hAnsi="Times New Roman" w:eastAsia="宋体" w:cs="Times New Roman"/>
          <w:color w:val="000000" w:themeColor="text1"/>
          <w:kern w:val="0"/>
          <w:sz w:val="24"/>
          <w:szCs w:val="24"/>
          <w:highlight w:val="none"/>
          <w:lang w:val="en-US" w:eastAsia="zh-CN" w:bidi="ar-SA"/>
        </w:rPr>
        <w:t>实施污染物排放总量控制是污染控制的重要举措，污染物排放应在确保满足达标排放的前提下，同时满足区域的污染物排放总量控制目标</w:t>
      </w:r>
      <w:r>
        <w:rPr>
          <w:rFonts w:hint="eastAsia" w:ascii="Times New Roman" w:hAnsi="Times New Roman" w:cs="Times New Roman"/>
          <w:color w:val="000000" w:themeColor="text1"/>
          <w:kern w:val="0"/>
          <w:sz w:val="24"/>
          <w:szCs w:val="24"/>
          <w:highlight w:val="none"/>
          <w:lang w:val="en-US" w:eastAsia="zh-CN" w:bidi="ar-SA"/>
        </w:rPr>
        <w:t>。</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color w:val="000000" w:themeColor="text1"/>
          <w:kern w:val="0"/>
          <w:sz w:val="24"/>
          <w:szCs w:val="24"/>
          <w:highlight w:val="none"/>
          <w:lang w:val="en-US" w:eastAsia="zh-CN" w:bidi="ar-SA"/>
        </w:rPr>
      </w:pPr>
      <w:r>
        <w:rPr>
          <w:rFonts w:hint="eastAsia" w:ascii="Times New Roman" w:hAnsi="Times New Roman" w:cs="Times New Roman"/>
          <w:color w:val="000000" w:themeColor="text1"/>
          <w:kern w:val="0"/>
          <w:sz w:val="24"/>
          <w:szCs w:val="24"/>
          <w:highlight w:val="none"/>
          <w:lang w:val="en-US" w:eastAsia="zh-CN" w:bidi="ar-SA"/>
        </w:rPr>
        <w:t>本项目污染物总量控制指标，COD：0.095t/a、NH3-N：0.013t/a，由验收实际监测数据可知，该项目总量控制指标实际排放量均在环保行政主管部门控制范围内，可以实现总量达标排放。</w:t>
      </w:r>
    </w:p>
    <w:p>
      <w:pPr>
        <w:widowControl/>
        <w:jc w:val="left"/>
        <w:rPr>
          <w:b/>
          <w:bCs/>
          <w:kern w:val="0"/>
          <w:sz w:val="36"/>
          <w:szCs w:val="20"/>
        </w:rPr>
      </w:pPr>
    </w:p>
    <w:p>
      <w:pPr>
        <w:widowControl/>
        <w:jc w:val="left"/>
        <w:rPr>
          <w:b/>
          <w:bCs/>
          <w:kern w:val="0"/>
          <w:sz w:val="36"/>
          <w:szCs w:val="20"/>
        </w:rPr>
      </w:pPr>
      <w:r>
        <w:rPr>
          <w:sz w:val="36"/>
        </w:rPr>
        <w:br w:type="page"/>
      </w:r>
    </w:p>
    <w:bookmarkEnd w:id="187"/>
    <w:bookmarkEnd w:id="188"/>
    <w:bookmarkEnd w:id="189"/>
    <w:bookmarkEnd w:id="190"/>
    <w:p>
      <w:pPr>
        <w:pStyle w:val="63"/>
        <w:spacing w:beforeLines="50"/>
        <w:rPr>
          <w:rFonts w:hint="eastAsia" w:ascii="Times New Roman" w:hAnsi="Times New Roman" w:cs="Times New Roman"/>
          <w:sz w:val="36"/>
        </w:rPr>
      </w:pPr>
      <w:bookmarkStart w:id="191" w:name="_Toc312829648"/>
      <w:bookmarkStart w:id="192" w:name="_Toc333588688"/>
      <w:bookmarkStart w:id="193" w:name="_Toc333501147"/>
      <w:bookmarkStart w:id="194" w:name="_Toc333501436"/>
      <w:bookmarkStart w:id="195" w:name="_Toc20176"/>
      <w:r>
        <w:rPr>
          <w:rFonts w:hint="eastAsia" w:ascii="Times New Roman" w:hAnsi="Times New Roman" w:cs="Times New Roman"/>
          <w:sz w:val="36"/>
        </w:rPr>
        <w:t>10 验收监测结论</w:t>
      </w:r>
      <w:bookmarkEnd w:id="191"/>
      <w:bookmarkEnd w:id="192"/>
      <w:bookmarkEnd w:id="193"/>
      <w:bookmarkEnd w:id="194"/>
      <w:bookmarkEnd w:id="195"/>
    </w:p>
    <w:p>
      <w:pPr>
        <w:spacing w:line="540" w:lineRule="exact"/>
        <w:ind w:firstLine="464" w:firstLineChars="200"/>
        <w:rPr>
          <w:bCs/>
          <w:spacing w:val="-4"/>
          <w:sz w:val="28"/>
          <w:szCs w:val="28"/>
        </w:rPr>
      </w:pPr>
      <w:r>
        <w:rPr>
          <w:rFonts w:hint="eastAsia"/>
          <w:spacing w:val="-4"/>
          <w:sz w:val="24"/>
          <w:szCs w:val="24"/>
          <w:lang w:eastAsia="zh-CN"/>
        </w:rPr>
        <w:t>奉节县顺全加油站改扩建项目</w:t>
      </w:r>
      <w:r>
        <w:rPr>
          <w:spacing w:val="-4"/>
          <w:sz w:val="24"/>
          <w:szCs w:val="24"/>
        </w:rPr>
        <w:t>项目</w:t>
      </w:r>
      <w:r>
        <w:rPr>
          <w:bCs/>
          <w:color w:val="000000"/>
          <w:spacing w:val="-4"/>
          <w:sz w:val="24"/>
          <w:szCs w:val="24"/>
        </w:rPr>
        <w:t>在建</w:t>
      </w:r>
      <w:r>
        <w:rPr>
          <w:spacing w:val="-4"/>
          <w:sz w:val="24"/>
          <w:szCs w:val="24"/>
        </w:rPr>
        <w:t>设过程</w:t>
      </w:r>
      <w:r>
        <w:rPr>
          <w:bCs/>
          <w:spacing w:val="-4"/>
          <w:sz w:val="24"/>
          <w:szCs w:val="24"/>
        </w:rPr>
        <w:t>中严格执行建设项目</w:t>
      </w:r>
      <w:r>
        <w:rPr>
          <w:rFonts w:hint="eastAsia"/>
          <w:bCs/>
          <w:spacing w:val="-4"/>
          <w:sz w:val="24"/>
          <w:szCs w:val="24"/>
          <w:lang w:eastAsia="zh-CN"/>
        </w:rPr>
        <w:t>“</w:t>
      </w:r>
      <w:r>
        <w:rPr>
          <w:bCs/>
          <w:spacing w:val="-4"/>
          <w:sz w:val="24"/>
          <w:szCs w:val="24"/>
        </w:rPr>
        <w:t>三同时</w:t>
      </w:r>
      <w:r>
        <w:rPr>
          <w:rFonts w:hint="eastAsia"/>
          <w:bCs/>
          <w:spacing w:val="-4"/>
          <w:sz w:val="24"/>
          <w:szCs w:val="24"/>
          <w:lang w:eastAsia="zh-CN"/>
        </w:rPr>
        <w:t>”</w:t>
      </w:r>
      <w:r>
        <w:rPr>
          <w:bCs/>
          <w:spacing w:val="-4"/>
          <w:sz w:val="24"/>
          <w:szCs w:val="24"/>
        </w:rPr>
        <w:t>环保政策，做到了环保设施与主体工程同时设计、同时施工、同时投入运行。</w:t>
      </w:r>
    </w:p>
    <w:p>
      <w:pPr>
        <w:pStyle w:val="64"/>
        <w:rPr>
          <w:rFonts w:cs="Times New Roman"/>
          <w:sz w:val="32"/>
        </w:rPr>
      </w:pPr>
      <w:bookmarkStart w:id="196" w:name="_Toc30128"/>
      <w:r>
        <w:rPr>
          <w:rFonts w:cs="Times New Roman"/>
          <w:sz w:val="32"/>
        </w:rPr>
        <w:t>10.1</w:t>
      </w:r>
      <w:r>
        <w:rPr>
          <w:rFonts w:hint="eastAsia" w:cs="Times New Roman"/>
          <w:sz w:val="32"/>
        </w:rPr>
        <w:t>环境保护设施调试效果</w:t>
      </w:r>
      <w:bookmarkEnd w:id="196"/>
    </w:p>
    <w:p>
      <w:pPr>
        <w:spacing w:line="540" w:lineRule="exact"/>
        <w:ind w:firstLine="480" w:firstLineChars="200"/>
        <w:rPr>
          <w:sz w:val="24"/>
          <w:szCs w:val="24"/>
        </w:rPr>
      </w:pPr>
      <w:r>
        <w:rPr>
          <w:sz w:val="24"/>
          <w:szCs w:val="24"/>
        </w:rPr>
        <w:t>1、废水</w:t>
      </w:r>
    </w:p>
    <w:p>
      <w:pPr>
        <w:adjustRightInd w:val="0"/>
        <w:snapToGrid w:val="0"/>
        <w:spacing w:line="540" w:lineRule="exact"/>
        <w:ind w:firstLine="480" w:firstLineChars="200"/>
        <w:rPr>
          <w:sz w:val="24"/>
          <w:szCs w:val="24"/>
        </w:rPr>
      </w:pPr>
      <w:r>
        <w:rPr>
          <w:bCs/>
          <w:sz w:val="24"/>
          <w:szCs w:val="24"/>
        </w:rPr>
        <w:t>验收监测期间，</w:t>
      </w:r>
      <w:r>
        <w:rPr>
          <w:rFonts w:hint="eastAsia"/>
          <w:bCs/>
          <w:sz w:val="24"/>
          <w:szCs w:val="24"/>
          <w:lang w:eastAsia="zh-CN"/>
        </w:rPr>
        <w:t>奉节县顺全加油站改扩建项目外排废水COD、BOD5、SS、石油类排放浓度能够满足《污水综合排放标准》（GB8978-1996）三级标准限值要求，氨氮满足《污水排入城镇下水道水质标准》（GB/T 31962-2015）表 1.B 级标准</w:t>
      </w:r>
      <w:r>
        <w:rPr>
          <w:rFonts w:hint="eastAsia"/>
          <w:sz w:val="24"/>
          <w:szCs w:val="24"/>
        </w:rPr>
        <w:t>。</w:t>
      </w:r>
    </w:p>
    <w:p>
      <w:pPr>
        <w:spacing w:line="540" w:lineRule="exact"/>
        <w:ind w:firstLine="480" w:firstLineChars="200"/>
        <w:rPr>
          <w:sz w:val="24"/>
          <w:szCs w:val="24"/>
        </w:rPr>
      </w:pPr>
      <w:r>
        <w:rPr>
          <w:sz w:val="24"/>
          <w:szCs w:val="24"/>
        </w:rPr>
        <w:t>2、废气</w:t>
      </w:r>
    </w:p>
    <w:p>
      <w:pPr>
        <w:spacing w:line="540" w:lineRule="exact"/>
        <w:ind w:firstLine="480" w:firstLineChars="200"/>
        <w:rPr>
          <w:sz w:val="24"/>
          <w:szCs w:val="24"/>
        </w:rPr>
      </w:pPr>
      <w:r>
        <w:rPr>
          <w:rFonts w:hint="eastAsia"/>
          <w:sz w:val="24"/>
          <w:szCs w:val="24"/>
        </w:rPr>
        <w:t>验收监测期间，</w:t>
      </w:r>
      <w:r>
        <w:rPr>
          <w:rFonts w:hint="eastAsia"/>
          <w:bCs/>
          <w:sz w:val="24"/>
          <w:szCs w:val="24"/>
          <w:lang w:eastAsia="zh-CN"/>
        </w:rPr>
        <w:t>奉节县顺全加油站改扩建项目厂界无组织排放废气非甲烷总烃符合《加油站大气污染物排放标准》（GB 20952-2020）表 3</w:t>
      </w:r>
      <w:r>
        <w:rPr>
          <w:rFonts w:hint="eastAsia"/>
          <w:bCs/>
          <w:sz w:val="24"/>
          <w:szCs w:val="24"/>
        </w:rPr>
        <w:t>。</w:t>
      </w:r>
    </w:p>
    <w:p>
      <w:pPr>
        <w:spacing w:line="540" w:lineRule="exact"/>
        <w:ind w:firstLine="480" w:firstLineChars="200"/>
        <w:rPr>
          <w:sz w:val="24"/>
          <w:szCs w:val="24"/>
        </w:rPr>
      </w:pPr>
      <w:r>
        <w:rPr>
          <w:sz w:val="24"/>
          <w:szCs w:val="24"/>
        </w:rPr>
        <w:t>3、噪声</w:t>
      </w:r>
    </w:p>
    <w:p>
      <w:pPr>
        <w:spacing w:line="540" w:lineRule="exact"/>
        <w:ind w:firstLine="480" w:firstLineChars="200"/>
        <w:rPr>
          <w:sz w:val="24"/>
          <w:szCs w:val="24"/>
        </w:rPr>
      </w:pPr>
      <w:r>
        <w:rPr>
          <w:rFonts w:hint="eastAsia"/>
          <w:sz w:val="24"/>
          <w:szCs w:val="24"/>
        </w:rPr>
        <w:t>验收监测期间，</w:t>
      </w:r>
      <w:r>
        <w:rPr>
          <w:rFonts w:hint="eastAsia"/>
          <w:bCs/>
          <w:sz w:val="24"/>
          <w:szCs w:val="24"/>
          <w:lang w:eastAsia="zh-CN"/>
        </w:rPr>
        <w:t>奉节县顺全加油站改扩建项目</w:t>
      </w:r>
      <w:r>
        <w:rPr>
          <w:rFonts w:hint="eastAsia"/>
          <w:sz w:val="24"/>
          <w:szCs w:val="24"/>
        </w:rPr>
        <w:t>昼间、夜间</w:t>
      </w:r>
      <w:r>
        <w:rPr>
          <w:sz w:val="24"/>
          <w:szCs w:val="24"/>
        </w:rPr>
        <w:t>外排厂界噪声符合《工业企业厂界环境噪声排放标准》（GB12348-2008）</w:t>
      </w:r>
      <w:r>
        <w:rPr>
          <w:rFonts w:hint="eastAsia"/>
          <w:sz w:val="24"/>
          <w:szCs w:val="24"/>
          <w:lang w:val="en-US" w:eastAsia="zh-CN"/>
        </w:rPr>
        <w:t>2</w:t>
      </w:r>
      <w:r>
        <w:rPr>
          <w:rFonts w:hint="eastAsia"/>
          <w:sz w:val="24"/>
          <w:szCs w:val="24"/>
        </w:rPr>
        <w:t>类</w:t>
      </w:r>
      <w:r>
        <w:rPr>
          <w:sz w:val="24"/>
          <w:szCs w:val="24"/>
        </w:rPr>
        <w:t>区标准。</w:t>
      </w:r>
    </w:p>
    <w:p>
      <w:pPr>
        <w:spacing w:line="540" w:lineRule="exact"/>
        <w:ind w:firstLine="480" w:firstLineChars="200"/>
        <w:rPr>
          <w:sz w:val="24"/>
          <w:szCs w:val="24"/>
        </w:rPr>
      </w:pPr>
      <w:r>
        <w:rPr>
          <w:sz w:val="24"/>
          <w:szCs w:val="24"/>
        </w:rPr>
        <w:t>4、固体废物</w:t>
      </w:r>
    </w:p>
    <w:p>
      <w:pPr>
        <w:adjustRightInd w:val="0"/>
        <w:snapToGrid w:val="0"/>
        <w:spacing w:line="540" w:lineRule="exact"/>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本项目产生的固体废物包括包括生活垃圾、生化池污泥、便利店包装废物、危险废物。</w:t>
      </w:r>
    </w:p>
    <w:p>
      <w:pPr>
        <w:adjustRightInd w:val="0"/>
        <w:snapToGrid w:val="0"/>
        <w:spacing w:line="540" w:lineRule="exact"/>
        <w:ind w:firstLine="480" w:firstLineChars="200"/>
        <w:rPr>
          <w:bCs/>
          <w:sz w:val="24"/>
          <w:szCs w:val="24"/>
        </w:rPr>
      </w:pPr>
      <w:r>
        <w:rPr>
          <w:rFonts w:hint="eastAsia" w:asciiTheme="minorEastAsia" w:hAnsiTheme="minorEastAsia" w:eastAsiaTheme="minorEastAsia"/>
          <w:sz w:val="24"/>
          <w:szCs w:val="24"/>
          <w:lang w:eastAsia="zh-CN"/>
        </w:rPr>
        <w:t>油罐清洗废物、隔油池油泥、废油、含油棉纱及手套、油水混合物等危险废物暂存于铁桶内，定期交有危废资质单位处理；生活垃圾由环卫部门收集后处理，生化池污泥由由指定单位定期清掏并送城市生活垃圾填埋场处置</w:t>
      </w:r>
      <w:r>
        <w:rPr>
          <w:rFonts w:hint="eastAsia" w:asciiTheme="minorEastAsia" w:hAnsiTheme="minorEastAsia" w:eastAsiaTheme="minorEastAsia"/>
          <w:bCs/>
          <w:sz w:val="24"/>
          <w:szCs w:val="24"/>
        </w:rPr>
        <w:t>。</w:t>
      </w:r>
    </w:p>
    <w:p>
      <w:pPr>
        <w:spacing w:line="540" w:lineRule="exact"/>
        <w:ind w:firstLine="480" w:firstLineChars="200"/>
        <w:rPr>
          <w:sz w:val="24"/>
          <w:szCs w:val="24"/>
        </w:rPr>
      </w:pPr>
      <w:r>
        <w:rPr>
          <w:rFonts w:hint="eastAsia"/>
          <w:sz w:val="24"/>
          <w:szCs w:val="24"/>
        </w:rPr>
        <w:t>本项目</w:t>
      </w:r>
      <w:r>
        <w:rPr>
          <w:sz w:val="24"/>
          <w:szCs w:val="24"/>
        </w:rPr>
        <w:t>固体废物</w:t>
      </w:r>
      <w:r>
        <w:rPr>
          <w:rFonts w:hint="eastAsia"/>
          <w:sz w:val="24"/>
          <w:szCs w:val="24"/>
        </w:rPr>
        <w:t>处理措施落实了</w:t>
      </w:r>
      <w:r>
        <w:rPr>
          <w:sz w:val="24"/>
          <w:szCs w:val="24"/>
        </w:rPr>
        <w:t>环评报告</w:t>
      </w:r>
      <w:r>
        <w:rPr>
          <w:rFonts w:hint="eastAsia"/>
          <w:sz w:val="24"/>
          <w:szCs w:val="24"/>
          <w:lang w:eastAsia="zh-CN"/>
        </w:rPr>
        <w:t>表</w:t>
      </w:r>
      <w:r>
        <w:rPr>
          <w:sz w:val="24"/>
          <w:szCs w:val="24"/>
        </w:rPr>
        <w:t>及环评批复要求。</w:t>
      </w:r>
    </w:p>
    <w:p>
      <w:pPr>
        <w:numPr>
          <w:ilvl w:val="0"/>
          <w:numId w:val="2"/>
        </w:numPr>
        <w:spacing w:line="540" w:lineRule="exact"/>
        <w:ind w:firstLine="480" w:firstLineChars="200"/>
        <w:rPr>
          <w:rFonts w:hint="eastAsia"/>
          <w:sz w:val="24"/>
          <w:szCs w:val="24"/>
          <w:lang w:val="en-US" w:eastAsia="zh-CN"/>
        </w:rPr>
      </w:pPr>
      <w:r>
        <w:rPr>
          <w:rFonts w:hint="eastAsia"/>
          <w:sz w:val="24"/>
          <w:szCs w:val="24"/>
          <w:lang w:val="en-US" w:eastAsia="zh-CN"/>
        </w:rPr>
        <w:t>其他</w:t>
      </w:r>
    </w:p>
    <w:p>
      <w:pPr>
        <w:spacing w:line="540" w:lineRule="exact"/>
        <w:ind w:firstLine="480"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该项目主要从事</w:t>
      </w:r>
      <w:r>
        <w:rPr>
          <w:rFonts w:hint="eastAsia" w:ascii="Times New Roman" w:hAnsi="Times New Roman" w:eastAsia="宋体" w:cs="Times New Roman"/>
          <w:bCs/>
          <w:sz w:val="24"/>
          <w:szCs w:val="24"/>
          <w:lang w:eastAsia="zh-CN"/>
        </w:rPr>
        <w:t>机动车燃油零售项目</w:t>
      </w:r>
      <w:r>
        <w:rPr>
          <w:rFonts w:hint="eastAsia" w:ascii="Times New Roman" w:hAnsi="Times New Roman" w:eastAsia="宋体" w:cs="Times New Roman"/>
          <w:bCs/>
          <w:sz w:val="24"/>
          <w:szCs w:val="24"/>
          <w:lang w:val="en-US" w:eastAsia="zh-CN"/>
        </w:rPr>
        <w:t>，行业划分属于汽车、摩托车、零配件和燃料及其他动力销售 526，位于</w:t>
      </w:r>
      <w:r>
        <w:rPr>
          <w:rFonts w:hint="eastAsia" w:cs="Times New Roman"/>
          <w:bCs/>
          <w:sz w:val="24"/>
          <w:szCs w:val="24"/>
          <w:lang w:val="en-US" w:eastAsia="zh-CN"/>
        </w:rPr>
        <w:t>乡镇</w:t>
      </w:r>
      <w:r>
        <w:rPr>
          <w:rFonts w:hint="eastAsia" w:ascii="Times New Roman" w:hAnsi="Times New Roman" w:eastAsia="宋体" w:cs="Times New Roman"/>
          <w:bCs/>
          <w:sz w:val="24"/>
          <w:szCs w:val="24"/>
          <w:lang w:val="en-US" w:eastAsia="zh-CN"/>
        </w:rPr>
        <w:t>建成区的加油站，根据固定污染源排污许可证分类管理名录（2019 年版）的相关要求，属于</w:t>
      </w:r>
      <w:r>
        <w:rPr>
          <w:rFonts w:hint="eastAsia" w:cs="Times New Roman"/>
          <w:bCs/>
          <w:sz w:val="24"/>
          <w:szCs w:val="24"/>
          <w:lang w:val="en-US" w:eastAsia="zh-CN"/>
        </w:rPr>
        <w:t>登记管理</w:t>
      </w:r>
      <w:r>
        <w:rPr>
          <w:rFonts w:hint="eastAsia" w:ascii="Times New Roman" w:hAnsi="Times New Roman" w:eastAsia="宋体" w:cs="Times New Roman"/>
          <w:bCs/>
          <w:sz w:val="24"/>
          <w:szCs w:val="24"/>
          <w:lang w:val="en-US" w:eastAsia="zh-CN"/>
        </w:rPr>
        <w:t>，</w:t>
      </w:r>
      <w:r>
        <w:rPr>
          <w:rFonts w:hint="eastAsia" w:cs="Times New Roman"/>
          <w:bCs/>
          <w:sz w:val="24"/>
          <w:szCs w:val="24"/>
          <w:lang w:val="en-US" w:eastAsia="zh-CN"/>
        </w:rPr>
        <w:t>无需</w:t>
      </w:r>
      <w:r>
        <w:rPr>
          <w:rFonts w:hint="eastAsia" w:ascii="Times New Roman" w:hAnsi="Times New Roman" w:eastAsia="宋体" w:cs="Times New Roman"/>
          <w:bCs/>
          <w:sz w:val="24"/>
          <w:szCs w:val="24"/>
          <w:lang w:val="en-US" w:eastAsia="zh-CN"/>
        </w:rPr>
        <w:t>办理排污许可证。企业于202</w:t>
      </w:r>
      <w:r>
        <w:rPr>
          <w:rFonts w:hint="eastAsia" w:cs="Times New Roman"/>
          <w:bCs/>
          <w:sz w:val="24"/>
          <w:szCs w:val="24"/>
          <w:lang w:val="en-US" w:eastAsia="zh-CN"/>
        </w:rPr>
        <w:t>0</w:t>
      </w:r>
      <w:r>
        <w:rPr>
          <w:rFonts w:hint="eastAsia" w:ascii="Times New Roman" w:hAnsi="Times New Roman" w:eastAsia="宋体" w:cs="Times New Roman"/>
          <w:bCs/>
          <w:sz w:val="24"/>
          <w:szCs w:val="24"/>
          <w:lang w:val="en-US" w:eastAsia="zh-CN"/>
        </w:rPr>
        <w:t>年</w:t>
      </w:r>
      <w:r>
        <w:rPr>
          <w:rFonts w:hint="eastAsia" w:cs="Times New Roman"/>
          <w:bCs/>
          <w:sz w:val="24"/>
          <w:szCs w:val="24"/>
          <w:lang w:val="en-US" w:eastAsia="zh-CN"/>
        </w:rPr>
        <w:t>5</w:t>
      </w:r>
      <w:r>
        <w:rPr>
          <w:rFonts w:hint="eastAsia" w:ascii="Times New Roman" w:hAnsi="Times New Roman" w:eastAsia="宋体" w:cs="Times New Roman"/>
          <w:bCs/>
          <w:sz w:val="24"/>
          <w:szCs w:val="24"/>
          <w:lang w:val="en-US" w:eastAsia="zh-CN"/>
        </w:rPr>
        <w:t>月</w:t>
      </w:r>
      <w:r>
        <w:rPr>
          <w:rFonts w:hint="eastAsia" w:cs="Times New Roman"/>
          <w:bCs/>
          <w:sz w:val="24"/>
          <w:szCs w:val="24"/>
          <w:lang w:val="en-US" w:eastAsia="zh-CN"/>
        </w:rPr>
        <w:t>27</w:t>
      </w:r>
      <w:r>
        <w:rPr>
          <w:rFonts w:hint="eastAsia" w:ascii="Times New Roman" w:hAnsi="Times New Roman" w:eastAsia="宋体" w:cs="Times New Roman"/>
          <w:bCs/>
          <w:sz w:val="24"/>
          <w:szCs w:val="24"/>
          <w:lang w:val="en-US" w:eastAsia="zh-CN"/>
        </w:rPr>
        <w:t>日</w:t>
      </w:r>
      <w:r>
        <w:rPr>
          <w:rFonts w:hint="eastAsia" w:cs="Times New Roman"/>
          <w:bCs/>
          <w:sz w:val="24"/>
          <w:szCs w:val="24"/>
          <w:lang w:val="en-US" w:eastAsia="zh-CN"/>
        </w:rPr>
        <w:t>进行登记</w:t>
      </w:r>
      <w:r>
        <w:rPr>
          <w:rFonts w:hint="eastAsia" w:ascii="Times New Roman" w:hAnsi="Times New Roman" w:eastAsia="宋体" w:cs="Times New Roman"/>
          <w:bCs/>
          <w:sz w:val="24"/>
          <w:szCs w:val="24"/>
          <w:lang w:val="en-US" w:eastAsia="zh-CN"/>
        </w:rPr>
        <w:t>。许可证编号：</w:t>
      </w:r>
      <w:r>
        <w:rPr>
          <w:rFonts w:hint="eastAsia" w:cs="Times New Roman"/>
          <w:bCs/>
          <w:sz w:val="24"/>
          <w:szCs w:val="24"/>
          <w:lang w:val="en-US" w:eastAsia="zh-CN"/>
        </w:rPr>
        <w:t>91500236MA5YR5FU9N001X</w:t>
      </w:r>
      <w:r>
        <w:rPr>
          <w:rFonts w:hint="eastAsia" w:ascii="Times New Roman" w:hAnsi="Times New Roman" w:eastAsia="宋体" w:cs="Times New Roman"/>
          <w:bCs/>
          <w:sz w:val="24"/>
          <w:szCs w:val="24"/>
          <w:lang w:val="en-US" w:eastAsia="zh-CN"/>
        </w:rPr>
        <w:t>。项目在建设及试生产期间没有居民投诉。</w:t>
      </w:r>
    </w:p>
    <w:p>
      <w:pPr>
        <w:pStyle w:val="64"/>
        <w:rPr>
          <w:rFonts w:cs="Times New Roman"/>
          <w:sz w:val="32"/>
        </w:rPr>
      </w:pPr>
      <w:bookmarkStart w:id="197" w:name="_Toc5285"/>
      <w:r>
        <w:rPr>
          <w:rFonts w:cs="Times New Roman"/>
          <w:sz w:val="32"/>
        </w:rPr>
        <w:t>10.</w:t>
      </w:r>
      <w:r>
        <w:rPr>
          <w:rFonts w:hint="eastAsia" w:cs="Times New Roman"/>
          <w:sz w:val="32"/>
        </w:rPr>
        <w:t>2</w:t>
      </w:r>
      <w:r>
        <w:rPr>
          <w:rFonts w:cs="Times New Roman"/>
          <w:sz w:val="32"/>
        </w:rPr>
        <w:t>环境风险措施检查结论</w:t>
      </w:r>
      <w:bookmarkEnd w:id="197"/>
    </w:p>
    <w:p>
      <w:pPr>
        <w:adjustRightInd w:val="0"/>
        <w:snapToGrid w:val="0"/>
        <w:spacing w:line="540" w:lineRule="exact"/>
        <w:ind w:firstLine="480" w:firstLineChars="200"/>
        <w:rPr>
          <w:rFonts w:hAnsiTheme="minorEastAsia" w:eastAsiaTheme="minorEastAsia"/>
          <w:bCs/>
          <w:sz w:val="28"/>
          <w:szCs w:val="28"/>
        </w:rPr>
      </w:pPr>
      <w:r>
        <w:rPr>
          <w:rFonts w:hint="eastAsia" w:asciiTheme="minorEastAsia" w:hAnsiTheme="minorEastAsia" w:eastAsiaTheme="minorEastAsia"/>
          <w:bCs/>
          <w:sz w:val="24"/>
          <w:szCs w:val="24"/>
        </w:rPr>
        <w:t>本项目编制了《突发环境事件应急预案》、《突发环境事件风险评估报告》确保事故发生时能够得到及时有效的处理。本项目油罐均为双层油罐，设置了液位仪和测漏仪，若油罐破裂，油品泄漏在罐内，不会外泄，同时终端会声音报警，罐池采用防渗钢筋混凝土整体浇筑，能有效防止事故的发生。本项目配</w:t>
      </w:r>
      <w:r>
        <w:rPr>
          <w:rFonts w:hAnsiTheme="minorEastAsia" w:eastAsiaTheme="minorEastAsia"/>
          <w:bCs/>
          <w:sz w:val="24"/>
          <w:szCs w:val="24"/>
        </w:rPr>
        <w:t>备应急物资与装备</w:t>
      </w:r>
      <w:r>
        <w:rPr>
          <w:rFonts w:hint="eastAsia" w:hAnsiTheme="minorEastAsia" w:eastAsiaTheme="minorEastAsia"/>
          <w:bCs/>
          <w:sz w:val="24"/>
          <w:szCs w:val="24"/>
        </w:rPr>
        <w:t>，事故发生时能够得到及时有效的处理。</w:t>
      </w:r>
    </w:p>
    <w:p>
      <w:pPr>
        <w:pStyle w:val="64"/>
        <w:rPr>
          <w:rFonts w:cs="Times New Roman"/>
          <w:sz w:val="32"/>
        </w:rPr>
      </w:pPr>
      <w:bookmarkStart w:id="198" w:name="_Toc13049"/>
      <w:r>
        <w:rPr>
          <w:rFonts w:cs="Times New Roman"/>
          <w:sz w:val="32"/>
        </w:rPr>
        <w:t>10.</w:t>
      </w:r>
      <w:r>
        <w:rPr>
          <w:rFonts w:hint="eastAsia" w:cs="Times New Roman"/>
          <w:sz w:val="32"/>
        </w:rPr>
        <w:t>3综合结论</w:t>
      </w:r>
      <w:bookmarkEnd w:id="198"/>
    </w:p>
    <w:p>
      <w:pPr>
        <w:adjustRightInd w:val="0"/>
        <w:snapToGrid w:val="0"/>
        <w:spacing w:line="540" w:lineRule="exact"/>
        <w:ind w:firstLine="480" w:firstLineChars="200"/>
        <w:rPr>
          <w:rFonts w:asciiTheme="minorEastAsia" w:hAnsiTheme="minorEastAsia" w:eastAsiaTheme="minorEastAsia"/>
          <w:bCs/>
          <w:sz w:val="28"/>
          <w:szCs w:val="28"/>
        </w:rPr>
      </w:pPr>
      <w:r>
        <w:rPr>
          <w:rFonts w:hint="eastAsia"/>
          <w:bCs/>
          <w:sz w:val="24"/>
          <w:szCs w:val="24"/>
          <w:lang w:eastAsia="zh-CN"/>
        </w:rPr>
        <w:t>奉节县顺全加油站改扩建项目</w:t>
      </w:r>
      <w:r>
        <w:rPr>
          <w:rFonts w:asciiTheme="minorEastAsia" w:hAnsiTheme="minorEastAsia" w:eastAsiaTheme="minorEastAsia"/>
          <w:bCs/>
          <w:sz w:val="24"/>
          <w:szCs w:val="24"/>
        </w:rPr>
        <w:t>建设前环境保护审查、审批手续完备，工程在设计、施工和营运过程中采取的污染防治措施有效，环境保护设施及其他措施已基本按批准的环境影响报告</w:t>
      </w:r>
      <w:r>
        <w:rPr>
          <w:rFonts w:hint="eastAsia" w:asciiTheme="minorEastAsia" w:hAnsiTheme="minorEastAsia" w:eastAsiaTheme="minorEastAsia"/>
          <w:bCs/>
          <w:sz w:val="24"/>
          <w:szCs w:val="24"/>
        </w:rPr>
        <w:t>表</w:t>
      </w:r>
      <w:r>
        <w:rPr>
          <w:rFonts w:asciiTheme="minorEastAsia" w:hAnsiTheme="minorEastAsia" w:eastAsiaTheme="minorEastAsia"/>
          <w:bCs/>
          <w:sz w:val="24"/>
          <w:szCs w:val="24"/>
        </w:rPr>
        <w:t>的要求落实，达到环评和环保局批复提出的环境保护和管理要求，</w:t>
      </w:r>
      <w:r>
        <w:rPr>
          <w:rFonts w:hint="eastAsia" w:asciiTheme="minorEastAsia" w:hAnsiTheme="minorEastAsia" w:eastAsiaTheme="minorEastAsia"/>
          <w:bCs/>
          <w:sz w:val="24"/>
          <w:szCs w:val="24"/>
        </w:rPr>
        <w:t>试运营期间</w:t>
      </w:r>
      <w:r>
        <w:rPr>
          <w:rFonts w:asciiTheme="minorEastAsia" w:hAnsiTheme="minorEastAsia" w:eastAsiaTheme="minorEastAsia"/>
          <w:bCs/>
          <w:sz w:val="24"/>
          <w:szCs w:val="24"/>
        </w:rPr>
        <w:t>无污染投诉</w:t>
      </w:r>
      <w:r>
        <w:rPr>
          <w:rFonts w:hint="eastAsia" w:asciiTheme="minorEastAsia" w:hAnsiTheme="minorEastAsia" w:eastAsiaTheme="minorEastAsia"/>
          <w:bCs/>
          <w:sz w:val="24"/>
          <w:szCs w:val="24"/>
        </w:rPr>
        <w:t>，建议通过本项目环境保护竣工验收。</w:t>
      </w:r>
    </w:p>
    <w:p>
      <w:pPr>
        <w:pStyle w:val="64"/>
        <w:rPr>
          <w:rFonts w:cs="Times New Roman"/>
          <w:sz w:val="32"/>
        </w:rPr>
      </w:pPr>
      <w:bookmarkStart w:id="199" w:name="_Toc1176"/>
      <w:r>
        <w:rPr>
          <w:rFonts w:cs="Times New Roman"/>
          <w:sz w:val="32"/>
        </w:rPr>
        <w:t>10.</w:t>
      </w:r>
      <w:r>
        <w:rPr>
          <w:rFonts w:hint="eastAsia" w:cs="Times New Roman"/>
          <w:sz w:val="32"/>
        </w:rPr>
        <w:t>4建议</w:t>
      </w:r>
      <w:bookmarkEnd w:id="199"/>
    </w:p>
    <w:p>
      <w:pPr>
        <w:adjustRightInd w:val="0"/>
        <w:snapToGrid w:val="0"/>
        <w:spacing w:line="540" w:lineRule="exact"/>
        <w:ind w:firstLine="480" w:firstLineChars="200"/>
        <w:rPr>
          <w:sz w:val="24"/>
          <w:szCs w:val="24"/>
        </w:rPr>
      </w:pPr>
      <w:r>
        <w:rPr>
          <w:sz w:val="24"/>
          <w:szCs w:val="24"/>
        </w:rPr>
        <w:t>（</w:t>
      </w:r>
      <w:r>
        <w:rPr>
          <w:rFonts w:hint="eastAsia"/>
          <w:sz w:val="24"/>
          <w:szCs w:val="24"/>
        </w:rPr>
        <w:t>1</w:t>
      </w:r>
      <w:r>
        <w:rPr>
          <w:sz w:val="24"/>
          <w:szCs w:val="24"/>
        </w:rPr>
        <w:t>）</w:t>
      </w:r>
      <w:r>
        <w:rPr>
          <w:rFonts w:hint="eastAsia"/>
          <w:sz w:val="24"/>
          <w:szCs w:val="24"/>
        </w:rPr>
        <w:t>加强厂区绿化，减少外环境对本项目的影响。</w:t>
      </w:r>
    </w:p>
    <w:p>
      <w:pPr>
        <w:adjustRightInd w:val="0"/>
        <w:snapToGrid w:val="0"/>
        <w:spacing w:line="540" w:lineRule="exact"/>
        <w:ind w:firstLine="480" w:firstLineChars="200"/>
        <w:rPr>
          <w:sz w:val="24"/>
          <w:szCs w:val="24"/>
        </w:rPr>
      </w:pPr>
      <w:r>
        <w:rPr>
          <w:rFonts w:hint="eastAsia"/>
          <w:sz w:val="24"/>
          <w:szCs w:val="24"/>
        </w:rPr>
        <w:t>（2）加强环保设施的运行管理和维护，确保环保设施处于良好运行状态，以保证污染治理设施的处理效果。</w:t>
      </w:r>
    </w:p>
    <w:p>
      <w:pPr>
        <w:adjustRightInd w:val="0"/>
        <w:snapToGrid w:val="0"/>
        <w:spacing w:line="540" w:lineRule="exact"/>
        <w:ind w:firstLine="480" w:firstLineChars="200"/>
        <w:rPr>
          <w:sz w:val="24"/>
          <w:szCs w:val="24"/>
        </w:rPr>
      </w:pPr>
      <w:r>
        <w:rPr>
          <w:rFonts w:hint="eastAsia"/>
          <w:sz w:val="24"/>
          <w:szCs w:val="24"/>
        </w:rPr>
        <w:t>（3）制定环境管理制度，提高工作人员的环境保护意识。</w:t>
      </w:r>
    </w:p>
    <w:p>
      <w:pPr>
        <w:adjustRightInd w:val="0"/>
        <w:snapToGrid w:val="0"/>
        <w:spacing w:line="540" w:lineRule="exact"/>
        <w:ind w:firstLine="480" w:firstLineChars="200"/>
        <w:rPr>
          <w:rFonts w:hint="eastAsia" w:eastAsia="宋体"/>
          <w:sz w:val="36"/>
          <w:lang w:eastAsia="zh-CN"/>
        </w:rPr>
        <w:sectPr>
          <w:pgSz w:w="11906" w:h="16838"/>
          <w:pgMar w:top="1701" w:right="1418" w:bottom="1701" w:left="1418" w:header="851" w:footer="992" w:gutter="0"/>
          <w:cols w:space="425" w:num="1"/>
          <w:docGrid w:type="lines" w:linePitch="312" w:charSpace="0"/>
        </w:sectPr>
      </w:pPr>
      <w:r>
        <w:rPr>
          <w:rFonts w:hint="eastAsia"/>
          <w:sz w:val="24"/>
          <w:szCs w:val="24"/>
        </w:rPr>
        <w:t>（4）做好危险废物的临时储存，严格执行</w:t>
      </w:r>
      <w:r>
        <w:rPr>
          <w:sz w:val="24"/>
          <w:szCs w:val="24"/>
        </w:rPr>
        <w:t>《危险废物贮存污染控制标准》（</w:t>
      </w:r>
      <w:r>
        <w:rPr>
          <w:rFonts w:hint="eastAsia"/>
          <w:sz w:val="24"/>
          <w:szCs w:val="24"/>
        </w:rPr>
        <w:t>GB18597-2023</w:t>
      </w:r>
      <w:r>
        <w:rPr>
          <w:sz w:val="24"/>
          <w:szCs w:val="24"/>
        </w:rPr>
        <w:t>）</w:t>
      </w:r>
      <w:r>
        <w:rPr>
          <w:rFonts w:hint="eastAsia"/>
          <w:sz w:val="24"/>
          <w:szCs w:val="24"/>
          <w:lang w:eastAsia="zh-CN"/>
        </w:rPr>
        <w:t>。</w:t>
      </w:r>
    </w:p>
    <w:p>
      <w:pPr>
        <w:widowControl/>
        <w:spacing w:line="360" w:lineRule="auto"/>
        <w:ind w:firstLine="560" w:firstLineChars="200"/>
        <w:rPr>
          <w:rFonts w:hint="eastAsia" w:ascii="Times New Roman" w:hAnsi="Times New Roman" w:eastAsia="宋体" w:cs="Times New Roman"/>
          <w:b/>
          <w:color w:val="auto"/>
          <w:sz w:val="28"/>
          <w:szCs w:val="22"/>
          <w:lang w:eastAsia="zh-CN"/>
        </w:rPr>
      </w:pPr>
      <w:r>
        <w:rPr>
          <w:rFonts w:hint="eastAsia" w:ascii="Times New Roman" w:hAnsi="Times New Roman" w:eastAsia="宋体" w:cs="Times New Roman"/>
          <w:b/>
          <w:color w:val="auto"/>
          <w:sz w:val="28"/>
          <w:szCs w:val="22"/>
          <w:lang w:eastAsia="zh-CN"/>
        </w:rPr>
        <w:t>附图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sz w:val="24"/>
          <w:szCs w:val="24"/>
        </w:rPr>
      </w:pPr>
      <w:r>
        <w:rPr>
          <w:bCs/>
          <w:sz w:val="24"/>
          <w:szCs w:val="24"/>
        </w:rPr>
        <w:t>附图1：项目地理位置图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sz w:val="24"/>
          <w:szCs w:val="24"/>
        </w:rPr>
      </w:pPr>
      <w:r>
        <w:rPr>
          <w:bCs/>
          <w:sz w:val="24"/>
          <w:szCs w:val="24"/>
        </w:rPr>
        <w:t>附图</w:t>
      </w:r>
      <w:r>
        <w:rPr>
          <w:rFonts w:hint="eastAsia"/>
          <w:bCs/>
          <w:sz w:val="24"/>
          <w:szCs w:val="24"/>
          <w:lang w:val="en-US" w:eastAsia="zh-CN"/>
        </w:rPr>
        <w:t>2</w:t>
      </w:r>
      <w:r>
        <w:rPr>
          <w:bCs/>
          <w:sz w:val="24"/>
          <w:szCs w:val="24"/>
        </w:rPr>
        <w:t>：项目</w:t>
      </w:r>
      <w:r>
        <w:rPr>
          <w:rFonts w:hint="eastAsia"/>
          <w:bCs/>
          <w:sz w:val="24"/>
          <w:szCs w:val="24"/>
        </w:rPr>
        <w:t>总平面布置图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Cs/>
          <w:sz w:val="24"/>
          <w:szCs w:val="24"/>
        </w:rPr>
      </w:pPr>
      <w:r>
        <w:rPr>
          <w:bCs/>
          <w:sz w:val="24"/>
          <w:szCs w:val="24"/>
        </w:rPr>
        <w:t>附图</w:t>
      </w:r>
      <w:r>
        <w:rPr>
          <w:rFonts w:hint="eastAsia"/>
          <w:bCs/>
          <w:sz w:val="24"/>
          <w:szCs w:val="24"/>
          <w:lang w:val="en-US" w:eastAsia="zh-CN"/>
        </w:rPr>
        <w:t>3</w:t>
      </w:r>
      <w:r>
        <w:rPr>
          <w:bCs/>
          <w:sz w:val="24"/>
          <w:szCs w:val="24"/>
        </w:rPr>
        <w:t>：</w:t>
      </w:r>
      <w:r>
        <w:rPr>
          <w:rFonts w:hint="eastAsia"/>
          <w:bCs/>
          <w:sz w:val="24"/>
          <w:szCs w:val="24"/>
        </w:rPr>
        <w:t>项目</w:t>
      </w:r>
      <w:r>
        <w:rPr>
          <w:rFonts w:hint="eastAsia"/>
          <w:bCs/>
          <w:sz w:val="24"/>
          <w:szCs w:val="24"/>
          <w:lang w:eastAsia="zh-CN"/>
        </w:rPr>
        <w:t>给排水</w:t>
      </w:r>
      <w:r>
        <w:rPr>
          <w:rFonts w:hint="eastAsia"/>
          <w:bCs/>
          <w:sz w:val="24"/>
          <w:szCs w:val="24"/>
        </w:rPr>
        <w:t xml:space="preserve">管网图 </w:t>
      </w:r>
    </w:p>
    <w:p>
      <w:pPr>
        <w:pStyle w:val="63"/>
        <w:rPr>
          <w:rFonts w:hint="eastAsia" w:cs="Times New Roman"/>
          <w:sz w:val="36"/>
          <w:lang w:eastAsia="zh-CN"/>
        </w:rPr>
      </w:pPr>
    </w:p>
    <w:p>
      <w:pPr>
        <w:widowControl/>
        <w:spacing w:line="360" w:lineRule="auto"/>
        <w:ind w:firstLine="560" w:firstLineChars="200"/>
        <w:rPr>
          <w:rFonts w:hint="eastAsia" w:ascii="Times New Roman" w:hAnsi="Times New Roman" w:eastAsia="宋体" w:cs="Times New Roman"/>
          <w:b/>
          <w:color w:val="auto"/>
          <w:sz w:val="28"/>
          <w:szCs w:val="22"/>
          <w:lang w:eastAsia="zh-CN"/>
        </w:rPr>
      </w:pPr>
      <w:r>
        <w:rPr>
          <w:rFonts w:hint="eastAsia" w:ascii="Times New Roman" w:hAnsi="Times New Roman" w:eastAsia="宋体" w:cs="Times New Roman"/>
          <w:b/>
          <w:color w:val="auto"/>
          <w:sz w:val="28"/>
          <w:szCs w:val="22"/>
          <w:lang w:eastAsia="zh-CN"/>
        </w:rPr>
        <w:t>附 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bCs/>
          <w:sz w:val="24"/>
          <w:szCs w:val="24"/>
          <w:lang w:val="en-US" w:eastAsia="zh-CN"/>
        </w:rPr>
      </w:pPr>
      <w:r>
        <w:rPr>
          <w:rFonts w:hint="eastAsia"/>
          <w:bCs/>
          <w:sz w:val="24"/>
          <w:szCs w:val="24"/>
        </w:rPr>
        <w:t>1、</w:t>
      </w:r>
      <w:r>
        <w:rPr>
          <w:bCs/>
          <w:sz w:val="24"/>
          <w:szCs w:val="24"/>
        </w:rPr>
        <w:t>重庆市</w:t>
      </w:r>
      <w:r>
        <w:rPr>
          <w:rFonts w:hint="eastAsia"/>
          <w:bCs/>
          <w:sz w:val="24"/>
          <w:szCs w:val="24"/>
          <w:lang w:eastAsia="zh-CN"/>
        </w:rPr>
        <w:t>奉节县生态环境局（渝（奉）环准[2017]041号）</w:t>
      </w:r>
      <w:r>
        <w:rPr>
          <w:bCs/>
          <w:sz w:val="24"/>
          <w:szCs w:val="24"/>
        </w:rPr>
        <w:t>《重庆市建设项目环境影响评价文件批准书》</w:t>
      </w:r>
      <w:r>
        <w:rPr>
          <w:rFonts w:hint="eastAsia"/>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Cs/>
          <w:sz w:val="24"/>
          <w:szCs w:val="24"/>
          <w:lang w:eastAsia="zh-CN"/>
        </w:rPr>
      </w:pPr>
      <w:r>
        <w:rPr>
          <w:color w:val="000000" w:themeColor="text1"/>
          <w:sz w:val="24"/>
          <w:szCs w:val="24"/>
        </w:rPr>
        <w:t>2</w:t>
      </w:r>
      <w:r>
        <w:rPr>
          <w:rFonts w:hAnsi="宋体"/>
          <w:color w:val="000000" w:themeColor="text1"/>
          <w:sz w:val="24"/>
          <w:szCs w:val="24"/>
        </w:rPr>
        <w:t>、</w:t>
      </w:r>
      <w:r>
        <w:rPr>
          <w:rFonts w:hint="eastAsia"/>
          <w:b w:val="0"/>
          <w:bCs/>
          <w:color w:val="000000" w:themeColor="text1"/>
          <w:sz w:val="24"/>
          <w:szCs w:val="24"/>
          <w:lang w:val="en-US" w:eastAsia="zh-CN"/>
        </w:rPr>
        <w:t>重庆绿创环境检测技术有限公司</w:t>
      </w:r>
      <w:r>
        <w:rPr>
          <w:b w:val="0"/>
          <w:bCs/>
          <w:color w:val="000000" w:themeColor="text1"/>
          <w:sz w:val="24"/>
          <w:szCs w:val="24"/>
        </w:rPr>
        <w:t>《</w:t>
      </w:r>
      <w:r>
        <w:rPr>
          <w:rFonts w:hint="eastAsia"/>
          <w:b w:val="0"/>
          <w:bCs/>
          <w:color w:val="000000" w:themeColor="text1"/>
          <w:sz w:val="24"/>
          <w:szCs w:val="24"/>
          <w:lang w:eastAsia="zh-CN"/>
        </w:rPr>
        <w:t>验收监</w:t>
      </w:r>
      <w:r>
        <w:rPr>
          <w:rFonts w:hint="eastAsia"/>
          <w:b w:val="0"/>
          <w:bCs/>
          <w:color w:val="000000" w:themeColor="text1"/>
          <w:sz w:val="24"/>
          <w:szCs w:val="24"/>
        </w:rPr>
        <w:t>测</w:t>
      </w:r>
      <w:r>
        <w:rPr>
          <w:b w:val="0"/>
          <w:bCs/>
          <w:color w:val="000000" w:themeColor="text1"/>
          <w:sz w:val="24"/>
          <w:szCs w:val="24"/>
        </w:rPr>
        <w:t>报告》（</w:t>
      </w:r>
      <w:r>
        <w:rPr>
          <w:rFonts w:hint="eastAsia"/>
          <w:b w:val="0"/>
          <w:bCs/>
          <w:color w:val="000000" w:themeColor="text1"/>
          <w:sz w:val="24"/>
          <w:szCs w:val="24"/>
          <w:lang w:eastAsia="zh-CN"/>
        </w:rPr>
        <w:t>绿创环检字【2024]YS第021号</w:t>
      </w:r>
      <w:r>
        <w:rPr>
          <w:b w:val="0"/>
          <w:bCs/>
          <w:color w:val="000000" w:themeColor="text1"/>
          <w:sz w:val="24"/>
          <w:szCs w:val="24"/>
        </w:rPr>
        <w:t>）</w:t>
      </w:r>
      <w:r>
        <w:rPr>
          <w:rFonts w:hint="eastAsia"/>
          <w:b w:val="0"/>
          <w:bCs/>
          <w:color w:val="000000" w:themeColor="text1"/>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3、</w:t>
      </w:r>
      <w:r>
        <w:rPr>
          <w:rFonts w:hint="eastAsia" w:cs="Times New Roman"/>
          <w:bCs/>
          <w:sz w:val="24"/>
          <w:szCs w:val="24"/>
          <w:lang w:val="en-US" w:eastAsia="zh-CN"/>
        </w:rPr>
        <w:t>登记回执91500236MA5YR5FU9N001X</w:t>
      </w:r>
      <w:r>
        <w:rPr>
          <w:rFonts w:hint="eastAsia" w:ascii="Times New Roman" w:hAnsi="Times New Roman" w:eastAsia="宋体" w:cs="Times New Roman"/>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4、危废协议。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Cs/>
          <w:sz w:val="24"/>
          <w:szCs w:val="24"/>
          <w:lang w:val="en-US" w:eastAsia="zh-CN"/>
        </w:rPr>
      </w:pPr>
    </w:p>
    <w:p>
      <w:pPr>
        <w:widowControl/>
        <w:spacing w:line="360" w:lineRule="auto"/>
        <w:ind w:firstLine="560" w:firstLineChars="200"/>
        <w:rPr>
          <w:rFonts w:hint="eastAsia" w:ascii="Times New Roman" w:hAnsi="Times New Roman" w:eastAsia="宋体" w:cs="Times New Roman"/>
          <w:b/>
          <w:color w:val="auto"/>
          <w:sz w:val="28"/>
          <w:szCs w:val="22"/>
          <w:lang w:val="en-US" w:eastAsia="zh-CN"/>
        </w:rPr>
      </w:pPr>
      <w:r>
        <w:rPr>
          <w:rFonts w:hint="eastAsia" w:ascii="Times New Roman" w:hAnsi="Times New Roman" w:eastAsia="宋体" w:cs="Times New Roman"/>
          <w:b/>
          <w:color w:val="auto"/>
          <w:sz w:val="28"/>
          <w:szCs w:val="22"/>
          <w:lang w:val="en-US" w:eastAsia="zh-CN"/>
        </w:rPr>
        <w:t>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Cs/>
          <w:sz w:val="24"/>
          <w:szCs w:val="24"/>
        </w:rPr>
      </w:pPr>
      <w:r>
        <w:rPr>
          <w:rFonts w:hint="eastAsia" w:ascii="Times New Roman" w:hAnsi="Times New Roman" w:eastAsia="宋体" w:cs="Times New Roman"/>
          <w:bCs/>
          <w:sz w:val="24"/>
          <w:szCs w:val="24"/>
        </w:rPr>
        <w:t>建设项目工程竣工环境保护“三同时”验收登记表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lang w:val="en-US" w:eastAsia="zh-CN"/>
        </w:rPr>
        <w:sectPr>
          <w:pgSz w:w="11906" w:h="16838"/>
          <w:pgMar w:top="851" w:right="567" w:bottom="851" w:left="851" w:header="284" w:footer="284" w:gutter="0"/>
          <w:cols w:space="425" w:num="1"/>
          <w:docGrid w:type="linesAndChars" w:linePitch="312" w:charSpace="0"/>
        </w:sectPr>
      </w:pPr>
    </w:p>
    <w:p>
      <w:pPr>
        <w:spacing w:after="0" w:line="360" w:lineRule="auto"/>
        <w:jc w:val="center"/>
        <w:rPr>
          <w:rFonts w:eastAsia="黑体"/>
          <w:b/>
          <w:sz w:val="21"/>
          <w:szCs w:val="21"/>
        </w:rPr>
      </w:pPr>
      <w:r>
        <w:rPr>
          <w:rFonts w:eastAsia="黑体"/>
          <w:b/>
          <w:sz w:val="21"/>
          <w:szCs w:val="21"/>
        </w:rPr>
        <w:t>建设项目工程竣工环境保护“三同时”验收登记表</w:t>
      </w:r>
    </w:p>
    <w:p>
      <w:pPr>
        <w:spacing w:after="0" w:line="240" w:lineRule="auto"/>
        <w:ind w:firstLine="103" w:firstLineChars="49"/>
        <w:rPr>
          <w:rFonts w:ascii="宋体" w:hAnsi="宋体" w:eastAsia="宋体"/>
          <w:b/>
          <w:sz w:val="21"/>
          <w:szCs w:val="21"/>
        </w:rPr>
      </w:pPr>
      <w:r>
        <w:rPr>
          <w:rFonts w:ascii="宋体" w:hAnsi="宋体" w:eastAsia="宋体"/>
          <w:b/>
          <w:sz w:val="21"/>
          <w:szCs w:val="21"/>
        </w:rPr>
        <w:t>填表单位（盖章）</w:t>
      </w:r>
      <w:r>
        <w:rPr>
          <w:rFonts w:ascii="宋体" w:hAnsi="宋体" w:eastAsia="宋体"/>
          <w:b/>
          <w:kern w:val="2"/>
          <w:sz w:val="21"/>
          <w:szCs w:val="21"/>
        </w:rPr>
        <w:t>：</w:t>
      </w:r>
      <w:r>
        <w:rPr>
          <w:rFonts w:hint="eastAsia" w:ascii="宋体" w:hAnsi="宋体"/>
          <w:b/>
          <w:sz w:val="21"/>
          <w:szCs w:val="21"/>
          <w:lang w:eastAsia="zh-CN"/>
        </w:rPr>
        <w:t>奉节县顺全加油站</w:t>
      </w:r>
      <w:r>
        <w:rPr>
          <w:rFonts w:ascii="宋体" w:hAnsi="宋体" w:eastAsia="宋体"/>
          <w:b/>
          <w:sz w:val="21"/>
          <w:szCs w:val="21"/>
        </w:rPr>
        <w:t xml:space="preserve">       填表人（签字）：         </w:t>
      </w:r>
      <w:r>
        <w:rPr>
          <w:rFonts w:hint="eastAsia" w:ascii="宋体" w:hAnsi="宋体" w:eastAsia="宋体"/>
          <w:b/>
          <w:sz w:val="21"/>
          <w:szCs w:val="21"/>
        </w:rPr>
        <w:t xml:space="preserve">  </w:t>
      </w:r>
      <w:r>
        <w:rPr>
          <w:rFonts w:ascii="宋体" w:hAnsi="宋体" w:eastAsia="宋体"/>
          <w:b/>
          <w:sz w:val="21"/>
          <w:szCs w:val="21"/>
        </w:rPr>
        <w:t xml:space="preserve">            项目经办人（签字）：</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168"/>
        <w:gridCol w:w="1110"/>
        <w:gridCol w:w="640"/>
        <w:gridCol w:w="774"/>
        <w:gridCol w:w="1117"/>
        <w:gridCol w:w="205"/>
        <w:gridCol w:w="641"/>
        <w:gridCol w:w="262"/>
        <w:gridCol w:w="768"/>
        <w:gridCol w:w="138"/>
        <w:gridCol w:w="199"/>
        <w:gridCol w:w="888"/>
        <w:gridCol w:w="912"/>
        <w:gridCol w:w="229"/>
        <w:gridCol w:w="1159"/>
        <w:gridCol w:w="503"/>
        <w:gridCol w:w="849"/>
        <w:gridCol w:w="1099"/>
        <w:gridCol w:w="656"/>
        <w:gridCol w:w="190"/>
        <w:gridCol w:w="352"/>
        <w:gridCol w:w="777"/>
        <w:gridCol w:w="434"/>
        <w:gridCol w:w="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5" w:type="pct"/>
            <w:vMerge w:val="restart"/>
            <w:noWrap w:val="0"/>
            <w:textDirection w:val="tbRlV"/>
            <w:vAlign w:val="center"/>
          </w:tcPr>
          <w:p>
            <w:pPr>
              <w:spacing w:after="0" w:line="240" w:lineRule="auto"/>
              <w:ind w:firstLine="1801" w:firstLineChars="1200"/>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建设项目</w:t>
            </w:r>
          </w:p>
        </w:tc>
        <w:tc>
          <w:tcPr>
            <w:tcW w:w="638" w:type="pct"/>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项目名称</w:t>
            </w:r>
          </w:p>
        </w:tc>
        <w:tc>
          <w:tcPr>
            <w:tcW w:w="1363" w:type="pct"/>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奉节县顺全加油站</w:t>
            </w:r>
          </w:p>
        </w:tc>
        <w:tc>
          <w:tcPr>
            <w:tcW w:w="598"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项目代码</w:t>
            </w:r>
          </w:p>
        </w:tc>
        <w:tc>
          <w:tcPr>
            <w:tcW w:w="910" w:type="pct"/>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eastAsia="zh-CN"/>
              </w:rPr>
              <w:t>渝商特发[2016]12号</w:t>
            </w:r>
          </w:p>
        </w:tc>
        <w:tc>
          <w:tcPr>
            <w:tcW w:w="365" w:type="pct"/>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b/>
                <w:bCs/>
                <w:kern w:val="2"/>
                <w:sz w:val="15"/>
                <w:szCs w:val="15"/>
                <w:lang w:val="en-US" w:eastAsia="zh-CN"/>
              </w:rPr>
              <w:t>建设地点</w:t>
            </w:r>
          </w:p>
        </w:tc>
        <w:tc>
          <w:tcPr>
            <w:tcW w:w="948" w:type="pct"/>
            <w:gridSpan w:val="6"/>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eastAsia="zh-CN"/>
              </w:rPr>
              <w:t>奉节县新民镇观音庵社区6组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5" w:type="pct"/>
            <w:vMerge w:val="continue"/>
            <w:noWrap w:val="0"/>
            <w:vAlign w:val="center"/>
          </w:tcPr>
          <w:p>
            <w:pPr>
              <w:spacing w:after="0" w:line="240" w:lineRule="auto"/>
              <w:rPr>
                <w:rFonts w:hint="eastAsia" w:ascii="Tahoma" w:hAnsi="Tahoma" w:eastAsia="微软雅黑" w:cs="Times New Roman"/>
                <w:b/>
                <w:kern w:val="2"/>
                <w:sz w:val="15"/>
                <w:szCs w:val="15"/>
              </w:rPr>
            </w:pPr>
          </w:p>
        </w:tc>
        <w:tc>
          <w:tcPr>
            <w:tcW w:w="638" w:type="pct"/>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行业类别（分类管理名录）</w:t>
            </w:r>
          </w:p>
        </w:tc>
        <w:tc>
          <w:tcPr>
            <w:tcW w:w="1363" w:type="pct"/>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default" w:ascii="Tahoma" w:hAnsi="Tahoma" w:eastAsia="微软雅黑" w:cs="Times New Roman"/>
                <w:kern w:val="2"/>
                <w:sz w:val="15"/>
                <w:szCs w:val="15"/>
                <w:lang w:eastAsia="zh-CN"/>
              </w:rPr>
              <w:t>F5265 机动车燃油零售</w:t>
            </w:r>
          </w:p>
        </w:tc>
        <w:tc>
          <w:tcPr>
            <w:tcW w:w="598"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建设性质</w:t>
            </w:r>
          </w:p>
        </w:tc>
        <w:tc>
          <w:tcPr>
            <w:tcW w:w="2224" w:type="pct"/>
            <w:gridSpan w:val="11"/>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□新建  ☑ 改扩建  □技术改造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5" w:type="pct"/>
            <w:vMerge w:val="continue"/>
            <w:noWrap w:val="0"/>
            <w:vAlign w:val="center"/>
          </w:tcPr>
          <w:p>
            <w:pPr>
              <w:spacing w:after="0" w:line="240" w:lineRule="auto"/>
              <w:rPr>
                <w:rFonts w:hint="eastAsia" w:ascii="Tahoma" w:hAnsi="Tahoma" w:eastAsia="微软雅黑" w:cs="Times New Roman"/>
                <w:b/>
                <w:kern w:val="2"/>
                <w:sz w:val="15"/>
                <w:szCs w:val="15"/>
              </w:rPr>
            </w:pPr>
          </w:p>
        </w:tc>
        <w:tc>
          <w:tcPr>
            <w:tcW w:w="638" w:type="pct"/>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设计生产能力</w:t>
            </w:r>
          </w:p>
        </w:tc>
        <w:tc>
          <w:tcPr>
            <w:tcW w:w="1363" w:type="pct"/>
            <w:gridSpan w:val="8"/>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eastAsia="zh-CN"/>
              </w:rPr>
            </w:pPr>
            <w:r>
              <w:rPr>
                <w:rFonts w:hint="default" w:ascii="Tahoma" w:hAnsi="Tahoma" w:eastAsia="微软雅黑" w:cs="Times New Roman"/>
                <w:b w:val="0"/>
                <w:bCs/>
                <w:kern w:val="2"/>
                <w:sz w:val="15"/>
                <w:szCs w:val="15"/>
                <w:lang w:val="en-US" w:eastAsia="zh-CN"/>
              </w:rPr>
              <w:t>三级加油站，92#汽油罐30 m</w:t>
            </w:r>
            <w:r>
              <w:rPr>
                <w:rFonts w:hint="default" w:ascii="Tahoma" w:hAnsi="Tahoma" w:eastAsia="微软雅黑" w:cs="Times New Roman"/>
                <w:b w:val="0"/>
                <w:bCs/>
                <w:kern w:val="2"/>
                <w:sz w:val="15"/>
                <w:szCs w:val="15"/>
                <w:vertAlign w:val="superscript"/>
                <w:lang w:val="en-US" w:eastAsia="zh-CN"/>
              </w:rPr>
              <w:t>3</w:t>
            </w:r>
            <w:r>
              <w:rPr>
                <w:rFonts w:hint="default" w:ascii="Tahoma" w:hAnsi="Tahoma" w:eastAsia="微软雅黑" w:cs="Times New Roman"/>
                <w:b w:val="0"/>
                <w:bCs/>
                <w:kern w:val="2"/>
                <w:sz w:val="15"/>
                <w:szCs w:val="15"/>
                <w:lang w:val="en-US" w:eastAsia="zh-CN"/>
              </w:rPr>
              <w:t>×1个，95#汽油罐30 m</w:t>
            </w:r>
            <w:r>
              <w:rPr>
                <w:rFonts w:hint="default" w:ascii="Tahoma" w:hAnsi="Tahoma" w:eastAsia="微软雅黑" w:cs="Times New Roman"/>
                <w:b w:val="0"/>
                <w:bCs/>
                <w:kern w:val="2"/>
                <w:sz w:val="15"/>
                <w:szCs w:val="15"/>
                <w:vertAlign w:val="superscript"/>
                <w:lang w:val="en-US" w:eastAsia="zh-CN"/>
              </w:rPr>
              <w:t>3</w:t>
            </w:r>
            <w:r>
              <w:rPr>
                <w:rFonts w:hint="default" w:ascii="Tahoma" w:hAnsi="Tahoma" w:eastAsia="微软雅黑" w:cs="Times New Roman"/>
                <w:b w:val="0"/>
                <w:bCs/>
                <w:kern w:val="2"/>
                <w:sz w:val="15"/>
                <w:szCs w:val="15"/>
                <w:lang w:val="en-US" w:eastAsia="zh-CN"/>
              </w:rPr>
              <w:t>×1个，0#柴油罐30 m</w:t>
            </w:r>
            <w:r>
              <w:rPr>
                <w:rFonts w:hint="default" w:ascii="Tahoma" w:hAnsi="Tahoma" w:eastAsia="微软雅黑" w:cs="Times New Roman"/>
                <w:b w:val="0"/>
                <w:bCs/>
                <w:kern w:val="2"/>
                <w:sz w:val="15"/>
                <w:szCs w:val="15"/>
                <w:vertAlign w:val="superscript"/>
                <w:lang w:val="en-US" w:eastAsia="zh-CN"/>
              </w:rPr>
              <w:t>3</w:t>
            </w:r>
            <w:r>
              <w:rPr>
                <w:rFonts w:hint="default" w:ascii="Tahoma" w:hAnsi="Tahoma" w:eastAsia="微软雅黑" w:cs="Times New Roman"/>
                <w:b w:val="0"/>
                <w:bCs/>
                <w:kern w:val="2"/>
                <w:sz w:val="15"/>
                <w:szCs w:val="15"/>
                <w:lang w:val="en-US" w:eastAsia="zh-CN"/>
              </w:rPr>
              <w:t>×1个，柴油折半计算后容积为</w:t>
            </w:r>
            <w:r>
              <w:rPr>
                <w:rFonts w:hint="eastAsia" w:ascii="Tahoma" w:hAnsi="Tahoma" w:eastAsia="微软雅黑" w:cs="Times New Roman"/>
                <w:b w:val="0"/>
                <w:bCs/>
                <w:kern w:val="2"/>
                <w:sz w:val="15"/>
                <w:szCs w:val="15"/>
                <w:lang w:val="en-US" w:eastAsia="zh-CN"/>
              </w:rPr>
              <w:t>7</w:t>
            </w:r>
            <w:r>
              <w:rPr>
                <w:rFonts w:hint="default" w:ascii="Tahoma" w:hAnsi="Tahoma" w:eastAsia="微软雅黑" w:cs="Times New Roman"/>
                <w:b w:val="0"/>
                <w:bCs/>
                <w:kern w:val="2"/>
                <w:sz w:val="15"/>
                <w:szCs w:val="15"/>
                <w:lang w:val="en-US" w:eastAsia="zh-CN"/>
              </w:rPr>
              <w:t>5m</w:t>
            </w:r>
            <w:r>
              <w:rPr>
                <w:rFonts w:hint="default" w:ascii="Tahoma" w:hAnsi="Tahoma" w:eastAsia="微软雅黑" w:cs="Times New Roman"/>
                <w:b w:val="0"/>
                <w:bCs/>
                <w:kern w:val="2"/>
                <w:sz w:val="15"/>
                <w:szCs w:val="15"/>
                <w:vertAlign w:val="superscript"/>
                <w:lang w:val="en-US" w:eastAsia="zh-CN"/>
              </w:rPr>
              <w:t>3</w:t>
            </w:r>
            <w:r>
              <w:rPr>
                <w:rFonts w:hint="default" w:ascii="Tahoma" w:hAnsi="Tahoma" w:eastAsia="微软雅黑" w:cs="Times New Roman"/>
                <w:b w:val="0"/>
                <w:bCs/>
                <w:kern w:val="2"/>
                <w:sz w:val="15"/>
                <w:szCs w:val="15"/>
                <w:lang w:val="en-US" w:eastAsia="zh-CN"/>
              </w:rPr>
              <w:t>，设计总容量为75m3</w:t>
            </w:r>
          </w:p>
        </w:tc>
        <w:tc>
          <w:tcPr>
            <w:tcW w:w="598"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实际生产能力</w:t>
            </w:r>
          </w:p>
        </w:tc>
        <w:tc>
          <w:tcPr>
            <w:tcW w:w="910" w:type="pct"/>
            <w:gridSpan w:val="4"/>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default" w:ascii="Tahoma" w:hAnsi="Tahoma" w:eastAsia="微软雅黑" w:cs="Times New Roman"/>
                <w:b w:val="0"/>
                <w:bCs/>
                <w:kern w:val="2"/>
                <w:sz w:val="15"/>
                <w:szCs w:val="15"/>
                <w:lang w:val="en-US" w:eastAsia="zh-CN"/>
              </w:rPr>
              <w:t>三级加油站，92#汽油罐30 m</w:t>
            </w:r>
            <w:r>
              <w:rPr>
                <w:rFonts w:hint="default" w:ascii="Tahoma" w:hAnsi="Tahoma" w:eastAsia="微软雅黑" w:cs="Times New Roman"/>
                <w:b w:val="0"/>
                <w:bCs/>
                <w:kern w:val="2"/>
                <w:sz w:val="15"/>
                <w:szCs w:val="15"/>
                <w:vertAlign w:val="superscript"/>
                <w:lang w:val="en-US" w:eastAsia="zh-CN"/>
              </w:rPr>
              <w:t>3</w:t>
            </w:r>
            <w:r>
              <w:rPr>
                <w:rFonts w:hint="default" w:ascii="Tahoma" w:hAnsi="Tahoma" w:eastAsia="微软雅黑" w:cs="Times New Roman"/>
                <w:b w:val="0"/>
                <w:bCs/>
                <w:kern w:val="2"/>
                <w:sz w:val="15"/>
                <w:szCs w:val="15"/>
                <w:lang w:val="en-US" w:eastAsia="zh-CN"/>
              </w:rPr>
              <w:t>×1个，95#汽油罐30 m</w:t>
            </w:r>
            <w:r>
              <w:rPr>
                <w:rFonts w:hint="default" w:ascii="Tahoma" w:hAnsi="Tahoma" w:eastAsia="微软雅黑" w:cs="Times New Roman"/>
                <w:b w:val="0"/>
                <w:bCs/>
                <w:kern w:val="2"/>
                <w:sz w:val="15"/>
                <w:szCs w:val="15"/>
                <w:vertAlign w:val="superscript"/>
                <w:lang w:val="en-US" w:eastAsia="zh-CN"/>
              </w:rPr>
              <w:t>3</w:t>
            </w:r>
            <w:r>
              <w:rPr>
                <w:rFonts w:hint="default" w:ascii="Tahoma" w:hAnsi="Tahoma" w:eastAsia="微软雅黑" w:cs="Times New Roman"/>
                <w:b w:val="0"/>
                <w:bCs/>
                <w:kern w:val="2"/>
                <w:sz w:val="15"/>
                <w:szCs w:val="15"/>
                <w:lang w:val="en-US" w:eastAsia="zh-CN"/>
              </w:rPr>
              <w:t>×1个，0#柴油罐30 m</w:t>
            </w:r>
            <w:r>
              <w:rPr>
                <w:rFonts w:hint="default" w:ascii="Tahoma" w:hAnsi="Tahoma" w:eastAsia="微软雅黑" w:cs="Times New Roman"/>
                <w:b w:val="0"/>
                <w:bCs/>
                <w:kern w:val="2"/>
                <w:sz w:val="15"/>
                <w:szCs w:val="15"/>
                <w:vertAlign w:val="superscript"/>
                <w:lang w:val="en-US" w:eastAsia="zh-CN"/>
              </w:rPr>
              <w:t>3</w:t>
            </w:r>
            <w:r>
              <w:rPr>
                <w:rFonts w:hint="default" w:ascii="Tahoma" w:hAnsi="Tahoma" w:eastAsia="微软雅黑" w:cs="Times New Roman"/>
                <w:b w:val="0"/>
                <w:bCs/>
                <w:kern w:val="2"/>
                <w:sz w:val="15"/>
                <w:szCs w:val="15"/>
                <w:lang w:val="en-US" w:eastAsia="zh-CN"/>
              </w:rPr>
              <w:t>×1个，柴油折半计算后容积为15m</w:t>
            </w:r>
            <w:r>
              <w:rPr>
                <w:rFonts w:hint="default" w:ascii="Tahoma" w:hAnsi="Tahoma" w:eastAsia="微软雅黑" w:cs="Times New Roman"/>
                <w:b w:val="0"/>
                <w:bCs/>
                <w:kern w:val="2"/>
                <w:sz w:val="15"/>
                <w:szCs w:val="15"/>
                <w:vertAlign w:val="superscript"/>
                <w:lang w:val="en-US" w:eastAsia="zh-CN"/>
              </w:rPr>
              <w:t>3</w:t>
            </w:r>
            <w:r>
              <w:rPr>
                <w:rFonts w:hint="default" w:ascii="Tahoma" w:hAnsi="Tahoma" w:eastAsia="微软雅黑" w:cs="Times New Roman"/>
                <w:b w:val="0"/>
                <w:bCs/>
                <w:kern w:val="2"/>
                <w:sz w:val="15"/>
                <w:szCs w:val="15"/>
                <w:lang w:val="en-US" w:eastAsia="zh-CN"/>
              </w:rPr>
              <w:t>，设计总容量为75m</w:t>
            </w:r>
            <w:r>
              <w:rPr>
                <w:rFonts w:hint="default" w:ascii="Tahoma" w:hAnsi="Tahoma" w:eastAsia="微软雅黑" w:cs="Times New Roman"/>
                <w:b w:val="0"/>
                <w:bCs/>
                <w:kern w:val="2"/>
                <w:sz w:val="15"/>
                <w:szCs w:val="15"/>
                <w:vertAlign w:val="superscript"/>
                <w:lang w:val="en-US" w:eastAsia="zh-CN"/>
              </w:rPr>
              <w:t>3</w:t>
            </w:r>
          </w:p>
        </w:tc>
        <w:tc>
          <w:tcPr>
            <w:tcW w:w="583"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环评单位</w:t>
            </w:r>
          </w:p>
        </w:tc>
        <w:tc>
          <w:tcPr>
            <w:tcW w:w="730" w:type="pct"/>
            <w:gridSpan w:val="5"/>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val="en-US" w:eastAsia="zh-CN"/>
              </w:rPr>
              <w:t>重庆华地工程勘察设计院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5" w:type="pct"/>
            <w:vMerge w:val="continue"/>
            <w:noWrap w:val="0"/>
            <w:vAlign w:val="center"/>
          </w:tcPr>
          <w:p>
            <w:pPr>
              <w:spacing w:after="0" w:line="240" w:lineRule="auto"/>
              <w:rPr>
                <w:rFonts w:hint="eastAsia" w:ascii="Tahoma" w:hAnsi="Tahoma" w:eastAsia="微软雅黑" w:cs="Times New Roman"/>
                <w:b/>
                <w:kern w:val="2"/>
                <w:sz w:val="15"/>
                <w:szCs w:val="15"/>
              </w:rPr>
            </w:pPr>
          </w:p>
        </w:tc>
        <w:tc>
          <w:tcPr>
            <w:tcW w:w="638" w:type="pct"/>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环评文件审批机关</w:t>
            </w:r>
          </w:p>
        </w:tc>
        <w:tc>
          <w:tcPr>
            <w:tcW w:w="1363" w:type="pct"/>
            <w:gridSpan w:val="8"/>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eastAsia="zh-CN"/>
              </w:rPr>
            </w:pPr>
            <w:r>
              <w:rPr>
                <w:rFonts w:hint="eastAsia" w:ascii="Tahoma" w:hAnsi="Tahoma" w:eastAsia="微软雅黑" w:cs="Times New Roman"/>
                <w:b w:val="0"/>
                <w:bCs/>
                <w:kern w:val="2"/>
                <w:sz w:val="15"/>
                <w:szCs w:val="15"/>
                <w:lang w:eastAsia="zh-CN"/>
              </w:rPr>
              <w:t>奉节县生态环境保护局</w:t>
            </w:r>
          </w:p>
        </w:tc>
        <w:tc>
          <w:tcPr>
            <w:tcW w:w="598"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审批文号</w:t>
            </w:r>
          </w:p>
        </w:tc>
        <w:tc>
          <w:tcPr>
            <w:tcW w:w="910" w:type="pct"/>
            <w:gridSpan w:val="4"/>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渝（奉）环准[2017]041号</w:t>
            </w:r>
          </w:p>
        </w:tc>
        <w:tc>
          <w:tcPr>
            <w:tcW w:w="583"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环评文件类型</w:t>
            </w:r>
          </w:p>
        </w:tc>
        <w:tc>
          <w:tcPr>
            <w:tcW w:w="730" w:type="pct"/>
            <w:gridSpan w:val="5"/>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环境影响报告表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5" w:type="pct"/>
            <w:vMerge w:val="continue"/>
            <w:noWrap w:val="0"/>
            <w:vAlign w:val="center"/>
          </w:tcPr>
          <w:p>
            <w:pPr>
              <w:spacing w:after="0" w:line="240" w:lineRule="auto"/>
              <w:rPr>
                <w:rFonts w:hint="eastAsia" w:ascii="Tahoma" w:hAnsi="Tahoma" w:eastAsia="微软雅黑" w:cs="Times New Roman"/>
                <w:b/>
                <w:kern w:val="2"/>
                <w:sz w:val="15"/>
                <w:szCs w:val="15"/>
              </w:rPr>
            </w:pPr>
          </w:p>
        </w:tc>
        <w:tc>
          <w:tcPr>
            <w:tcW w:w="638" w:type="pct"/>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开工日期</w:t>
            </w:r>
          </w:p>
        </w:tc>
        <w:tc>
          <w:tcPr>
            <w:tcW w:w="1363" w:type="pct"/>
            <w:gridSpan w:val="8"/>
            <w:noWrap w:val="0"/>
            <w:vAlign w:val="center"/>
          </w:tcPr>
          <w:p>
            <w:pPr>
              <w:widowControl/>
              <w:adjustRightInd w:val="0"/>
              <w:snapToGrid w:val="0"/>
              <w:spacing w:after="0" w:line="240" w:lineRule="auto"/>
              <w:jc w:val="left"/>
              <w:rPr>
                <w:rFonts w:hint="default"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eastAsia="zh-CN"/>
              </w:rPr>
              <w:t>20</w:t>
            </w:r>
            <w:r>
              <w:rPr>
                <w:rFonts w:hint="eastAsia" w:ascii="Tahoma" w:hAnsi="Tahoma" w:eastAsia="微软雅黑" w:cs="Times New Roman"/>
                <w:b w:val="0"/>
                <w:bCs/>
                <w:kern w:val="2"/>
                <w:sz w:val="15"/>
                <w:szCs w:val="15"/>
                <w:lang w:val="en-US" w:eastAsia="zh-CN"/>
              </w:rPr>
              <w:t>18</w:t>
            </w:r>
            <w:r>
              <w:rPr>
                <w:rFonts w:hint="eastAsia" w:ascii="Tahoma" w:hAnsi="Tahoma" w:eastAsia="微软雅黑" w:cs="Times New Roman"/>
                <w:b w:val="0"/>
                <w:bCs/>
                <w:kern w:val="2"/>
                <w:sz w:val="15"/>
                <w:szCs w:val="15"/>
                <w:lang w:eastAsia="zh-CN"/>
              </w:rPr>
              <w:t>.</w:t>
            </w:r>
            <w:r>
              <w:rPr>
                <w:rFonts w:hint="eastAsia" w:ascii="Tahoma" w:hAnsi="Tahoma" w:eastAsia="微软雅黑" w:cs="Times New Roman"/>
                <w:b w:val="0"/>
                <w:bCs/>
                <w:kern w:val="2"/>
                <w:sz w:val="15"/>
                <w:szCs w:val="15"/>
                <w:lang w:val="en-US" w:eastAsia="zh-CN"/>
              </w:rPr>
              <w:t>1</w:t>
            </w:r>
          </w:p>
        </w:tc>
        <w:tc>
          <w:tcPr>
            <w:tcW w:w="598"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竣工日期</w:t>
            </w:r>
          </w:p>
        </w:tc>
        <w:tc>
          <w:tcPr>
            <w:tcW w:w="910" w:type="pct"/>
            <w:gridSpan w:val="4"/>
            <w:noWrap w:val="0"/>
            <w:vAlign w:val="center"/>
          </w:tcPr>
          <w:p>
            <w:pPr>
              <w:widowControl/>
              <w:adjustRightInd w:val="0"/>
              <w:snapToGrid w:val="0"/>
              <w:spacing w:after="0" w:line="240" w:lineRule="auto"/>
              <w:jc w:val="left"/>
              <w:rPr>
                <w:rFonts w:hint="default"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2024.1</w:t>
            </w:r>
          </w:p>
        </w:tc>
        <w:tc>
          <w:tcPr>
            <w:tcW w:w="583"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排污许可证申领时间</w:t>
            </w:r>
          </w:p>
        </w:tc>
        <w:tc>
          <w:tcPr>
            <w:tcW w:w="730" w:type="pct"/>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5" w:type="pct"/>
            <w:vMerge w:val="continue"/>
            <w:noWrap w:val="0"/>
            <w:vAlign w:val="center"/>
          </w:tcPr>
          <w:p>
            <w:pPr>
              <w:spacing w:after="0" w:line="240" w:lineRule="auto"/>
              <w:rPr>
                <w:rFonts w:hint="eastAsia" w:ascii="Tahoma" w:hAnsi="Tahoma" w:eastAsia="微软雅黑" w:cs="Times New Roman"/>
                <w:b/>
                <w:kern w:val="2"/>
                <w:sz w:val="15"/>
                <w:szCs w:val="15"/>
              </w:rPr>
            </w:pPr>
          </w:p>
        </w:tc>
        <w:tc>
          <w:tcPr>
            <w:tcW w:w="638" w:type="pct"/>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环保设施设计单位</w:t>
            </w:r>
          </w:p>
        </w:tc>
        <w:tc>
          <w:tcPr>
            <w:tcW w:w="1363" w:type="pct"/>
            <w:gridSpan w:val="8"/>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eastAsia="zh-CN"/>
              </w:rPr>
            </w:pPr>
            <w:r>
              <w:rPr>
                <w:rFonts w:hint="eastAsia" w:ascii="Tahoma" w:hAnsi="Tahoma" w:eastAsia="微软雅黑" w:cs="Times New Roman"/>
                <w:b w:val="0"/>
                <w:bCs/>
                <w:kern w:val="2"/>
                <w:sz w:val="15"/>
                <w:szCs w:val="15"/>
                <w:lang w:eastAsia="zh-CN"/>
              </w:rPr>
              <w:t>奉节县顺全加油站</w:t>
            </w:r>
          </w:p>
        </w:tc>
        <w:tc>
          <w:tcPr>
            <w:tcW w:w="598"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环保设施施工单位</w:t>
            </w:r>
          </w:p>
        </w:tc>
        <w:tc>
          <w:tcPr>
            <w:tcW w:w="910" w:type="pct"/>
            <w:gridSpan w:val="4"/>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奉节县顺全加油站</w:t>
            </w:r>
          </w:p>
        </w:tc>
        <w:tc>
          <w:tcPr>
            <w:tcW w:w="583"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本工程排污许可证编号</w:t>
            </w:r>
          </w:p>
        </w:tc>
        <w:tc>
          <w:tcPr>
            <w:tcW w:w="730" w:type="pct"/>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5" w:type="pct"/>
            <w:vMerge w:val="continue"/>
            <w:noWrap w:val="0"/>
            <w:vAlign w:val="center"/>
          </w:tcPr>
          <w:p>
            <w:pPr>
              <w:spacing w:after="0" w:line="240" w:lineRule="auto"/>
              <w:rPr>
                <w:rFonts w:hint="eastAsia" w:ascii="Tahoma" w:hAnsi="Tahoma" w:eastAsia="微软雅黑" w:cs="Times New Roman"/>
                <w:b/>
                <w:kern w:val="2"/>
                <w:sz w:val="15"/>
                <w:szCs w:val="15"/>
              </w:rPr>
            </w:pPr>
          </w:p>
        </w:tc>
        <w:tc>
          <w:tcPr>
            <w:tcW w:w="638" w:type="pct"/>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验收单位</w:t>
            </w:r>
          </w:p>
        </w:tc>
        <w:tc>
          <w:tcPr>
            <w:tcW w:w="1363" w:type="pct"/>
            <w:gridSpan w:val="8"/>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eastAsia="zh-CN"/>
              </w:rPr>
            </w:pPr>
            <w:r>
              <w:rPr>
                <w:rFonts w:hint="eastAsia" w:ascii="Tahoma" w:hAnsi="Tahoma" w:eastAsia="微软雅黑" w:cs="Times New Roman"/>
                <w:b w:val="0"/>
                <w:bCs/>
                <w:kern w:val="2"/>
                <w:sz w:val="15"/>
                <w:szCs w:val="15"/>
                <w:lang w:eastAsia="zh-CN"/>
              </w:rPr>
              <w:t>奉节县顺全加油站</w:t>
            </w:r>
          </w:p>
        </w:tc>
        <w:tc>
          <w:tcPr>
            <w:tcW w:w="598"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环保设施监测单位</w:t>
            </w:r>
          </w:p>
        </w:tc>
        <w:tc>
          <w:tcPr>
            <w:tcW w:w="910" w:type="pct"/>
            <w:gridSpan w:val="4"/>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重庆绿创环境检测技术有限公司</w:t>
            </w:r>
          </w:p>
        </w:tc>
        <w:tc>
          <w:tcPr>
            <w:tcW w:w="583"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验收监测时工况</w:t>
            </w:r>
          </w:p>
        </w:tc>
        <w:tc>
          <w:tcPr>
            <w:tcW w:w="730" w:type="pct"/>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5" w:type="pct"/>
            <w:vMerge w:val="continue"/>
            <w:noWrap w:val="0"/>
            <w:vAlign w:val="center"/>
          </w:tcPr>
          <w:p>
            <w:pPr>
              <w:spacing w:after="0" w:line="240" w:lineRule="auto"/>
              <w:rPr>
                <w:rFonts w:hint="eastAsia" w:ascii="Tahoma" w:hAnsi="Tahoma" w:eastAsia="微软雅黑" w:cs="Times New Roman"/>
                <w:b/>
                <w:kern w:val="2"/>
                <w:sz w:val="15"/>
                <w:szCs w:val="15"/>
              </w:rPr>
            </w:pPr>
          </w:p>
        </w:tc>
        <w:tc>
          <w:tcPr>
            <w:tcW w:w="638" w:type="pct"/>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投资总概算（万元）</w:t>
            </w:r>
          </w:p>
        </w:tc>
        <w:tc>
          <w:tcPr>
            <w:tcW w:w="1363" w:type="pct"/>
            <w:gridSpan w:val="8"/>
            <w:noWrap w:val="0"/>
            <w:vAlign w:val="center"/>
          </w:tcPr>
          <w:p>
            <w:pPr>
              <w:widowControl/>
              <w:adjustRightInd w:val="0"/>
              <w:snapToGrid w:val="0"/>
              <w:spacing w:after="0" w:line="240" w:lineRule="auto"/>
              <w:jc w:val="left"/>
              <w:rPr>
                <w:rFonts w:hint="default"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300.00</w:t>
            </w:r>
          </w:p>
        </w:tc>
        <w:tc>
          <w:tcPr>
            <w:tcW w:w="598"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环保投资总概算（万元）</w:t>
            </w:r>
          </w:p>
        </w:tc>
        <w:tc>
          <w:tcPr>
            <w:tcW w:w="910" w:type="pct"/>
            <w:gridSpan w:val="4"/>
            <w:noWrap w:val="0"/>
            <w:vAlign w:val="center"/>
          </w:tcPr>
          <w:p>
            <w:pPr>
              <w:widowControl/>
              <w:adjustRightInd w:val="0"/>
              <w:snapToGrid w:val="0"/>
              <w:spacing w:after="0" w:line="240" w:lineRule="auto"/>
              <w:jc w:val="left"/>
              <w:rPr>
                <w:rFonts w:hint="default"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15.00</w:t>
            </w:r>
          </w:p>
        </w:tc>
        <w:tc>
          <w:tcPr>
            <w:tcW w:w="583"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所占比例（%）</w:t>
            </w:r>
          </w:p>
        </w:tc>
        <w:tc>
          <w:tcPr>
            <w:tcW w:w="730" w:type="pct"/>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5" w:type="pct"/>
            <w:vMerge w:val="continue"/>
            <w:noWrap w:val="0"/>
            <w:vAlign w:val="center"/>
          </w:tcPr>
          <w:p>
            <w:pPr>
              <w:spacing w:after="0" w:line="240" w:lineRule="auto"/>
              <w:rPr>
                <w:rFonts w:hint="eastAsia" w:ascii="Tahoma" w:hAnsi="Tahoma" w:eastAsia="微软雅黑" w:cs="Times New Roman"/>
                <w:b/>
                <w:kern w:val="2"/>
                <w:sz w:val="15"/>
                <w:szCs w:val="15"/>
              </w:rPr>
            </w:pPr>
          </w:p>
        </w:tc>
        <w:tc>
          <w:tcPr>
            <w:tcW w:w="638" w:type="pct"/>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实际总投资</w:t>
            </w:r>
          </w:p>
        </w:tc>
        <w:tc>
          <w:tcPr>
            <w:tcW w:w="1363" w:type="pct"/>
            <w:gridSpan w:val="8"/>
            <w:noWrap w:val="0"/>
            <w:vAlign w:val="center"/>
          </w:tcPr>
          <w:p>
            <w:pPr>
              <w:widowControl/>
              <w:adjustRightInd w:val="0"/>
              <w:snapToGrid w:val="0"/>
              <w:spacing w:after="0" w:line="240" w:lineRule="auto"/>
              <w:jc w:val="left"/>
              <w:rPr>
                <w:rFonts w:hint="default"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300.00</w:t>
            </w:r>
          </w:p>
        </w:tc>
        <w:tc>
          <w:tcPr>
            <w:tcW w:w="598"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实际环保投资（万元）</w:t>
            </w:r>
          </w:p>
        </w:tc>
        <w:tc>
          <w:tcPr>
            <w:tcW w:w="910" w:type="pct"/>
            <w:gridSpan w:val="4"/>
            <w:noWrap w:val="0"/>
            <w:vAlign w:val="center"/>
          </w:tcPr>
          <w:p>
            <w:pPr>
              <w:widowControl/>
              <w:adjustRightInd w:val="0"/>
              <w:snapToGrid w:val="0"/>
              <w:spacing w:after="0" w:line="240" w:lineRule="auto"/>
              <w:jc w:val="left"/>
              <w:rPr>
                <w:rFonts w:hint="default"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25.00</w:t>
            </w:r>
          </w:p>
        </w:tc>
        <w:tc>
          <w:tcPr>
            <w:tcW w:w="583"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所占比例（%）</w:t>
            </w:r>
          </w:p>
        </w:tc>
        <w:tc>
          <w:tcPr>
            <w:tcW w:w="730" w:type="pct"/>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5" w:type="pct"/>
            <w:vMerge w:val="continue"/>
            <w:noWrap w:val="0"/>
            <w:vAlign w:val="center"/>
          </w:tcPr>
          <w:p>
            <w:pPr>
              <w:spacing w:after="0" w:line="240" w:lineRule="auto"/>
              <w:rPr>
                <w:rFonts w:hint="eastAsia" w:ascii="Tahoma" w:hAnsi="Tahoma" w:eastAsia="微软雅黑" w:cs="Times New Roman"/>
                <w:b/>
                <w:kern w:val="2"/>
                <w:sz w:val="15"/>
                <w:szCs w:val="15"/>
              </w:rPr>
            </w:pPr>
          </w:p>
        </w:tc>
        <w:tc>
          <w:tcPr>
            <w:tcW w:w="638" w:type="pct"/>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废水治理（万元）</w:t>
            </w:r>
          </w:p>
        </w:tc>
        <w:tc>
          <w:tcPr>
            <w:tcW w:w="257" w:type="pct"/>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6</w:t>
            </w:r>
          </w:p>
        </w:tc>
        <w:tc>
          <w:tcPr>
            <w:tcW w:w="439" w:type="pct"/>
            <w:gridSpan w:val="2"/>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b/>
                <w:bCs/>
                <w:kern w:val="2"/>
                <w:sz w:val="15"/>
                <w:szCs w:val="15"/>
              </w:rPr>
              <w:t>废气治理（万元）</w:t>
            </w:r>
          </w:p>
        </w:tc>
        <w:tc>
          <w:tcPr>
            <w:tcW w:w="213" w:type="pct"/>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6</w:t>
            </w:r>
          </w:p>
        </w:tc>
        <w:tc>
          <w:tcPr>
            <w:tcW w:w="453" w:type="pct"/>
            <w:gridSpan w:val="4"/>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b/>
                <w:bCs/>
                <w:kern w:val="2"/>
                <w:sz w:val="15"/>
                <w:szCs w:val="15"/>
              </w:rPr>
              <w:t>噪声治理（万元）</w:t>
            </w:r>
          </w:p>
        </w:tc>
        <w:tc>
          <w:tcPr>
            <w:tcW w:w="598" w:type="pct"/>
            <w:gridSpan w:val="2"/>
            <w:noWrap w:val="0"/>
            <w:vAlign w:val="center"/>
          </w:tcPr>
          <w:p>
            <w:pPr>
              <w:spacing w:after="0" w:line="240" w:lineRule="auto"/>
              <w:jc w:val="center"/>
              <w:rPr>
                <w:rFonts w:hint="default" w:ascii="Tahoma" w:hAnsi="Tahoma" w:eastAsia="微软雅黑" w:cs="Times New Roman"/>
                <w:kern w:val="2"/>
                <w:sz w:val="15"/>
                <w:szCs w:val="15"/>
                <w:lang w:val="en-US"/>
              </w:rPr>
            </w:pPr>
            <w:r>
              <w:rPr>
                <w:rFonts w:hint="eastAsia" w:ascii="Tahoma" w:hAnsi="Tahoma" w:eastAsia="微软雅黑" w:cs="Times New Roman"/>
                <w:kern w:val="2"/>
                <w:sz w:val="15"/>
                <w:szCs w:val="15"/>
                <w:lang w:val="en-US" w:eastAsia="zh-CN"/>
              </w:rPr>
              <w:t>1</w:t>
            </w:r>
          </w:p>
        </w:tc>
        <w:tc>
          <w:tcPr>
            <w:tcW w:w="628" w:type="pct"/>
            <w:gridSpan w:val="3"/>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固体废物治理（万元）</w:t>
            </w:r>
          </w:p>
        </w:tc>
        <w:tc>
          <w:tcPr>
            <w:tcW w:w="282" w:type="pct"/>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1</w:t>
            </w:r>
          </w:p>
        </w:tc>
        <w:tc>
          <w:tcPr>
            <w:tcW w:w="583" w:type="pct"/>
            <w:gridSpan w:val="2"/>
            <w:noWrap w:val="0"/>
            <w:vAlign w:val="center"/>
          </w:tcPr>
          <w:p>
            <w:pPr>
              <w:widowControl/>
              <w:adjustRightInd w:val="0"/>
              <w:snapToGrid w:val="0"/>
              <w:spacing w:after="0" w:line="240" w:lineRule="auto"/>
              <w:jc w:val="left"/>
              <w:rPr>
                <w:rFonts w:hint="eastAsia" w:ascii="Tahoma" w:hAnsi="Tahoma" w:eastAsia="微软雅黑" w:cs="Times New Roman"/>
                <w:b/>
                <w:kern w:val="2"/>
                <w:sz w:val="15"/>
                <w:szCs w:val="15"/>
                <w:lang w:eastAsia="zh-CN"/>
              </w:rPr>
            </w:pPr>
            <w:r>
              <w:rPr>
                <w:rFonts w:hint="eastAsia" w:ascii="Tahoma" w:hAnsi="Tahoma" w:eastAsia="微软雅黑" w:cs="Times New Roman"/>
                <w:b/>
                <w:kern w:val="2"/>
                <w:sz w:val="15"/>
                <w:szCs w:val="15"/>
                <w:lang w:eastAsia="zh-CN"/>
              </w:rPr>
              <w:t>绿化及生态（万元）</w:t>
            </w:r>
          </w:p>
        </w:tc>
        <w:tc>
          <w:tcPr>
            <w:tcW w:w="180" w:type="pct"/>
            <w:gridSpan w:val="2"/>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1</w:t>
            </w:r>
          </w:p>
        </w:tc>
        <w:tc>
          <w:tcPr>
            <w:tcW w:w="402" w:type="pct"/>
            <w:gridSpan w:val="2"/>
            <w:noWrap w:val="0"/>
            <w:vAlign w:val="center"/>
          </w:tcPr>
          <w:p>
            <w:pPr>
              <w:spacing w:after="0" w:line="240" w:lineRule="auto"/>
              <w:rPr>
                <w:rFonts w:hint="default" w:ascii="Tahoma" w:hAnsi="Tahoma" w:eastAsia="微软雅黑" w:cs="Times New Roman"/>
                <w:b/>
                <w:bCs/>
                <w:kern w:val="2"/>
                <w:sz w:val="15"/>
                <w:szCs w:val="15"/>
                <w:lang w:val="en-US" w:eastAsia="zh-CN"/>
              </w:rPr>
            </w:pPr>
            <w:r>
              <w:rPr>
                <w:rFonts w:hint="eastAsia" w:ascii="Tahoma" w:hAnsi="Tahoma" w:eastAsia="微软雅黑" w:cs="Times New Roman"/>
                <w:b/>
                <w:bCs/>
                <w:kern w:val="2"/>
                <w:sz w:val="15"/>
                <w:szCs w:val="15"/>
              </w:rPr>
              <w:t>其他（万元）</w:t>
            </w:r>
          </w:p>
        </w:tc>
        <w:tc>
          <w:tcPr>
            <w:tcW w:w="148" w:type="pct"/>
            <w:noWrap w:val="0"/>
            <w:vAlign w:val="center"/>
          </w:tcPr>
          <w:p>
            <w:pPr>
              <w:spacing w:after="0" w:line="240" w:lineRule="auto"/>
              <w:rPr>
                <w:rFonts w:hint="default" w:ascii="Tahoma" w:hAnsi="Tahoma" w:eastAsia="微软雅黑" w:cs="Times New Roman"/>
                <w:b/>
                <w:bCs/>
                <w:kern w:val="2"/>
                <w:sz w:val="15"/>
                <w:szCs w:val="15"/>
                <w:lang w:val="en-US" w:eastAsia="zh-CN"/>
              </w:rPr>
            </w:pPr>
            <w:r>
              <w:rPr>
                <w:rFonts w:hint="eastAsia" w:ascii="Tahoma" w:hAnsi="Tahoma" w:eastAsia="微软雅黑" w:cs="Times New Roman"/>
                <w:b w:val="0"/>
                <w:bCs w:val="0"/>
                <w:kern w:val="2"/>
                <w:sz w:val="15"/>
                <w:szCs w:val="15"/>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5" w:type="pct"/>
            <w:vMerge w:val="continue"/>
            <w:noWrap w:val="0"/>
            <w:vAlign w:val="center"/>
          </w:tcPr>
          <w:p>
            <w:pPr>
              <w:spacing w:after="0"/>
              <w:rPr>
                <w:kern w:val="2"/>
                <w:sz w:val="15"/>
                <w:szCs w:val="15"/>
              </w:rPr>
            </w:pPr>
          </w:p>
        </w:tc>
        <w:tc>
          <w:tcPr>
            <w:tcW w:w="638" w:type="pct"/>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新增废水处理设施能力</w:t>
            </w:r>
          </w:p>
        </w:tc>
        <w:tc>
          <w:tcPr>
            <w:tcW w:w="1363" w:type="pct"/>
            <w:gridSpan w:val="8"/>
            <w:noWrap w:val="0"/>
            <w:vAlign w:val="center"/>
          </w:tcPr>
          <w:p>
            <w:pPr>
              <w:spacing w:after="0" w:line="240" w:lineRule="auto"/>
              <w:rPr>
                <w:rFonts w:hint="default" w:ascii="Tahoma" w:hAnsi="Tahoma" w:eastAsia="微软雅黑" w:cs="Times New Roman"/>
                <w:b/>
                <w:kern w:val="2"/>
                <w:sz w:val="15"/>
                <w:szCs w:val="15"/>
                <w:lang w:val="en-US" w:eastAsia="zh-CN"/>
              </w:rPr>
            </w:pPr>
            <w:r>
              <w:rPr>
                <w:rFonts w:hint="eastAsia" w:ascii="Tahoma" w:hAnsi="Tahoma" w:eastAsia="微软雅黑" w:cs="Times New Roman"/>
                <w:b/>
                <w:kern w:val="2"/>
                <w:sz w:val="15"/>
                <w:szCs w:val="15"/>
                <w:lang w:val="en-US" w:eastAsia="zh-CN"/>
              </w:rPr>
              <w:t>/</w:t>
            </w:r>
          </w:p>
        </w:tc>
        <w:tc>
          <w:tcPr>
            <w:tcW w:w="598" w:type="pct"/>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新增废气处理设施能力</w:t>
            </w:r>
          </w:p>
        </w:tc>
        <w:tc>
          <w:tcPr>
            <w:tcW w:w="910" w:type="pct"/>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w:t>
            </w:r>
          </w:p>
        </w:tc>
        <w:tc>
          <w:tcPr>
            <w:tcW w:w="583" w:type="pct"/>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年平均工作时</w:t>
            </w:r>
          </w:p>
        </w:tc>
        <w:tc>
          <w:tcPr>
            <w:tcW w:w="730" w:type="pct"/>
            <w:gridSpan w:val="5"/>
            <w:noWrap w:val="0"/>
            <w:vAlign w:val="center"/>
          </w:tcPr>
          <w:p>
            <w:pPr>
              <w:spacing w:after="0" w:line="240" w:lineRule="auto"/>
              <w:rPr>
                <w:rFonts w:hint="default" w:ascii="Tahoma" w:hAnsi="Tahoma" w:eastAsia="微软雅黑" w:cs="Times New Roman"/>
                <w:b/>
                <w:kern w:val="2"/>
                <w:sz w:val="15"/>
                <w:szCs w:val="15"/>
                <w:lang w:val="en-US" w:eastAsia="zh-CN"/>
              </w:rPr>
            </w:pPr>
            <w:r>
              <w:rPr>
                <w:rFonts w:hint="eastAsia" w:ascii="Tahoma" w:hAnsi="Tahoma" w:eastAsia="微软雅黑" w:cs="Times New Roman"/>
                <w:b w:val="0"/>
                <w:bCs/>
                <w:kern w:val="2"/>
                <w:sz w:val="15"/>
                <w:szCs w:val="15"/>
                <w:lang w:val="en-US" w:eastAsia="zh-CN"/>
              </w:rPr>
              <w:t>8760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813" w:type="pct"/>
            <w:gridSpan w:val="4"/>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运营单位</w:t>
            </w:r>
          </w:p>
        </w:tc>
        <w:tc>
          <w:tcPr>
            <w:tcW w:w="1251" w:type="pct"/>
            <w:gridSpan w:val="6"/>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val="en-US" w:eastAsia="zh-CN"/>
              </w:rPr>
              <w:t>/</w:t>
            </w:r>
          </w:p>
        </w:tc>
        <w:tc>
          <w:tcPr>
            <w:tcW w:w="710" w:type="pct"/>
            <w:gridSpan w:val="4"/>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b/>
                <w:bCs/>
                <w:kern w:val="2"/>
                <w:sz w:val="15"/>
                <w:szCs w:val="15"/>
                <w:lang w:eastAsia="zh-CN"/>
              </w:rPr>
              <w:t>运营单位社会统一信用代码</w:t>
            </w:r>
          </w:p>
        </w:tc>
        <w:tc>
          <w:tcPr>
            <w:tcW w:w="910" w:type="pct"/>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w:t>
            </w:r>
          </w:p>
        </w:tc>
        <w:tc>
          <w:tcPr>
            <w:tcW w:w="583" w:type="pct"/>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验收时间</w:t>
            </w:r>
          </w:p>
        </w:tc>
        <w:tc>
          <w:tcPr>
            <w:tcW w:w="730" w:type="pct"/>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rPr>
              <w:t>20</w:t>
            </w:r>
            <w:r>
              <w:rPr>
                <w:rFonts w:hint="eastAsia" w:ascii="Tahoma" w:hAnsi="Tahoma" w:eastAsia="微软雅黑" w:cs="Times New Roman"/>
                <w:kern w:val="2"/>
                <w:sz w:val="15"/>
                <w:szCs w:val="15"/>
                <w:lang w:val="en-US" w:eastAsia="zh-CN"/>
              </w:rPr>
              <w:t>24</w:t>
            </w:r>
            <w:r>
              <w:rPr>
                <w:rFonts w:hint="eastAsia" w:ascii="Tahoma" w:hAnsi="Tahoma" w:eastAsia="微软雅黑" w:cs="Times New Roman"/>
                <w:kern w:val="2"/>
                <w:sz w:val="15"/>
                <w:szCs w:val="15"/>
              </w:rPr>
              <w:t>.</w:t>
            </w:r>
            <w:r>
              <w:rPr>
                <w:rFonts w:hint="eastAsia" w:ascii="Tahoma" w:hAnsi="Tahoma" w:eastAsia="微软雅黑" w:cs="Times New Roman"/>
                <w:kern w:val="2"/>
                <w:sz w:val="15"/>
                <w:szCs w:val="15"/>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31" w:type="pct"/>
            <w:gridSpan w:val="2"/>
            <w:vMerge w:val="restart"/>
            <w:noWrap w:val="0"/>
            <w:vAlign w:val="center"/>
          </w:tcPr>
          <w:p>
            <w:pPr>
              <w:widowControl/>
              <w:adjustRightInd w:val="0"/>
              <w:snapToGrid w:val="0"/>
              <w:spacing w:after="0" w:line="240" w:lineRule="auto"/>
              <w:jc w:val="left"/>
              <w:rPr>
                <w:rFonts w:hint="eastAsia" w:ascii="Tahoma" w:hAnsi="Tahoma" w:eastAsia="微软雅黑" w:cs="Times New Roman"/>
                <w:b/>
                <w:bCs w:val="0"/>
                <w:kern w:val="2"/>
                <w:sz w:val="15"/>
                <w:szCs w:val="15"/>
                <w:lang w:val="en-US" w:eastAsia="zh-CN"/>
              </w:rPr>
            </w:pPr>
            <w:r>
              <w:rPr>
                <w:rFonts w:hint="eastAsia" w:ascii="Tahoma" w:hAnsi="Tahoma" w:eastAsia="微软雅黑" w:cs="Times New Roman"/>
                <w:b/>
                <w:bCs w:val="0"/>
                <w:kern w:val="2"/>
                <w:sz w:val="15"/>
                <w:szCs w:val="15"/>
                <w:lang w:val="en-US" w:eastAsia="zh-CN"/>
              </w:rPr>
              <w:t>污染</w:t>
            </w:r>
          </w:p>
          <w:p>
            <w:pPr>
              <w:widowControl/>
              <w:adjustRightInd w:val="0"/>
              <w:snapToGrid w:val="0"/>
              <w:spacing w:after="0" w:line="240" w:lineRule="auto"/>
              <w:jc w:val="left"/>
              <w:rPr>
                <w:rFonts w:hint="eastAsia" w:ascii="Tahoma" w:hAnsi="Tahoma" w:eastAsia="微软雅黑" w:cs="Times New Roman"/>
                <w:b/>
                <w:bCs w:val="0"/>
                <w:kern w:val="2"/>
                <w:sz w:val="15"/>
                <w:szCs w:val="15"/>
                <w:lang w:val="en-US" w:eastAsia="zh-CN"/>
              </w:rPr>
            </w:pPr>
            <w:r>
              <w:rPr>
                <w:rFonts w:hint="eastAsia" w:ascii="Tahoma" w:hAnsi="Tahoma" w:eastAsia="微软雅黑" w:cs="Times New Roman"/>
                <w:b/>
                <w:bCs w:val="0"/>
                <w:kern w:val="2"/>
                <w:sz w:val="15"/>
                <w:szCs w:val="15"/>
                <w:lang w:val="en-US" w:eastAsia="zh-CN"/>
              </w:rPr>
              <w:t>物排</w:t>
            </w:r>
          </w:p>
          <w:p>
            <w:pPr>
              <w:widowControl/>
              <w:adjustRightInd w:val="0"/>
              <w:snapToGrid w:val="0"/>
              <w:spacing w:after="0" w:line="240" w:lineRule="auto"/>
              <w:jc w:val="left"/>
              <w:rPr>
                <w:rFonts w:hint="eastAsia" w:ascii="Tahoma" w:hAnsi="Tahoma" w:eastAsia="微软雅黑" w:cs="Times New Roman"/>
                <w:b/>
                <w:bCs w:val="0"/>
                <w:kern w:val="2"/>
                <w:sz w:val="15"/>
                <w:szCs w:val="15"/>
                <w:lang w:val="en-US" w:eastAsia="zh-CN"/>
              </w:rPr>
            </w:pPr>
            <w:r>
              <w:rPr>
                <w:rFonts w:hint="eastAsia" w:ascii="Tahoma" w:hAnsi="Tahoma" w:eastAsia="微软雅黑" w:cs="Times New Roman"/>
                <w:b/>
                <w:bCs w:val="0"/>
                <w:kern w:val="2"/>
                <w:sz w:val="15"/>
                <w:szCs w:val="15"/>
                <w:lang w:val="en-US" w:eastAsia="zh-CN"/>
              </w:rPr>
              <w:t>放达</w:t>
            </w:r>
          </w:p>
          <w:p>
            <w:pPr>
              <w:widowControl/>
              <w:adjustRightInd w:val="0"/>
              <w:snapToGrid w:val="0"/>
              <w:spacing w:after="0" w:line="240" w:lineRule="auto"/>
              <w:jc w:val="left"/>
              <w:rPr>
                <w:rFonts w:hint="eastAsia" w:ascii="Tahoma" w:hAnsi="Tahoma" w:eastAsia="微软雅黑" w:cs="Times New Roman"/>
                <w:b/>
                <w:bCs w:val="0"/>
                <w:kern w:val="2"/>
                <w:sz w:val="15"/>
                <w:szCs w:val="15"/>
                <w:lang w:val="en-US" w:eastAsia="zh-CN"/>
              </w:rPr>
            </w:pPr>
            <w:r>
              <w:rPr>
                <w:rFonts w:hint="eastAsia" w:ascii="Tahoma" w:hAnsi="Tahoma" w:eastAsia="微软雅黑" w:cs="Times New Roman"/>
                <w:b/>
                <w:bCs w:val="0"/>
                <w:kern w:val="2"/>
                <w:sz w:val="15"/>
                <w:szCs w:val="15"/>
                <w:lang w:val="en-US" w:eastAsia="zh-CN"/>
              </w:rPr>
              <w:t>标与</w:t>
            </w:r>
          </w:p>
          <w:p>
            <w:pPr>
              <w:widowControl/>
              <w:adjustRightInd w:val="0"/>
              <w:snapToGrid w:val="0"/>
              <w:spacing w:after="0" w:line="240" w:lineRule="auto"/>
              <w:jc w:val="left"/>
              <w:rPr>
                <w:rFonts w:hint="eastAsia" w:ascii="Tahoma" w:hAnsi="Tahoma" w:eastAsia="微软雅黑" w:cs="Times New Roman"/>
                <w:b/>
                <w:bCs w:val="0"/>
                <w:kern w:val="2"/>
                <w:sz w:val="15"/>
                <w:szCs w:val="15"/>
                <w:lang w:val="en-US" w:eastAsia="zh-CN"/>
              </w:rPr>
            </w:pPr>
            <w:r>
              <w:rPr>
                <w:rFonts w:hint="eastAsia" w:ascii="Tahoma" w:hAnsi="Tahoma" w:eastAsia="微软雅黑" w:cs="Times New Roman"/>
                <w:b/>
                <w:bCs w:val="0"/>
                <w:kern w:val="2"/>
                <w:sz w:val="15"/>
                <w:szCs w:val="15"/>
                <w:lang w:val="en-US" w:eastAsia="zh-CN"/>
              </w:rPr>
              <w:t>总量</w:t>
            </w:r>
          </w:p>
          <w:p>
            <w:pPr>
              <w:widowControl/>
              <w:adjustRightInd w:val="0"/>
              <w:snapToGrid w:val="0"/>
              <w:spacing w:after="0" w:line="240" w:lineRule="auto"/>
              <w:jc w:val="left"/>
              <w:rPr>
                <w:rFonts w:hint="eastAsia" w:ascii="Tahoma" w:hAnsi="Tahoma" w:eastAsia="微软雅黑" w:cs="Times New Roman"/>
                <w:b/>
                <w:bCs w:val="0"/>
                <w:kern w:val="2"/>
                <w:sz w:val="15"/>
                <w:szCs w:val="15"/>
                <w:lang w:val="en-US" w:eastAsia="zh-CN"/>
              </w:rPr>
            </w:pPr>
            <w:r>
              <w:rPr>
                <w:rFonts w:hint="eastAsia" w:ascii="Tahoma" w:hAnsi="Tahoma" w:eastAsia="微软雅黑" w:cs="Times New Roman"/>
                <w:b/>
                <w:bCs w:val="0"/>
                <w:kern w:val="2"/>
                <w:sz w:val="15"/>
                <w:szCs w:val="15"/>
                <w:lang w:val="en-US" w:eastAsia="zh-CN"/>
              </w:rPr>
              <w:t>控制（工</w:t>
            </w:r>
          </w:p>
          <w:p>
            <w:pPr>
              <w:widowControl/>
              <w:adjustRightInd w:val="0"/>
              <w:snapToGrid w:val="0"/>
              <w:spacing w:after="0" w:line="240" w:lineRule="auto"/>
              <w:jc w:val="left"/>
              <w:rPr>
                <w:rFonts w:hint="eastAsia" w:ascii="Tahoma" w:hAnsi="Tahoma" w:eastAsia="微软雅黑" w:cs="Times New Roman"/>
                <w:b/>
                <w:bCs w:val="0"/>
                <w:kern w:val="2"/>
                <w:sz w:val="15"/>
                <w:szCs w:val="15"/>
                <w:lang w:val="en-US" w:eastAsia="zh-CN"/>
              </w:rPr>
            </w:pPr>
            <w:r>
              <w:rPr>
                <w:rFonts w:hint="eastAsia" w:ascii="Tahoma" w:hAnsi="Tahoma" w:eastAsia="微软雅黑" w:cs="Times New Roman"/>
                <w:b/>
                <w:bCs w:val="0"/>
                <w:kern w:val="2"/>
                <w:sz w:val="15"/>
                <w:szCs w:val="15"/>
                <w:lang w:val="en-US" w:eastAsia="zh-CN"/>
              </w:rPr>
              <w:t>业建</w:t>
            </w:r>
          </w:p>
          <w:p>
            <w:pPr>
              <w:widowControl/>
              <w:adjustRightInd w:val="0"/>
              <w:snapToGrid w:val="0"/>
              <w:spacing w:after="0" w:line="240" w:lineRule="auto"/>
              <w:jc w:val="left"/>
              <w:rPr>
                <w:rFonts w:hint="eastAsia" w:ascii="Tahoma" w:hAnsi="Tahoma" w:eastAsia="微软雅黑" w:cs="Times New Roman"/>
                <w:b/>
                <w:bCs w:val="0"/>
                <w:kern w:val="2"/>
                <w:sz w:val="15"/>
                <w:szCs w:val="15"/>
                <w:lang w:val="en-US" w:eastAsia="zh-CN"/>
              </w:rPr>
            </w:pPr>
            <w:r>
              <w:rPr>
                <w:rFonts w:hint="eastAsia" w:ascii="Tahoma" w:hAnsi="Tahoma" w:eastAsia="微软雅黑" w:cs="Times New Roman"/>
                <w:b/>
                <w:bCs w:val="0"/>
                <w:kern w:val="2"/>
                <w:sz w:val="15"/>
                <w:szCs w:val="15"/>
                <w:lang w:val="en-US" w:eastAsia="zh-CN"/>
              </w:rPr>
              <w:t>设项</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bCs w:val="0"/>
                <w:kern w:val="2"/>
                <w:sz w:val="15"/>
                <w:szCs w:val="15"/>
                <w:lang w:val="en-US" w:eastAsia="zh-CN"/>
              </w:rPr>
              <w:t>目详填）</w:t>
            </w:r>
          </w:p>
        </w:tc>
        <w:tc>
          <w:tcPr>
            <w:tcW w:w="582" w:type="pct"/>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污染物</w:t>
            </w:r>
          </w:p>
        </w:tc>
        <w:tc>
          <w:tcPr>
            <w:tcW w:w="257" w:type="pct"/>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原有排</w:t>
            </w:r>
          </w:p>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放量(1)</w:t>
            </w:r>
          </w:p>
        </w:tc>
        <w:tc>
          <w:tcPr>
            <w:tcW w:w="371" w:type="pct"/>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本期工程实际排放浓度(2)</w:t>
            </w:r>
          </w:p>
        </w:tc>
        <w:tc>
          <w:tcPr>
            <w:tcW w:w="368" w:type="pct"/>
            <w:gridSpan w:val="3"/>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本期工程允许排放浓度(3)</w:t>
            </w:r>
          </w:p>
        </w:tc>
        <w:tc>
          <w:tcPr>
            <w:tcW w:w="301" w:type="pct"/>
            <w:gridSpan w:val="2"/>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本期工程产生量(4)</w:t>
            </w:r>
          </w:p>
        </w:tc>
        <w:tc>
          <w:tcPr>
            <w:tcW w:w="361" w:type="pct"/>
            <w:gridSpan w:val="2"/>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本期工程自身削减量(5)</w:t>
            </w:r>
          </w:p>
        </w:tc>
        <w:tc>
          <w:tcPr>
            <w:tcW w:w="379" w:type="pct"/>
            <w:gridSpan w:val="2"/>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本期工程实际排放量(6)</w:t>
            </w:r>
          </w:p>
        </w:tc>
        <w:tc>
          <w:tcPr>
            <w:tcW w:w="385" w:type="pct"/>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本期工程核定排放总量(7)</w:t>
            </w:r>
          </w:p>
        </w:tc>
        <w:tc>
          <w:tcPr>
            <w:tcW w:w="449" w:type="pct"/>
            <w:gridSpan w:val="2"/>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本期工程“以新带老”削减量(8)</w:t>
            </w:r>
          </w:p>
        </w:tc>
        <w:tc>
          <w:tcPr>
            <w:tcW w:w="365" w:type="pct"/>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全厂实际排放总量(9)</w:t>
            </w:r>
          </w:p>
        </w:tc>
        <w:tc>
          <w:tcPr>
            <w:tcW w:w="281" w:type="pct"/>
            <w:gridSpan w:val="2"/>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全厂核定排放总量(10)</w:t>
            </w:r>
          </w:p>
        </w:tc>
        <w:tc>
          <w:tcPr>
            <w:tcW w:w="375" w:type="pct"/>
            <w:gridSpan w:val="2"/>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区域平衡替代削减量(11)</w:t>
            </w:r>
          </w:p>
        </w:tc>
        <w:tc>
          <w:tcPr>
            <w:tcW w:w="292" w:type="pct"/>
            <w:gridSpan w:val="2"/>
            <w:noWrap w:val="0"/>
            <w:vAlign w:val="center"/>
          </w:tcPr>
          <w:p>
            <w:pPr>
              <w:widowControl/>
              <w:adjustRightInd w:val="0"/>
              <w:snapToGrid w:val="0"/>
              <w:spacing w:after="0" w:line="240" w:lineRule="auto"/>
              <w:jc w:val="left"/>
              <w:rPr>
                <w:rFonts w:hint="eastAsia" w:ascii="Tahoma" w:hAnsi="Tahoma" w:eastAsia="微软雅黑" w:cs="Times New Roman"/>
                <w:b w:val="0"/>
                <w:bCs/>
                <w:kern w:val="2"/>
                <w:sz w:val="15"/>
                <w:szCs w:val="15"/>
                <w:lang w:val="en-US" w:eastAsia="zh-CN"/>
              </w:rPr>
            </w:pPr>
            <w:r>
              <w:rPr>
                <w:rFonts w:hint="eastAsia" w:ascii="Tahoma" w:hAnsi="Tahoma" w:eastAsia="微软雅黑" w:cs="Times New Roman"/>
                <w:b w:val="0"/>
                <w:bCs/>
                <w:kern w:val="2"/>
                <w:sz w:val="15"/>
                <w:szCs w:val="15"/>
                <w:lang w:val="en-US" w:eastAsia="zh-CN"/>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31" w:type="pct"/>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582" w:type="pct"/>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废水</w:t>
            </w:r>
          </w:p>
        </w:tc>
        <w:tc>
          <w:tcPr>
            <w:tcW w:w="257" w:type="pct"/>
            <w:noWrap w:val="0"/>
            <w:vAlign w:val="center"/>
          </w:tcPr>
          <w:p>
            <w:pPr>
              <w:spacing w:after="0" w:line="240" w:lineRule="auto"/>
              <w:rPr>
                <w:rFonts w:hint="eastAsia" w:ascii="Tahoma" w:hAnsi="Tahoma" w:eastAsia="微软雅黑" w:cs="Times New Roman"/>
                <w:kern w:val="2"/>
                <w:sz w:val="15"/>
                <w:szCs w:val="15"/>
              </w:rPr>
            </w:pPr>
          </w:p>
        </w:tc>
        <w:tc>
          <w:tcPr>
            <w:tcW w:w="371" w:type="pct"/>
            <w:noWrap w:val="0"/>
            <w:vAlign w:val="center"/>
          </w:tcPr>
          <w:p>
            <w:pPr>
              <w:spacing w:after="0" w:line="240" w:lineRule="auto"/>
              <w:rPr>
                <w:rFonts w:hint="eastAsia" w:ascii="Tahoma" w:hAnsi="Tahoma" w:eastAsia="微软雅黑" w:cs="Times New Roman"/>
                <w:kern w:val="2"/>
                <w:sz w:val="15"/>
                <w:szCs w:val="15"/>
              </w:rPr>
            </w:pPr>
          </w:p>
        </w:tc>
        <w:tc>
          <w:tcPr>
            <w:tcW w:w="368" w:type="pct"/>
            <w:gridSpan w:val="3"/>
            <w:noWrap w:val="0"/>
            <w:vAlign w:val="center"/>
          </w:tcPr>
          <w:p>
            <w:pPr>
              <w:spacing w:after="0" w:line="240" w:lineRule="auto"/>
              <w:rPr>
                <w:rFonts w:hint="eastAsia" w:ascii="Tahoma" w:hAnsi="Tahoma" w:eastAsia="微软雅黑" w:cs="Times New Roman"/>
                <w:kern w:val="2"/>
                <w:sz w:val="15"/>
                <w:szCs w:val="15"/>
              </w:rPr>
            </w:pPr>
          </w:p>
        </w:tc>
        <w:tc>
          <w:tcPr>
            <w:tcW w:w="301" w:type="pct"/>
            <w:gridSpan w:val="2"/>
            <w:noWrap w:val="0"/>
            <w:vAlign w:val="center"/>
          </w:tcPr>
          <w:p>
            <w:pPr>
              <w:spacing w:after="0" w:line="240" w:lineRule="auto"/>
              <w:rPr>
                <w:rFonts w:hint="eastAsia" w:ascii="Tahoma" w:hAnsi="Tahoma" w:eastAsia="微软雅黑" w:cs="Times New Roman"/>
                <w:kern w:val="2"/>
                <w:sz w:val="15"/>
                <w:szCs w:val="15"/>
              </w:rPr>
            </w:pPr>
          </w:p>
        </w:tc>
        <w:tc>
          <w:tcPr>
            <w:tcW w:w="36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9" w:type="pct"/>
            <w:gridSpan w:val="2"/>
            <w:noWrap w:val="0"/>
            <w:vAlign w:val="center"/>
          </w:tcPr>
          <w:p>
            <w:pPr>
              <w:spacing w:after="0" w:line="240" w:lineRule="auto"/>
              <w:rPr>
                <w:rFonts w:hint="eastAsia" w:ascii="Tahoma" w:hAnsi="Tahoma" w:eastAsia="微软雅黑" w:cs="Times New Roman"/>
                <w:kern w:val="2"/>
                <w:sz w:val="15"/>
                <w:szCs w:val="15"/>
              </w:rPr>
            </w:pPr>
          </w:p>
        </w:tc>
        <w:tc>
          <w:tcPr>
            <w:tcW w:w="385" w:type="pct"/>
            <w:noWrap w:val="0"/>
            <w:vAlign w:val="center"/>
          </w:tcPr>
          <w:p>
            <w:pPr>
              <w:spacing w:after="0" w:line="240" w:lineRule="auto"/>
              <w:rPr>
                <w:rFonts w:hint="eastAsia" w:ascii="Tahoma" w:hAnsi="Tahoma" w:eastAsia="微软雅黑" w:cs="Times New Roman"/>
                <w:kern w:val="2"/>
                <w:sz w:val="15"/>
                <w:szCs w:val="15"/>
              </w:rPr>
            </w:pPr>
          </w:p>
        </w:tc>
        <w:tc>
          <w:tcPr>
            <w:tcW w:w="449" w:type="pct"/>
            <w:gridSpan w:val="2"/>
            <w:noWrap w:val="0"/>
            <w:vAlign w:val="center"/>
          </w:tcPr>
          <w:p>
            <w:pPr>
              <w:spacing w:after="0" w:line="240" w:lineRule="auto"/>
              <w:rPr>
                <w:rFonts w:hint="eastAsia" w:ascii="Tahoma" w:hAnsi="Tahoma" w:eastAsia="微软雅黑" w:cs="Times New Roman"/>
                <w:kern w:val="2"/>
                <w:sz w:val="15"/>
                <w:szCs w:val="15"/>
              </w:rPr>
            </w:pPr>
          </w:p>
        </w:tc>
        <w:tc>
          <w:tcPr>
            <w:tcW w:w="365" w:type="pct"/>
            <w:noWrap w:val="0"/>
            <w:vAlign w:val="center"/>
          </w:tcPr>
          <w:p>
            <w:pPr>
              <w:spacing w:after="0" w:line="240" w:lineRule="auto"/>
              <w:rPr>
                <w:rFonts w:hint="eastAsia" w:ascii="Tahoma" w:hAnsi="Tahoma" w:eastAsia="微软雅黑" w:cs="Times New Roman"/>
                <w:kern w:val="2"/>
                <w:sz w:val="15"/>
                <w:szCs w:val="15"/>
              </w:rPr>
            </w:pPr>
          </w:p>
        </w:tc>
        <w:tc>
          <w:tcPr>
            <w:tcW w:w="28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5" w:type="pct"/>
            <w:gridSpan w:val="2"/>
            <w:noWrap w:val="0"/>
            <w:vAlign w:val="center"/>
          </w:tcPr>
          <w:p>
            <w:pPr>
              <w:spacing w:after="0" w:line="240" w:lineRule="auto"/>
              <w:rPr>
                <w:rFonts w:hint="eastAsia" w:ascii="Tahoma" w:hAnsi="Tahoma" w:eastAsia="微软雅黑" w:cs="Times New Roman"/>
                <w:kern w:val="2"/>
                <w:sz w:val="15"/>
                <w:szCs w:val="15"/>
              </w:rPr>
            </w:pPr>
          </w:p>
        </w:tc>
        <w:tc>
          <w:tcPr>
            <w:tcW w:w="292" w:type="pct"/>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31" w:type="pct"/>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582" w:type="pct"/>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化学需氧量</w:t>
            </w:r>
          </w:p>
        </w:tc>
        <w:tc>
          <w:tcPr>
            <w:tcW w:w="257" w:type="pct"/>
            <w:noWrap w:val="0"/>
            <w:vAlign w:val="center"/>
          </w:tcPr>
          <w:p>
            <w:pPr>
              <w:spacing w:after="0" w:line="240" w:lineRule="auto"/>
              <w:rPr>
                <w:rFonts w:hint="eastAsia" w:ascii="Tahoma" w:hAnsi="Tahoma" w:eastAsia="微软雅黑" w:cs="Times New Roman"/>
                <w:kern w:val="2"/>
                <w:sz w:val="15"/>
                <w:szCs w:val="15"/>
              </w:rPr>
            </w:pPr>
          </w:p>
        </w:tc>
        <w:tc>
          <w:tcPr>
            <w:tcW w:w="371" w:type="pct"/>
            <w:noWrap w:val="0"/>
            <w:vAlign w:val="center"/>
          </w:tcPr>
          <w:p>
            <w:pPr>
              <w:spacing w:after="0" w:line="240" w:lineRule="auto"/>
              <w:rPr>
                <w:rFonts w:hint="eastAsia" w:ascii="Tahoma" w:hAnsi="Tahoma" w:eastAsia="微软雅黑" w:cs="Times New Roman"/>
                <w:kern w:val="2"/>
                <w:sz w:val="15"/>
                <w:szCs w:val="15"/>
              </w:rPr>
            </w:pPr>
          </w:p>
        </w:tc>
        <w:tc>
          <w:tcPr>
            <w:tcW w:w="368" w:type="pct"/>
            <w:gridSpan w:val="3"/>
            <w:noWrap w:val="0"/>
            <w:vAlign w:val="center"/>
          </w:tcPr>
          <w:p>
            <w:pPr>
              <w:spacing w:after="0" w:line="240" w:lineRule="auto"/>
              <w:rPr>
                <w:rFonts w:hint="eastAsia" w:ascii="Tahoma" w:hAnsi="Tahoma" w:eastAsia="微软雅黑" w:cs="Times New Roman"/>
                <w:kern w:val="2"/>
                <w:sz w:val="15"/>
                <w:szCs w:val="15"/>
              </w:rPr>
            </w:pPr>
          </w:p>
        </w:tc>
        <w:tc>
          <w:tcPr>
            <w:tcW w:w="301" w:type="pct"/>
            <w:gridSpan w:val="2"/>
            <w:noWrap w:val="0"/>
            <w:vAlign w:val="center"/>
          </w:tcPr>
          <w:p>
            <w:pPr>
              <w:spacing w:after="0" w:line="240" w:lineRule="auto"/>
              <w:rPr>
                <w:rFonts w:hint="eastAsia" w:ascii="Tahoma" w:hAnsi="Tahoma" w:eastAsia="微软雅黑" w:cs="Times New Roman"/>
                <w:kern w:val="2"/>
                <w:sz w:val="15"/>
                <w:szCs w:val="15"/>
              </w:rPr>
            </w:pPr>
          </w:p>
        </w:tc>
        <w:tc>
          <w:tcPr>
            <w:tcW w:w="36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9" w:type="pct"/>
            <w:gridSpan w:val="2"/>
            <w:noWrap w:val="0"/>
            <w:vAlign w:val="center"/>
          </w:tcPr>
          <w:p>
            <w:pPr>
              <w:spacing w:after="0" w:line="240" w:lineRule="auto"/>
              <w:rPr>
                <w:rFonts w:hint="eastAsia" w:ascii="Tahoma" w:hAnsi="Tahoma" w:eastAsia="微软雅黑" w:cs="Times New Roman"/>
                <w:kern w:val="2"/>
                <w:sz w:val="15"/>
                <w:szCs w:val="15"/>
              </w:rPr>
            </w:pPr>
          </w:p>
        </w:tc>
        <w:tc>
          <w:tcPr>
            <w:tcW w:w="385" w:type="pct"/>
            <w:noWrap w:val="0"/>
            <w:vAlign w:val="center"/>
          </w:tcPr>
          <w:p>
            <w:pPr>
              <w:spacing w:after="0" w:line="240" w:lineRule="auto"/>
              <w:rPr>
                <w:rFonts w:hint="eastAsia" w:ascii="Tahoma" w:hAnsi="Tahoma" w:eastAsia="微软雅黑" w:cs="Times New Roman"/>
                <w:kern w:val="2"/>
                <w:sz w:val="15"/>
                <w:szCs w:val="15"/>
              </w:rPr>
            </w:pPr>
          </w:p>
        </w:tc>
        <w:tc>
          <w:tcPr>
            <w:tcW w:w="449" w:type="pct"/>
            <w:gridSpan w:val="2"/>
            <w:noWrap w:val="0"/>
            <w:vAlign w:val="center"/>
          </w:tcPr>
          <w:p>
            <w:pPr>
              <w:spacing w:after="0" w:line="240" w:lineRule="auto"/>
              <w:rPr>
                <w:rFonts w:hint="eastAsia" w:ascii="Tahoma" w:hAnsi="Tahoma" w:eastAsia="微软雅黑" w:cs="Times New Roman"/>
                <w:kern w:val="2"/>
                <w:sz w:val="15"/>
                <w:szCs w:val="15"/>
              </w:rPr>
            </w:pPr>
          </w:p>
        </w:tc>
        <w:tc>
          <w:tcPr>
            <w:tcW w:w="365" w:type="pct"/>
            <w:noWrap w:val="0"/>
            <w:vAlign w:val="center"/>
          </w:tcPr>
          <w:p>
            <w:pPr>
              <w:spacing w:after="0" w:line="240" w:lineRule="auto"/>
              <w:rPr>
                <w:rFonts w:hint="eastAsia" w:ascii="Tahoma" w:hAnsi="Tahoma" w:eastAsia="微软雅黑" w:cs="Times New Roman"/>
                <w:kern w:val="2"/>
                <w:sz w:val="15"/>
                <w:szCs w:val="15"/>
              </w:rPr>
            </w:pPr>
          </w:p>
        </w:tc>
        <w:tc>
          <w:tcPr>
            <w:tcW w:w="28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5" w:type="pct"/>
            <w:gridSpan w:val="2"/>
            <w:noWrap w:val="0"/>
            <w:vAlign w:val="center"/>
          </w:tcPr>
          <w:p>
            <w:pPr>
              <w:spacing w:after="0" w:line="240" w:lineRule="auto"/>
              <w:rPr>
                <w:rFonts w:hint="eastAsia" w:ascii="Tahoma" w:hAnsi="Tahoma" w:eastAsia="微软雅黑" w:cs="Times New Roman"/>
                <w:kern w:val="2"/>
                <w:sz w:val="15"/>
                <w:szCs w:val="15"/>
              </w:rPr>
            </w:pPr>
          </w:p>
        </w:tc>
        <w:tc>
          <w:tcPr>
            <w:tcW w:w="292" w:type="pct"/>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31" w:type="pct"/>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582" w:type="pct"/>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氨氮</w:t>
            </w:r>
          </w:p>
        </w:tc>
        <w:tc>
          <w:tcPr>
            <w:tcW w:w="257" w:type="pct"/>
            <w:noWrap w:val="0"/>
            <w:vAlign w:val="center"/>
          </w:tcPr>
          <w:p>
            <w:pPr>
              <w:spacing w:after="0" w:line="240" w:lineRule="auto"/>
              <w:rPr>
                <w:rFonts w:hint="eastAsia" w:ascii="Tahoma" w:hAnsi="Tahoma" w:eastAsia="微软雅黑" w:cs="Times New Roman"/>
                <w:kern w:val="2"/>
                <w:sz w:val="15"/>
                <w:szCs w:val="15"/>
              </w:rPr>
            </w:pPr>
          </w:p>
        </w:tc>
        <w:tc>
          <w:tcPr>
            <w:tcW w:w="371" w:type="pct"/>
            <w:noWrap w:val="0"/>
            <w:vAlign w:val="center"/>
          </w:tcPr>
          <w:p>
            <w:pPr>
              <w:spacing w:after="0" w:line="240" w:lineRule="auto"/>
              <w:rPr>
                <w:rFonts w:hint="eastAsia" w:ascii="Tahoma" w:hAnsi="Tahoma" w:eastAsia="微软雅黑" w:cs="Times New Roman"/>
                <w:kern w:val="2"/>
                <w:sz w:val="15"/>
                <w:szCs w:val="15"/>
              </w:rPr>
            </w:pPr>
          </w:p>
        </w:tc>
        <w:tc>
          <w:tcPr>
            <w:tcW w:w="368" w:type="pct"/>
            <w:gridSpan w:val="3"/>
            <w:noWrap w:val="0"/>
            <w:vAlign w:val="center"/>
          </w:tcPr>
          <w:p>
            <w:pPr>
              <w:spacing w:after="0" w:line="240" w:lineRule="auto"/>
              <w:rPr>
                <w:rFonts w:hint="eastAsia" w:ascii="Tahoma" w:hAnsi="Tahoma" w:eastAsia="微软雅黑" w:cs="Times New Roman"/>
                <w:kern w:val="2"/>
                <w:sz w:val="15"/>
                <w:szCs w:val="15"/>
              </w:rPr>
            </w:pPr>
          </w:p>
        </w:tc>
        <w:tc>
          <w:tcPr>
            <w:tcW w:w="301" w:type="pct"/>
            <w:gridSpan w:val="2"/>
            <w:noWrap w:val="0"/>
            <w:vAlign w:val="center"/>
          </w:tcPr>
          <w:p>
            <w:pPr>
              <w:spacing w:after="0" w:line="240" w:lineRule="auto"/>
              <w:rPr>
                <w:rFonts w:hint="eastAsia" w:ascii="Tahoma" w:hAnsi="Tahoma" w:eastAsia="微软雅黑" w:cs="Times New Roman"/>
                <w:kern w:val="2"/>
                <w:sz w:val="15"/>
                <w:szCs w:val="15"/>
              </w:rPr>
            </w:pPr>
          </w:p>
        </w:tc>
        <w:tc>
          <w:tcPr>
            <w:tcW w:w="36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9" w:type="pct"/>
            <w:gridSpan w:val="2"/>
            <w:noWrap w:val="0"/>
            <w:vAlign w:val="center"/>
          </w:tcPr>
          <w:p>
            <w:pPr>
              <w:spacing w:after="0" w:line="240" w:lineRule="auto"/>
              <w:rPr>
                <w:rFonts w:hint="eastAsia" w:ascii="Tahoma" w:hAnsi="Tahoma" w:eastAsia="微软雅黑" w:cs="Times New Roman"/>
                <w:kern w:val="2"/>
                <w:sz w:val="15"/>
                <w:szCs w:val="15"/>
              </w:rPr>
            </w:pPr>
          </w:p>
        </w:tc>
        <w:tc>
          <w:tcPr>
            <w:tcW w:w="385" w:type="pct"/>
            <w:noWrap w:val="0"/>
            <w:vAlign w:val="center"/>
          </w:tcPr>
          <w:p>
            <w:pPr>
              <w:spacing w:after="0" w:line="240" w:lineRule="auto"/>
              <w:rPr>
                <w:rFonts w:hint="eastAsia" w:ascii="Tahoma" w:hAnsi="Tahoma" w:eastAsia="微软雅黑" w:cs="Times New Roman"/>
                <w:kern w:val="2"/>
                <w:sz w:val="15"/>
                <w:szCs w:val="15"/>
              </w:rPr>
            </w:pPr>
          </w:p>
        </w:tc>
        <w:tc>
          <w:tcPr>
            <w:tcW w:w="449" w:type="pct"/>
            <w:gridSpan w:val="2"/>
            <w:noWrap w:val="0"/>
            <w:vAlign w:val="center"/>
          </w:tcPr>
          <w:p>
            <w:pPr>
              <w:spacing w:after="0" w:line="240" w:lineRule="auto"/>
              <w:rPr>
                <w:rFonts w:hint="eastAsia" w:ascii="Tahoma" w:hAnsi="Tahoma" w:eastAsia="微软雅黑" w:cs="Times New Roman"/>
                <w:kern w:val="2"/>
                <w:sz w:val="15"/>
                <w:szCs w:val="15"/>
              </w:rPr>
            </w:pPr>
          </w:p>
        </w:tc>
        <w:tc>
          <w:tcPr>
            <w:tcW w:w="365" w:type="pct"/>
            <w:noWrap w:val="0"/>
            <w:vAlign w:val="center"/>
          </w:tcPr>
          <w:p>
            <w:pPr>
              <w:spacing w:after="0" w:line="240" w:lineRule="auto"/>
              <w:rPr>
                <w:rFonts w:hint="eastAsia" w:ascii="Tahoma" w:hAnsi="Tahoma" w:eastAsia="微软雅黑" w:cs="Times New Roman"/>
                <w:kern w:val="2"/>
                <w:sz w:val="15"/>
                <w:szCs w:val="15"/>
              </w:rPr>
            </w:pPr>
          </w:p>
        </w:tc>
        <w:tc>
          <w:tcPr>
            <w:tcW w:w="28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5" w:type="pct"/>
            <w:gridSpan w:val="2"/>
            <w:noWrap w:val="0"/>
            <w:vAlign w:val="center"/>
          </w:tcPr>
          <w:p>
            <w:pPr>
              <w:spacing w:after="0" w:line="240" w:lineRule="auto"/>
              <w:rPr>
                <w:rFonts w:hint="eastAsia" w:ascii="Tahoma" w:hAnsi="Tahoma" w:eastAsia="微软雅黑" w:cs="Times New Roman"/>
                <w:kern w:val="2"/>
                <w:sz w:val="15"/>
                <w:szCs w:val="15"/>
              </w:rPr>
            </w:pPr>
          </w:p>
        </w:tc>
        <w:tc>
          <w:tcPr>
            <w:tcW w:w="292" w:type="pct"/>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31" w:type="pct"/>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582" w:type="pct"/>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石油类</w:t>
            </w:r>
          </w:p>
        </w:tc>
        <w:tc>
          <w:tcPr>
            <w:tcW w:w="257" w:type="pct"/>
            <w:noWrap w:val="0"/>
            <w:vAlign w:val="center"/>
          </w:tcPr>
          <w:p>
            <w:pPr>
              <w:spacing w:after="0" w:line="240" w:lineRule="auto"/>
              <w:rPr>
                <w:rFonts w:hint="eastAsia" w:ascii="Tahoma" w:hAnsi="Tahoma" w:eastAsia="微软雅黑" w:cs="Times New Roman"/>
                <w:kern w:val="2"/>
                <w:sz w:val="15"/>
                <w:szCs w:val="15"/>
              </w:rPr>
            </w:pPr>
          </w:p>
        </w:tc>
        <w:tc>
          <w:tcPr>
            <w:tcW w:w="371" w:type="pct"/>
            <w:noWrap w:val="0"/>
            <w:vAlign w:val="center"/>
          </w:tcPr>
          <w:p>
            <w:pPr>
              <w:spacing w:after="0" w:line="240" w:lineRule="auto"/>
              <w:rPr>
                <w:rFonts w:hint="eastAsia" w:ascii="Tahoma" w:hAnsi="Tahoma" w:eastAsia="微软雅黑" w:cs="Times New Roman"/>
                <w:kern w:val="2"/>
                <w:sz w:val="15"/>
                <w:szCs w:val="15"/>
              </w:rPr>
            </w:pPr>
          </w:p>
        </w:tc>
        <w:tc>
          <w:tcPr>
            <w:tcW w:w="368" w:type="pct"/>
            <w:gridSpan w:val="3"/>
            <w:noWrap w:val="0"/>
            <w:vAlign w:val="center"/>
          </w:tcPr>
          <w:p>
            <w:pPr>
              <w:spacing w:after="0" w:line="240" w:lineRule="auto"/>
              <w:rPr>
                <w:rFonts w:hint="eastAsia" w:ascii="Tahoma" w:hAnsi="Tahoma" w:eastAsia="微软雅黑" w:cs="Times New Roman"/>
                <w:kern w:val="2"/>
                <w:sz w:val="15"/>
                <w:szCs w:val="15"/>
              </w:rPr>
            </w:pPr>
          </w:p>
        </w:tc>
        <w:tc>
          <w:tcPr>
            <w:tcW w:w="301" w:type="pct"/>
            <w:gridSpan w:val="2"/>
            <w:noWrap w:val="0"/>
            <w:vAlign w:val="center"/>
          </w:tcPr>
          <w:p>
            <w:pPr>
              <w:spacing w:after="0" w:line="240" w:lineRule="auto"/>
              <w:rPr>
                <w:rFonts w:hint="eastAsia" w:ascii="Tahoma" w:hAnsi="Tahoma" w:eastAsia="微软雅黑" w:cs="Times New Roman"/>
                <w:kern w:val="2"/>
                <w:sz w:val="15"/>
                <w:szCs w:val="15"/>
              </w:rPr>
            </w:pPr>
          </w:p>
        </w:tc>
        <w:tc>
          <w:tcPr>
            <w:tcW w:w="36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9" w:type="pct"/>
            <w:gridSpan w:val="2"/>
            <w:noWrap w:val="0"/>
            <w:vAlign w:val="center"/>
          </w:tcPr>
          <w:p>
            <w:pPr>
              <w:spacing w:after="0" w:line="240" w:lineRule="auto"/>
              <w:rPr>
                <w:rFonts w:hint="eastAsia" w:ascii="Tahoma" w:hAnsi="Tahoma" w:eastAsia="微软雅黑" w:cs="Times New Roman"/>
                <w:kern w:val="2"/>
                <w:sz w:val="15"/>
                <w:szCs w:val="15"/>
              </w:rPr>
            </w:pPr>
          </w:p>
        </w:tc>
        <w:tc>
          <w:tcPr>
            <w:tcW w:w="385" w:type="pct"/>
            <w:noWrap w:val="0"/>
            <w:vAlign w:val="center"/>
          </w:tcPr>
          <w:p>
            <w:pPr>
              <w:spacing w:after="0" w:line="240" w:lineRule="auto"/>
              <w:rPr>
                <w:rFonts w:hint="eastAsia" w:ascii="Tahoma" w:hAnsi="Tahoma" w:eastAsia="微软雅黑" w:cs="Times New Roman"/>
                <w:kern w:val="2"/>
                <w:sz w:val="15"/>
                <w:szCs w:val="15"/>
              </w:rPr>
            </w:pPr>
          </w:p>
        </w:tc>
        <w:tc>
          <w:tcPr>
            <w:tcW w:w="449" w:type="pct"/>
            <w:gridSpan w:val="2"/>
            <w:noWrap w:val="0"/>
            <w:vAlign w:val="center"/>
          </w:tcPr>
          <w:p>
            <w:pPr>
              <w:spacing w:after="0" w:line="240" w:lineRule="auto"/>
              <w:rPr>
                <w:rFonts w:hint="eastAsia" w:ascii="Tahoma" w:hAnsi="Tahoma" w:eastAsia="微软雅黑" w:cs="Times New Roman"/>
                <w:kern w:val="2"/>
                <w:sz w:val="15"/>
                <w:szCs w:val="15"/>
              </w:rPr>
            </w:pPr>
          </w:p>
        </w:tc>
        <w:tc>
          <w:tcPr>
            <w:tcW w:w="365" w:type="pct"/>
            <w:noWrap w:val="0"/>
            <w:vAlign w:val="center"/>
          </w:tcPr>
          <w:p>
            <w:pPr>
              <w:spacing w:after="0" w:line="240" w:lineRule="auto"/>
              <w:rPr>
                <w:rFonts w:hint="eastAsia" w:ascii="Tahoma" w:hAnsi="Tahoma" w:eastAsia="微软雅黑" w:cs="Times New Roman"/>
                <w:kern w:val="2"/>
                <w:sz w:val="15"/>
                <w:szCs w:val="15"/>
              </w:rPr>
            </w:pPr>
          </w:p>
        </w:tc>
        <w:tc>
          <w:tcPr>
            <w:tcW w:w="28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5" w:type="pct"/>
            <w:gridSpan w:val="2"/>
            <w:noWrap w:val="0"/>
            <w:vAlign w:val="center"/>
          </w:tcPr>
          <w:p>
            <w:pPr>
              <w:spacing w:after="0" w:line="240" w:lineRule="auto"/>
              <w:rPr>
                <w:rFonts w:hint="eastAsia" w:ascii="Tahoma" w:hAnsi="Tahoma" w:eastAsia="微软雅黑" w:cs="Times New Roman"/>
                <w:kern w:val="2"/>
                <w:sz w:val="15"/>
                <w:szCs w:val="15"/>
              </w:rPr>
            </w:pPr>
          </w:p>
        </w:tc>
        <w:tc>
          <w:tcPr>
            <w:tcW w:w="292" w:type="pct"/>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31" w:type="pct"/>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582" w:type="pct"/>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废气</w:t>
            </w:r>
          </w:p>
        </w:tc>
        <w:tc>
          <w:tcPr>
            <w:tcW w:w="257" w:type="pct"/>
            <w:noWrap w:val="0"/>
            <w:vAlign w:val="center"/>
          </w:tcPr>
          <w:p>
            <w:pPr>
              <w:spacing w:after="0" w:line="240" w:lineRule="auto"/>
              <w:rPr>
                <w:rFonts w:hint="eastAsia" w:ascii="Tahoma" w:hAnsi="Tahoma" w:eastAsia="微软雅黑" w:cs="Times New Roman"/>
                <w:kern w:val="2"/>
                <w:sz w:val="15"/>
                <w:szCs w:val="15"/>
              </w:rPr>
            </w:pPr>
          </w:p>
        </w:tc>
        <w:tc>
          <w:tcPr>
            <w:tcW w:w="371" w:type="pct"/>
            <w:noWrap w:val="0"/>
            <w:vAlign w:val="center"/>
          </w:tcPr>
          <w:p>
            <w:pPr>
              <w:spacing w:after="0" w:line="240" w:lineRule="auto"/>
              <w:rPr>
                <w:rFonts w:hint="eastAsia" w:ascii="Tahoma" w:hAnsi="Tahoma" w:eastAsia="微软雅黑" w:cs="Times New Roman"/>
                <w:kern w:val="2"/>
                <w:sz w:val="15"/>
                <w:szCs w:val="15"/>
              </w:rPr>
            </w:pPr>
          </w:p>
        </w:tc>
        <w:tc>
          <w:tcPr>
            <w:tcW w:w="368" w:type="pct"/>
            <w:gridSpan w:val="3"/>
            <w:noWrap w:val="0"/>
            <w:vAlign w:val="center"/>
          </w:tcPr>
          <w:p>
            <w:pPr>
              <w:spacing w:after="0" w:line="240" w:lineRule="auto"/>
              <w:rPr>
                <w:rFonts w:hint="eastAsia" w:ascii="Tahoma" w:hAnsi="Tahoma" w:eastAsia="微软雅黑" w:cs="Times New Roman"/>
                <w:kern w:val="2"/>
                <w:sz w:val="15"/>
                <w:szCs w:val="15"/>
              </w:rPr>
            </w:pPr>
          </w:p>
        </w:tc>
        <w:tc>
          <w:tcPr>
            <w:tcW w:w="301" w:type="pct"/>
            <w:gridSpan w:val="2"/>
            <w:noWrap w:val="0"/>
            <w:vAlign w:val="center"/>
          </w:tcPr>
          <w:p>
            <w:pPr>
              <w:spacing w:after="0" w:line="240" w:lineRule="auto"/>
              <w:rPr>
                <w:rFonts w:hint="eastAsia" w:ascii="Tahoma" w:hAnsi="Tahoma" w:eastAsia="微软雅黑" w:cs="Times New Roman"/>
                <w:kern w:val="2"/>
                <w:sz w:val="15"/>
                <w:szCs w:val="15"/>
              </w:rPr>
            </w:pPr>
          </w:p>
        </w:tc>
        <w:tc>
          <w:tcPr>
            <w:tcW w:w="36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9" w:type="pct"/>
            <w:gridSpan w:val="2"/>
            <w:noWrap w:val="0"/>
            <w:vAlign w:val="center"/>
          </w:tcPr>
          <w:p>
            <w:pPr>
              <w:spacing w:after="0" w:line="240" w:lineRule="auto"/>
              <w:rPr>
                <w:rFonts w:hint="eastAsia" w:ascii="Tahoma" w:hAnsi="Tahoma" w:eastAsia="微软雅黑" w:cs="Times New Roman"/>
                <w:kern w:val="2"/>
                <w:sz w:val="15"/>
                <w:szCs w:val="15"/>
              </w:rPr>
            </w:pPr>
          </w:p>
        </w:tc>
        <w:tc>
          <w:tcPr>
            <w:tcW w:w="385" w:type="pct"/>
            <w:noWrap w:val="0"/>
            <w:vAlign w:val="center"/>
          </w:tcPr>
          <w:p>
            <w:pPr>
              <w:spacing w:after="0" w:line="240" w:lineRule="auto"/>
              <w:rPr>
                <w:rFonts w:hint="eastAsia" w:ascii="Tahoma" w:hAnsi="Tahoma" w:eastAsia="微软雅黑" w:cs="Times New Roman"/>
                <w:kern w:val="2"/>
                <w:sz w:val="15"/>
                <w:szCs w:val="15"/>
              </w:rPr>
            </w:pPr>
          </w:p>
        </w:tc>
        <w:tc>
          <w:tcPr>
            <w:tcW w:w="449" w:type="pct"/>
            <w:gridSpan w:val="2"/>
            <w:noWrap w:val="0"/>
            <w:vAlign w:val="center"/>
          </w:tcPr>
          <w:p>
            <w:pPr>
              <w:spacing w:after="0" w:line="240" w:lineRule="auto"/>
              <w:rPr>
                <w:rFonts w:hint="eastAsia" w:ascii="Tahoma" w:hAnsi="Tahoma" w:eastAsia="微软雅黑" w:cs="Times New Roman"/>
                <w:kern w:val="2"/>
                <w:sz w:val="15"/>
                <w:szCs w:val="15"/>
              </w:rPr>
            </w:pPr>
          </w:p>
        </w:tc>
        <w:tc>
          <w:tcPr>
            <w:tcW w:w="365" w:type="pct"/>
            <w:noWrap w:val="0"/>
            <w:vAlign w:val="center"/>
          </w:tcPr>
          <w:p>
            <w:pPr>
              <w:spacing w:after="0" w:line="240" w:lineRule="auto"/>
              <w:rPr>
                <w:rFonts w:hint="eastAsia" w:ascii="Tahoma" w:hAnsi="Tahoma" w:eastAsia="微软雅黑" w:cs="Times New Roman"/>
                <w:kern w:val="2"/>
                <w:sz w:val="15"/>
                <w:szCs w:val="15"/>
              </w:rPr>
            </w:pPr>
          </w:p>
        </w:tc>
        <w:tc>
          <w:tcPr>
            <w:tcW w:w="28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5" w:type="pct"/>
            <w:gridSpan w:val="2"/>
            <w:noWrap w:val="0"/>
            <w:vAlign w:val="center"/>
          </w:tcPr>
          <w:p>
            <w:pPr>
              <w:spacing w:after="0" w:line="240" w:lineRule="auto"/>
              <w:rPr>
                <w:rFonts w:hint="eastAsia" w:ascii="Tahoma" w:hAnsi="Tahoma" w:eastAsia="微软雅黑" w:cs="Times New Roman"/>
                <w:kern w:val="2"/>
                <w:sz w:val="15"/>
                <w:szCs w:val="15"/>
              </w:rPr>
            </w:pPr>
          </w:p>
        </w:tc>
        <w:tc>
          <w:tcPr>
            <w:tcW w:w="292" w:type="pct"/>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31" w:type="pct"/>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582" w:type="pct"/>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二氧化硫</w:t>
            </w:r>
          </w:p>
        </w:tc>
        <w:tc>
          <w:tcPr>
            <w:tcW w:w="257" w:type="pct"/>
            <w:noWrap w:val="0"/>
            <w:vAlign w:val="center"/>
          </w:tcPr>
          <w:p>
            <w:pPr>
              <w:spacing w:after="0" w:line="240" w:lineRule="auto"/>
              <w:rPr>
                <w:rFonts w:hint="eastAsia" w:ascii="Tahoma" w:hAnsi="Tahoma" w:eastAsia="微软雅黑" w:cs="Times New Roman"/>
                <w:kern w:val="2"/>
                <w:sz w:val="15"/>
                <w:szCs w:val="15"/>
              </w:rPr>
            </w:pPr>
          </w:p>
        </w:tc>
        <w:tc>
          <w:tcPr>
            <w:tcW w:w="371" w:type="pct"/>
            <w:noWrap w:val="0"/>
            <w:vAlign w:val="center"/>
          </w:tcPr>
          <w:p>
            <w:pPr>
              <w:spacing w:after="0" w:line="240" w:lineRule="auto"/>
              <w:rPr>
                <w:rFonts w:hint="eastAsia" w:ascii="Tahoma" w:hAnsi="Tahoma" w:eastAsia="微软雅黑" w:cs="Times New Roman"/>
                <w:kern w:val="2"/>
                <w:sz w:val="15"/>
                <w:szCs w:val="15"/>
              </w:rPr>
            </w:pPr>
          </w:p>
        </w:tc>
        <w:tc>
          <w:tcPr>
            <w:tcW w:w="368" w:type="pct"/>
            <w:gridSpan w:val="3"/>
            <w:noWrap w:val="0"/>
            <w:vAlign w:val="center"/>
          </w:tcPr>
          <w:p>
            <w:pPr>
              <w:spacing w:after="0" w:line="240" w:lineRule="auto"/>
              <w:rPr>
                <w:rFonts w:hint="eastAsia" w:ascii="Tahoma" w:hAnsi="Tahoma" w:eastAsia="微软雅黑" w:cs="Times New Roman"/>
                <w:kern w:val="2"/>
                <w:sz w:val="15"/>
                <w:szCs w:val="15"/>
              </w:rPr>
            </w:pPr>
          </w:p>
        </w:tc>
        <w:tc>
          <w:tcPr>
            <w:tcW w:w="301" w:type="pct"/>
            <w:gridSpan w:val="2"/>
            <w:noWrap w:val="0"/>
            <w:vAlign w:val="center"/>
          </w:tcPr>
          <w:p>
            <w:pPr>
              <w:spacing w:after="0" w:line="240" w:lineRule="auto"/>
              <w:rPr>
                <w:rFonts w:hint="eastAsia" w:ascii="Tahoma" w:hAnsi="Tahoma" w:eastAsia="微软雅黑" w:cs="Times New Roman"/>
                <w:kern w:val="2"/>
                <w:sz w:val="15"/>
                <w:szCs w:val="15"/>
              </w:rPr>
            </w:pPr>
          </w:p>
        </w:tc>
        <w:tc>
          <w:tcPr>
            <w:tcW w:w="36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9" w:type="pct"/>
            <w:gridSpan w:val="2"/>
            <w:noWrap w:val="0"/>
            <w:vAlign w:val="center"/>
          </w:tcPr>
          <w:p>
            <w:pPr>
              <w:spacing w:after="0" w:line="240" w:lineRule="auto"/>
              <w:rPr>
                <w:rFonts w:hint="eastAsia" w:ascii="Tahoma" w:hAnsi="Tahoma" w:eastAsia="微软雅黑" w:cs="Times New Roman"/>
                <w:kern w:val="2"/>
                <w:sz w:val="15"/>
                <w:szCs w:val="15"/>
              </w:rPr>
            </w:pPr>
          </w:p>
        </w:tc>
        <w:tc>
          <w:tcPr>
            <w:tcW w:w="385" w:type="pct"/>
            <w:noWrap w:val="0"/>
            <w:vAlign w:val="center"/>
          </w:tcPr>
          <w:p>
            <w:pPr>
              <w:spacing w:after="0" w:line="240" w:lineRule="auto"/>
              <w:rPr>
                <w:rFonts w:hint="eastAsia" w:ascii="Tahoma" w:hAnsi="Tahoma" w:eastAsia="微软雅黑" w:cs="Times New Roman"/>
                <w:kern w:val="2"/>
                <w:sz w:val="15"/>
                <w:szCs w:val="15"/>
              </w:rPr>
            </w:pPr>
          </w:p>
        </w:tc>
        <w:tc>
          <w:tcPr>
            <w:tcW w:w="449" w:type="pct"/>
            <w:gridSpan w:val="2"/>
            <w:noWrap w:val="0"/>
            <w:vAlign w:val="center"/>
          </w:tcPr>
          <w:p>
            <w:pPr>
              <w:spacing w:after="0" w:line="240" w:lineRule="auto"/>
              <w:rPr>
                <w:rFonts w:hint="eastAsia" w:ascii="Tahoma" w:hAnsi="Tahoma" w:eastAsia="微软雅黑" w:cs="Times New Roman"/>
                <w:kern w:val="2"/>
                <w:sz w:val="15"/>
                <w:szCs w:val="15"/>
              </w:rPr>
            </w:pPr>
          </w:p>
        </w:tc>
        <w:tc>
          <w:tcPr>
            <w:tcW w:w="365" w:type="pct"/>
            <w:noWrap w:val="0"/>
            <w:vAlign w:val="center"/>
          </w:tcPr>
          <w:p>
            <w:pPr>
              <w:spacing w:after="0" w:line="240" w:lineRule="auto"/>
              <w:rPr>
                <w:rFonts w:hint="eastAsia" w:ascii="Tahoma" w:hAnsi="Tahoma" w:eastAsia="微软雅黑" w:cs="Times New Roman"/>
                <w:kern w:val="2"/>
                <w:sz w:val="15"/>
                <w:szCs w:val="15"/>
              </w:rPr>
            </w:pPr>
          </w:p>
        </w:tc>
        <w:tc>
          <w:tcPr>
            <w:tcW w:w="28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5" w:type="pct"/>
            <w:gridSpan w:val="2"/>
            <w:noWrap w:val="0"/>
            <w:vAlign w:val="center"/>
          </w:tcPr>
          <w:p>
            <w:pPr>
              <w:spacing w:after="0" w:line="240" w:lineRule="auto"/>
              <w:rPr>
                <w:rFonts w:hint="eastAsia" w:ascii="Tahoma" w:hAnsi="Tahoma" w:eastAsia="微软雅黑" w:cs="Times New Roman"/>
                <w:kern w:val="2"/>
                <w:sz w:val="15"/>
                <w:szCs w:val="15"/>
              </w:rPr>
            </w:pPr>
          </w:p>
        </w:tc>
        <w:tc>
          <w:tcPr>
            <w:tcW w:w="292" w:type="pct"/>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31" w:type="pct"/>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582" w:type="pct"/>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烟尘</w:t>
            </w:r>
          </w:p>
        </w:tc>
        <w:tc>
          <w:tcPr>
            <w:tcW w:w="257" w:type="pct"/>
            <w:noWrap w:val="0"/>
            <w:vAlign w:val="center"/>
          </w:tcPr>
          <w:p>
            <w:pPr>
              <w:spacing w:after="0" w:line="240" w:lineRule="auto"/>
              <w:rPr>
                <w:rFonts w:hint="eastAsia" w:ascii="Tahoma" w:hAnsi="Tahoma" w:eastAsia="微软雅黑" w:cs="Times New Roman"/>
                <w:kern w:val="2"/>
                <w:sz w:val="15"/>
                <w:szCs w:val="15"/>
              </w:rPr>
            </w:pPr>
          </w:p>
        </w:tc>
        <w:tc>
          <w:tcPr>
            <w:tcW w:w="371" w:type="pct"/>
            <w:noWrap w:val="0"/>
            <w:vAlign w:val="center"/>
          </w:tcPr>
          <w:p>
            <w:pPr>
              <w:spacing w:after="0" w:line="240" w:lineRule="auto"/>
              <w:rPr>
                <w:rFonts w:hint="eastAsia" w:ascii="Tahoma" w:hAnsi="Tahoma" w:eastAsia="微软雅黑" w:cs="Times New Roman"/>
                <w:kern w:val="2"/>
                <w:sz w:val="15"/>
                <w:szCs w:val="15"/>
              </w:rPr>
            </w:pPr>
          </w:p>
        </w:tc>
        <w:tc>
          <w:tcPr>
            <w:tcW w:w="368" w:type="pct"/>
            <w:gridSpan w:val="3"/>
            <w:noWrap w:val="0"/>
            <w:vAlign w:val="center"/>
          </w:tcPr>
          <w:p>
            <w:pPr>
              <w:spacing w:after="0" w:line="240" w:lineRule="auto"/>
              <w:rPr>
                <w:rFonts w:hint="eastAsia" w:ascii="Tahoma" w:hAnsi="Tahoma" w:eastAsia="微软雅黑" w:cs="Times New Roman"/>
                <w:kern w:val="2"/>
                <w:sz w:val="15"/>
                <w:szCs w:val="15"/>
              </w:rPr>
            </w:pPr>
          </w:p>
        </w:tc>
        <w:tc>
          <w:tcPr>
            <w:tcW w:w="301" w:type="pct"/>
            <w:gridSpan w:val="2"/>
            <w:noWrap w:val="0"/>
            <w:vAlign w:val="center"/>
          </w:tcPr>
          <w:p>
            <w:pPr>
              <w:spacing w:after="0" w:line="240" w:lineRule="auto"/>
              <w:rPr>
                <w:rFonts w:hint="eastAsia" w:ascii="Tahoma" w:hAnsi="Tahoma" w:eastAsia="微软雅黑" w:cs="Times New Roman"/>
                <w:kern w:val="2"/>
                <w:sz w:val="15"/>
                <w:szCs w:val="15"/>
              </w:rPr>
            </w:pPr>
          </w:p>
        </w:tc>
        <w:tc>
          <w:tcPr>
            <w:tcW w:w="36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9" w:type="pct"/>
            <w:gridSpan w:val="2"/>
            <w:noWrap w:val="0"/>
            <w:vAlign w:val="center"/>
          </w:tcPr>
          <w:p>
            <w:pPr>
              <w:spacing w:after="0" w:line="240" w:lineRule="auto"/>
              <w:rPr>
                <w:rFonts w:hint="eastAsia" w:ascii="Tahoma" w:hAnsi="Tahoma" w:eastAsia="微软雅黑" w:cs="Times New Roman"/>
                <w:kern w:val="2"/>
                <w:sz w:val="15"/>
                <w:szCs w:val="15"/>
              </w:rPr>
            </w:pPr>
          </w:p>
        </w:tc>
        <w:tc>
          <w:tcPr>
            <w:tcW w:w="385" w:type="pct"/>
            <w:noWrap w:val="0"/>
            <w:vAlign w:val="center"/>
          </w:tcPr>
          <w:p>
            <w:pPr>
              <w:spacing w:after="0" w:line="240" w:lineRule="auto"/>
              <w:rPr>
                <w:rFonts w:hint="eastAsia" w:ascii="Tahoma" w:hAnsi="Tahoma" w:eastAsia="微软雅黑" w:cs="Times New Roman"/>
                <w:kern w:val="2"/>
                <w:sz w:val="15"/>
                <w:szCs w:val="15"/>
              </w:rPr>
            </w:pPr>
          </w:p>
        </w:tc>
        <w:tc>
          <w:tcPr>
            <w:tcW w:w="449" w:type="pct"/>
            <w:gridSpan w:val="2"/>
            <w:noWrap w:val="0"/>
            <w:vAlign w:val="center"/>
          </w:tcPr>
          <w:p>
            <w:pPr>
              <w:spacing w:after="0" w:line="240" w:lineRule="auto"/>
              <w:rPr>
                <w:rFonts w:hint="eastAsia" w:ascii="Tahoma" w:hAnsi="Tahoma" w:eastAsia="微软雅黑" w:cs="Times New Roman"/>
                <w:kern w:val="2"/>
                <w:sz w:val="15"/>
                <w:szCs w:val="15"/>
              </w:rPr>
            </w:pPr>
          </w:p>
        </w:tc>
        <w:tc>
          <w:tcPr>
            <w:tcW w:w="365" w:type="pct"/>
            <w:noWrap w:val="0"/>
            <w:vAlign w:val="center"/>
          </w:tcPr>
          <w:p>
            <w:pPr>
              <w:spacing w:after="0" w:line="240" w:lineRule="auto"/>
              <w:rPr>
                <w:rFonts w:hint="eastAsia" w:ascii="Tahoma" w:hAnsi="Tahoma" w:eastAsia="微软雅黑" w:cs="Times New Roman"/>
                <w:kern w:val="2"/>
                <w:sz w:val="15"/>
                <w:szCs w:val="15"/>
              </w:rPr>
            </w:pPr>
          </w:p>
        </w:tc>
        <w:tc>
          <w:tcPr>
            <w:tcW w:w="28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5" w:type="pct"/>
            <w:gridSpan w:val="2"/>
            <w:noWrap w:val="0"/>
            <w:vAlign w:val="center"/>
          </w:tcPr>
          <w:p>
            <w:pPr>
              <w:spacing w:after="0" w:line="240" w:lineRule="auto"/>
              <w:rPr>
                <w:rFonts w:hint="eastAsia" w:ascii="Tahoma" w:hAnsi="Tahoma" w:eastAsia="微软雅黑" w:cs="Times New Roman"/>
                <w:kern w:val="2"/>
                <w:sz w:val="15"/>
                <w:szCs w:val="15"/>
              </w:rPr>
            </w:pPr>
          </w:p>
        </w:tc>
        <w:tc>
          <w:tcPr>
            <w:tcW w:w="292" w:type="pct"/>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31" w:type="pct"/>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582" w:type="pct"/>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工业粉尘</w:t>
            </w:r>
          </w:p>
        </w:tc>
        <w:tc>
          <w:tcPr>
            <w:tcW w:w="257" w:type="pct"/>
            <w:noWrap w:val="0"/>
            <w:vAlign w:val="center"/>
          </w:tcPr>
          <w:p>
            <w:pPr>
              <w:spacing w:after="0" w:line="240" w:lineRule="auto"/>
              <w:rPr>
                <w:rFonts w:hint="eastAsia" w:ascii="Tahoma" w:hAnsi="Tahoma" w:eastAsia="微软雅黑" w:cs="Times New Roman"/>
                <w:kern w:val="2"/>
                <w:sz w:val="15"/>
                <w:szCs w:val="15"/>
              </w:rPr>
            </w:pPr>
          </w:p>
        </w:tc>
        <w:tc>
          <w:tcPr>
            <w:tcW w:w="371" w:type="pct"/>
            <w:noWrap w:val="0"/>
            <w:vAlign w:val="center"/>
          </w:tcPr>
          <w:p>
            <w:pPr>
              <w:spacing w:after="0" w:line="240" w:lineRule="auto"/>
              <w:rPr>
                <w:rFonts w:hint="eastAsia" w:ascii="Tahoma" w:hAnsi="Tahoma" w:eastAsia="微软雅黑" w:cs="Times New Roman"/>
                <w:kern w:val="2"/>
                <w:sz w:val="15"/>
                <w:szCs w:val="15"/>
              </w:rPr>
            </w:pPr>
          </w:p>
        </w:tc>
        <w:tc>
          <w:tcPr>
            <w:tcW w:w="368" w:type="pct"/>
            <w:gridSpan w:val="3"/>
            <w:noWrap w:val="0"/>
            <w:vAlign w:val="center"/>
          </w:tcPr>
          <w:p>
            <w:pPr>
              <w:spacing w:after="0" w:line="240" w:lineRule="auto"/>
              <w:rPr>
                <w:rFonts w:hint="eastAsia" w:ascii="Tahoma" w:hAnsi="Tahoma" w:eastAsia="微软雅黑" w:cs="Times New Roman"/>
                <w:kern w:val="2"/>
                <w:sz w:val="15"/>
                <w:szCs w:val="15"/>
              </w:rPr>
            </w:pPr>
          </w:p>
        </w:tc>
        <w:tc>
          <w:tcPr>
            <w:tcW w:w="301" w:type="pct"/>
            <w:gridSpan w:val="2"/>
            <w:noWrap w:val="0"/>
            <w:vAlign w:val="center"/>
          </w:tcPr>
          <w:p>
            <w:pPr>
              <w:spacing w:after="0" w:line="240" w:lineRule="auto"/>
              <w:rPr>
                <w:rFonts w:hint="eastAsia" w:ascii="Tahoma" w:hAnsi="Tahoma" w:eastAsia="微软雅黑" w:cs="Times New Roman"/>
                <w:kern w:val="2"/>
                <w:sz w:val="15"/>
                <w:szCs w:val="15"/>
              </w:rPr>
            </w:pPr>
          </w:p>
        </w:tc>
        <w:tc>
          <w:tcPr>
            <w:tcW w:w="36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9" w:type="pct"/>
            <w:gridSpan w:val="2"/>
            <w:noWrap w:val="0"/>
            <w:vAlign w:val="center"/>
          </w:tcPr>
          <w:p>
            <w:pPr>
              <w:spacing w:after="0" w:line="240" w:lineRule="auto"/>
              <w:rPr>
                <w:rFonts w:hint="eastAsia" w:ascii="Tahoma" w:hAnsi="Tahoma" w:eastAsia="微软雅黑" w:cs="Times New Roman"/>
                <w:kern w:val="2"/>
                <w:sz w:val="15"/>
                <w:szCs w:val="15"/>
              </w:rPr>
            </w:pPr>
          </w:p>
        </w:tc>
        <w:tc>
          <w:tcPr>
            <w:tcW w:w="385" w:type="pct"/>
            <w:noWrap w:val="0"/>
            <w:vAlign w:val="center"/>
          </w:tcPr>
          <w:p>
            <w:pPr>
              <w:spacing w:after="0" w:line="240" w:lineRule="auto"/>
              <w:rPr>
                <w:rFonts w:hint="eastAsia" w:ascii="Tahoma" w:hAnsi="Tahoma" w:eastAsia="微软雅黑" w:cs="Times New Roman"/>
                <w:kern w:val="2"/>
                <w:sz w:val="15"/>
                <w:szCs w:val="15"/>
              </w:rPr>
            </w:pPr>
          </w:p>
        </w:tc>
        <w:tc>
          <w:tcPr>
            <w:tcW w:w="449" w:type="pct"/>
            <w:gridSpan w:val="2"/>
            <w:noWrap w:val="0"/>
            <w:vAlign w:val="center"/>
          </w:tcPr>
          <w:p>
            <w:pPr>
              <w:spacing w:after="0" w:line="240" w:lineRule="auto"/>
              <w:rPr>
                <w:rFonts w:hint="eastAsia" w:ascii="Tahoma" w:hAnsi="Tahoma" w:eastAsia="微软雅黑" w:cs="Times New Roman"/>
                <w:kern w:val="2"/>
                <w:sz w:val="15"/>
                <w:szCs w:val="15"/>
              </w:rPr>
            </w:pPr>
          </w:p>
        </w:tc>
        <w:tc>
          <w:tcPr>
            <w:tcW w:w="365" w:type="pct"/>
            <w:noWrap w:val="0"/>
            <w:vAlign w:val="center"/>
          </w:tcPr>
          <w:p>
            <w:pPr>
              <w:spacing w:after="0" w:line="240" w:lineRule="auto"/>
              <w:rPr>
                <w:rFonts w:hint="eastAsia" w:ascii="Tahoma" w:hAnsi="Tahoma" w:eastAsia="微软雅黑" w:cs="Times New Roman"/>
                <w:kern w:val="2"/>
                <w:sz w:val="15"/>
                <w:szCs w:val="15"/>
              </w:rPr>
            </w:pPr>
          </w:p>
        </w:tc>
        <w:tc>
          <w:tcPr>
            <w:tcW w:w="28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5" w:type="pct"/>
            <w:gridSpan w:val="2"/>
            <w:noWrap w:val="0"/>
            <w:vAlign w:val="center"/>
          </w:tcPr>
          <w:p>
            <w:pPr>
              <w:spacing w:after="0" w:line="240" w:lineRule="auto"/>
              <w:rPr>
                <w:rFonts w:hint="eastAsia" w:ascii="Tahoma" w:hAnsi="Tahoma" w:eastAsia="微软雅黑" w:cs="Times New Roman"/>
                <w:kern w:val="2"/>
                <w:sz w:val="15"/>
                <w:szCs w:val="15"/>
              </w:rPr>
            </w:pPr>
          </w:p>
        </w:tc>
        <w:tc>
          <w:tcPr>
            <w:tcW w:w="292" w:type="pct"/>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31" w:type="pct"/>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582" w:type="pct"/>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氮氧化物</w:t>
            </w:r>
          </w:p>
        </w:tc>
        <w:tc>
          <w:tcPr>
            <w:tcW w:w="257" w:type="pct"/>
            <w:noWrap w:val="0"/>
            <w:vAlign w:val="center"/>
          </w:tcPr>
          <w:p>
            <w:pPr>
              <w:spacing w:after="0" w:line="240" w:lineRule="auto"/>
              <w:rPr>
                <w:rFonts w:hint="eastAsia" w:ascii="Tahoma" w:hAnsi="Tahoma" w:eastAsia="微软雅黑" w:cs="Times New Roman"/>
                <w:kern w:val="2"/>
                <w:sz w:val="15"/>
                <w:szCs w:val="15"/>
              </w:rPr>
            </w:pPr>
          </w:p>
        </w:tc>
        <w:tc>
          <w:tcPr>
            <w:tcW w:w="371" w:type="pct"/>
            <w:noWrap w:val="0"/>
            <w:vAlign w:val="center"/>
          </w:tcPr>
          <w:p>
            <w:pPr>
              <w:spacing w:after="0" w:line="240" w:lineRule="auto"/>
              <w:rPr>
                <w:rFonts w:hint="eastAsia" w:ascii="Tahoma" w:hAnsi="Tahoma" w:eastAsia="微软雅黑" w:cs="Times New Roman"/>
                <w:kern w:val="2"/>
                <w:sz w:val="15"/>
                <w:szCs w:val="15"/>
              </w:rPr>
            </w:pPr>
          </w:p>
        </w:tc>
        <w:tc>
          <w:tcPr>
            <w:tcW w:w="368" w:type="pct"/>
            <w:gridSpan w:val="3"/>
            <w:noWrap w:val="0"/>
            <w:vAlign w:val="center"/>
          </w:tcPr>
          <w:p>
            <w:pPr>
              <w:spacing w:after="0" w:line="240" w:lineRule="auto"/>
              <w:rPr>
                <w:rFonts w:hint="eastAsia" w:ascii="Tahoma" w:hAnsi="Tahoma" w:eastAsia="微软雅黑" w:cs="Times New Roman"/>
                <w:kern w:val="2"/>
                <w:sz w:val="15"/>
                <w:szCs w:val="15"/>
              </w:rPr>
            </w:pPr>
          </w:p>
        </w:tc>
        <w:tc>
          <w:tcPr>
            <w:tcW w:w="301" w:type="pct"/>
            <w:gridSpan w:val="2"/>
            <w:noWrap w:val="0"/>
            <w:vAlign w:val="center"/>
          </w:tcPr>
          <w:p>
            <w:pPr>
              <w:spacing w:after="0" w:line="240" w:lineRule="auto"/>
              <w:rPr>
                <w:rFonts w:hint="eastAsia" w:ascii="Tahoma" w:hAnsi="Tahoma" w:eastAsia="微软雅黑" w:cs="Times New Roman"/>
                <w:kern w:val="2"/>
                <w:sz w:val="15"/>
                <w:szCs w:val="15"/>
              </w:rPr>
            </w:pPr>
          </w:p>
        </w:tc>
        <w:tc>
          <w:tcPr>
            <w:tcW w:w="36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9" w:type="pct"/>
            <w:gridSpan w:val="2"/>
            <w:noWrap w:val="0"/>
            <w:vAlign w:val="center"/>
          </w:tcPr>
          <w:p>
            <w:pPr>
              <w:spacing w:after="0" w:line="240" w:lineRule="auto"/>
              <w:rPr>
                <w:rFonts w:hint="eastAsia" w:ascii="Tahoma" w:hAnsi="Tahoma" w:eastAsia="微软雅黑" w:cs="Times New Roman"/>
                <w:kern w:val="2"/>
                <w:sz w:val="15"/>
                <w:szCs w:val="15"/>
              </w:rPr>
            </w:pPr>
          </w:p>
        </w:tc>
        <w:tc>
          <w:tcPr>
            <w:tcW w:w="385" w:type="pct"/>
            <w:noWrap w:val="0"/>
            <w:vAlign w:val="center"/>
          </w:tcPr>
          <w:p>
            <w:pPr>
              <w:spacing w:after="0" w:line="240" w:lineRule="auto"/>
              <w:rPr>
                <w:rFonts w:hint="eastAsia" w:ascii="Tahoma" w:hAnsi="Tahoma" w:eastAsia="微软雅黑" w:cs="Times New Roman"/>
                <w:kern w:val="2"/>
                <w:sz w:val="15"/>
                <w:szCs w:val="15"/>
              </w:rPr>
            </w:pPr>
          </w:p>
        </w:tc>
        <w:tc>
          <w:tcPr>
            <w:tcW w:w="449" w:type="pct"/>
            <w:gridSpan w:val="2"/>
            <w:noWrap w:val="0"/>
            <w:vAlign w:val="center"/>
          </w:tcPr>
          <w:p>
            <w:pPr>
              <w:spacing w:after="0" w:line="240" w:lineRule="auto"/>
              <w:rPr>
                <w:rFonts w:hint="eastAsia" w:ascii="Tahoma" w:hAnsi="Tahoma" w:eastAsia="微软雅黑" w:cs="Times New Roman"/>
                <w:kern w:val="2"/>
                <w:sz w:val="15"/>
                <w:szCs w:val="15"/>
              </w:rPr>
            </w:pPr>
          </w:p>
        </w:tc>
        <w:tc>
          <w:tcPr>
            <w:tcW w:w="365" w:type="pct"/>
            <w:noWrap w:val="0"/>
            <w:vAlign w:val="center"/>
          </w:tcPr>
          <w:p>
            <w:pPr>
              <w:spacing w:after="0" w:line="240" w:lineRule="auto"/>
              <w:rPr>
                <w:rFonts w:hint="eastAsia" w:ascii="Tahoma" w:hAnsi="Tahoma" w:eastAsia="微软雅黑" w:cs="Times New Roman"/>
                <w:kern w:val="2"/>
                <w:sz w:val="15"/>
                <w:szCs w:val="15"/>
              </w:rPr>
            </w:pPr>
          </w:p>
        </w:tc>
        <w:tc>
          <w:tcPr>
            <w:tcW w:w="28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5" w:type="pct"/>
            <w:gridSpan w:val="2"/>
            <w:noWrap w:val="0"/>
            <w:vAlign w:val="center"/>
          </w:tcPr>
          <w:p>
            <w:pPr>
              <w:spacing w:after="0" w:line="240" w:lineRule="auto"/>
              <w:rPr>
                <w:rFonts w:hint="eastAsia" w:ascii="Tahoma" w:hAnsi="Tahoma" w:eastAsia="微软雅黑" w:cs="Times New Roman"/>
                <w:kern w:val="2"/>
                <w:sz w:val="15"/>
                <w:szCs w:val="15"/>
              </w:rPr>
            </w:pPr>
          </w:p>
        </w:tc>
        <w:tc>
          <w:tcPr>
            <w:tcW w:w="292" w:type="pct"/>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31" w:type="pct"/>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582" w:type="pct"/>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工业固体废物</w:t>
            </w:r>
          </w:p>
        </w:tc>
        <w:tc>
          <w:tcPr>
            <w:tcW w:w="257" w:type="pct"/>
            <w:noWrap w:val="0"/>
            <w:vAlign w:val="center"/>
          </w:tcPr>
          <w:p>
            <w:pPr>
              <w:spacing w:after="0" w:line="240" w:lineRule="auto"/>
              <w:rPr>
                <w:rFonts w:hint="eastAsia" w:ascii="Tahoma" w:hAnsi="Tahoma" w:eastAsia="微软雅黑" w:cs="Times New Roman"/>
                <w:kern w:val="2"/>
                <w:sz w:val="15"/>
                <w:szCs w:val="15"/>
              </w:rPr>
            </w:pPr>
          </w:p>
        </w:tc>
        <w:tc>
          <w:tcPr>
            <w:tcW w:w="371" w:type="pct"/>
            <w:noWrap w:val="0"/>
            <w:vAlign w:val="center"/>
          </w:tcPr>
          <w:p>
            <w:pPr>
              <w:spacing w:after="0" w:line="240" w:lineRule="auto"/>
              <w:rPr>
                <w:rFonts w:hint="eastAsia" w:ascii="Tahoma" w:hAnsi="Tahoma" w:eastAsia="微软雅黑" w:cs="Times New Roman"/>
                <w:kern w:val="2"/>
                <w:sz w:val="15"/>
                <w:szCs w:val="15"/>
              </w:rPr>
            </w:pPr>
          </w:p>
        </w:tc>
        <w:tc>
          <w:tcPr>
            <w:tcW w:w="368" w:type="pct"/>
            <w:gridSpan w:val="3"/>
            <w:noWrap w:val="0"/>
            <w:vAlign w:val="center"/>
          </w:tcPr>
          <w:p>
            <w:pPr>
              <w:spacing w:after="0" w:line="240" w:lineRule="auto"/>
              <w:rPr>
                <w:rFonts w:hint="eastAsia" w:ascii="Tahoma" w:hAnsi="Tahoma" w:eastAsia="微软雅黑" w:cs="Times New Roman"/>
                <w:kern w:val="2"/>
                <w:sz w:val="15"/>
                <w:szCs w:val="15"/>
              </w:rPr>
            </w:pPr>
          </w:p>
        </w:tc>
        <w:tc>
          <w:tcPr>
            <w:tcW w:w="301" w:type="pct"/>
            <w:gridSpan w:val="2"/>
            <w:noWrap w:val="0"/>
            <w:vAlign w:val="center"/>
          </w:tcPr>
          <w:p>
            <w:pPr>
              <w:spacing w:after="0" w:line="240" w:lineRule="auto"/>
              <w:rPr>
                <w:rFonts w:hint="eastAsia" w:ascii="Tahoma" w:hAnsi="Tahoma" w:eastAsia="微软雅黑" w:cs="Times New Roman"/>
                <w:kern w:val="2"/>
                <w:sz w:val="15"/>
                <w:szCs w:val="15"/>
              </w:rPr>
            </w:pPr>
          </w:p>
        </w:tc>
        <w:tc>
          <w:tcPr>
            <w:tcW w:w="36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9" w:type="pct"/>
            <w:gridSpan w:val="2"/>
            <w:noWrap w:val="0"/>
            <w:vAlign w:val="center"/>
          </w:tcPr>
          <w:p>
            <w:pPr>
              <w:spacing w:after="0" w:line="240" w:lineRule="auto"/>
              <w:rPr>
                <w:rFonts w:hint="eastAsia" w:ascii="Tahoma" w:hAnsi="Tahoma" w:eastAsia="微软雅黑" w:cs="Times New Roman"/>
                <w:kern w:val="2"/>
                <w:sz w:val="15"/>
                <w:szCs w:val="15"/>
              </w:rPr>
            </w:pPr>
          </w:p>
        </w:tc>
        <w:tc>
          <w:tcPr>
            <w:tcW w:w="385" w:type="pct"/>
            <w:noWrap w:val="0"/>
            <w:vAlign w:val="center"/>
          </w:tcPr>
          <w:p>
            <w:pPr>
              <w:spacing w:after="0" w:line="240" w:lineRule="auto"/>
              <w:rPr>
                <w:rFonts w:hint="eastAsia" w:ascii="Tahoma" w:hAnsi="Tahoma" w:eastAsia="微软雅黑" w:cs="Times New Roman"/>
                <w:kern w:val="2"/>
                <w:sz w:val="15"/>
                <w:szCs w:val="15"/>
              </w:rPr>
            </w:pPr>
          </w:p>
        </w:tc>
        <w:tc>
          <w:tcPr>
            <w:tcW w:w="449" w:type="pct"/>
            <w:gridSpan w:val="2"/>
            <w:noWrap w:val="0"/>
            <w:vAlign w:val="center"/>
          </w:tcPr>
          <w:p>
            <w:pPr>
              <w:spacing w:after="0" w:line="240" w:lineRule="auto"/>
              <w:rPr>
                <w:rFonts w:hint="eastAsia" w:ascii="Tahoma" w:hAnsi="Tahoma" w:eastAsia="微软雅黑" w:cs="Times New Roman"/>
                <w:kern w:val="2"/>
                <w:sz w:val="15"/>
                <w:szCs w:val="15"/>
              </w:rPr>
            </w:pPr>
          </w:p>
        </w:tc>
        <w:tc>
          <w:tcPr>
            <w:tcW w:w="365" w:type="pct"/>
            <w:noWrap w:val="0"/>
            <w:vAlign w:val="center"/>
          </w:tcPr>
          <w:p>
            <w:pPr>
              <w:spacing w:after="0" w:line="240" w:lineRule="auto"/>
              <w:rPr>
                <w:rFonts w:hint="eastAsia" w:ascii="Tahoma" w:hAnsi="Tahoma" w:eastAsia="微软雅黑" w:cs="Times New Roman"/>
                <w:kern w:val="2"/>
                <w:sz w:val="15"/>
                <w:szCs w:val="15"/>
              </w:rPr>
            </w:pPr>
          </w:p>
        </w:tc>
        <w:tc>
          <w:tcPr>
            <w:tcW w:w="28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5" w:type="pct"/>
            <w:gridSpan w:val="2"/>
            <w:noWrap w:val="0"/>
            <w:vAlign w:val="center"/>
          </w:tcPr>
          <w:p>
            <w:pPr>
              <w:spacing w:after="0" w:line="240" w:lineRule="auto"/>
              <w:rPr>
                <w:rFonts w:hint="eastAsia" w:ascii="Tahoma" w:hAnsi="Tahoma" w:eastAsia="微软雅黑" w:cs="Times New Roman"/>
                <w:kern w:val="2"/>
                <w:sz w:val="15"/>
                <w:szCs w:val="15"/>
              </w:rPr>
            </w:pPr>
          </w:p>
        </w:tc>
        <w:tc>
          <w:tcPr>
            <w:tcW w:w="292" w:type="pct"/>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31" w:type="pct"/>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369" w:type="pct"/>
            <w:vMerge w:val="restart"/>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与项目有关其他特征污染物</w:t>
            </w:r>
          </w:p>
        </w:tc>
        <w:tc>
          <w:tcPr>
            <w:tcW w:w="212" w:type="pct"/>
            <w:noWrap w:val="0"/>
            <w:vAlign w:val="center"/>
          </w:tcPr>
          <w:p>
            <w:pPr>
              <w:spacing w:after="0" w:line="240" w:lineRule="auto"/>
              <w:rPr>
                <w:rFonts w:hint="eastAsia" w:ascii="Tahoma" w:hAnsi="Tahoma" w:eastAsia="微软雅黑" w:cs="Times New Roman"/>
                <w:b/>
                <w:kern w:val="2"/>
                <w:sz w:val="15"/>
                <w:szCs w:val="15"/>
              </w:rPr>
            </w:pPr>
          </w:p>
        </w:tc>
        <w:tc>
          <w:tcPr>
            <w:tcW w:w="257" w:type="pct"/>
            <w:noWrap w:val="0"/>
            <w:vAlign w:val="center"/>
          </w:tcPr>
          <w:p>
            <w:pPr>
              <w:spacing w:after="0" w:line="240" w:lineRule="auto"/>
              <w:rPr>
                <w:rFonts w:hint="eastAsia" w:ascii="Tahoma" w:hAnsi="Tahoma" w:eastAsia="微软雅黑" w:cs="Times New Roman"/>
                <w:kern w:val="2"/>
                <w:sz w:val="15"/>
                <w:szCs w:val="15"/>
              </w:rPr>
            </w:pPr>
          </w:p>
        </w:tc>
        <w:tc>
          <w:tcPr>
            <w:tcW w:w="371" w:type="pct"/>
            <w:noWrap w:val="0"/>
            <w:vAlign w:val="center"/>
          </w:tcPr>
          <w:p>
            <w:pPr>
              <w:spacing w:after="0" w:line="240" w:lineRule="auto"/>
              <w:rPr>
                <w:rFonts w:hint="eastAsia" w:ascii="Tahoma" w:hAnsi="Tahoma" w:eastAsia="微软雅黑" w:cs="Times New Roman"/>
                <w:kern w:val="2"/>
                <w:sz w:val="15"/>
                <w:szCs w:val="15"/>
              </w:rPr>
            </w:pPr>
          </w:p>
        </w:tc>
        <w:tc>
          <w:tcPr>
            <w:tcW w:w="368" w:type="pct"/>
            <w:gridSpan w:val="3"/>
            <w:noWrap w:val="0"/>
            <w:vAlign w:val="center"/>
          </w:tcPr>
          <w:p>
            <w:pPr>
              <w:spacing w:after="0" w:line="240" w:lineRule="auto"/>
              <w:rPr>
                <w:rFonts w:hint="eastAsia" w:ascii="Tahoma" w:hAnsi="Tahoma" w:eastAsia="微软雅黑" w:cs="Times New Roman"/>
                <w:kern w:val="2"/>
                <w:sz w:val="15"/>
                <w:szCs w:val="15"/>
              </w:rPr>
            </w:pPr>
          </w:p>
        </w:tc>
        <w:tc>
          <w:tcPr>
            <w:tcW w:w="301" w:type="pct"/>
            <w:gridSpan w:val="2"/>
            <w:noWrap w:val="0"/>
            <w:vAlign w:val="center"/>
          </w:tcPr>
          <w:p>
            <w:pPr>
              <w:spacing w:after="0" w:line="240" w:lineRule="auto"/>
              <w:rPr>
                <w:rFonts w:hint="eastAsia" w:ascii="Tahoma" w:hAnsi="Tahoma" w:eastAsia="微软雅黑" w:cs="Times New Roman"/>
                <w:kern w:val="2"/>
                <w:sz w:val="15"/>
                <w:szCs w:val="15"/>
              </w:rPr>
            </w:pPr>
          </w:p>
        </w:tc>
        <w:tc>
          <w:tcPr>
            <w:tcW w:w="36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9" w:type="pct"/>
            <w:gridSpan w:val="2"/>
            <w:noWrap w:val="0"/>
            <w:vAlign w:val="center"/>
          </w:tcPr>
          <w:p>
            <w:pPr>
              <w:spacing w:after="0" w:line="240" w:lineRule="auto"/>
              <w:rPr>
                <w:rFonts w:hint="eastAsia" w:ascii="Tahoma" w:hAnsi="Tahoma" w:eastAsia="微软雅黑" w:cs="Times New Roman"/>
                <w:kern w:val="2"/>
                <w:sz w:val="15"/>
                <w:szCs w:val="15"/>
              </w:rPr>
            </w:pPr>
          </w:p>
        </w:tc>
        <w:tc>
          <w:tcPr>
            <w:tcW w:w="385" w:type="pct"/>
            <w:noWrap w:val="0"/>
            <w:vAlign w:val="center"/>
          </w:tcPr>
          <w:p>
            <w:pPr>
              <w:spacing w:after="0" w:line="240" w:lineRule="auto"/>
              <w:rPr>
                <w:rFonts w:hint="eastAsia" w:ascii="Tahoma" w:hAnsi="Tahoma" w:eastAsia="微软雅黑" w:cs="Times New Roman"/>
                <w:kern w:val="2"/>
                <w:sz w:val="15"/>
                <w:szCs w:val="15"/>
              </w:rPr>
            </w:pPr>
          </w:p>
        </w:tc>
        <w:tc>
          <w:tcPr>
            <w:tcW w:w="449" w:type="pct"/>
            <w:gridSpan w:val="2"/>
            <w:noWrap w:val="0"/>
            <w:vAlign w:val="center"/>
          </w:tcPr>
          <w:p>
            <w:pPr>
              <w:spacing w:after="0" w:line="240" w:lineRule="auto"/>
              <w:rPr>
                <w:rFonts w:hint="eastAsia" w:ascii="Tahoma" w:hAnsi="Tahoma" w:eastAsia="微软雅黑" w:cs="Times New Roman"/>
                <w:kern w:val="2"/>
                <w:sz w:val="15"/>
                <w:szCs w:val="15"/>
              </w:rPr>
            </w:pPr>
          </w:p>
        </w:tc>
        <w:tc>
          <w:tcPr>
            <w:tcW w:w="365" w:type="pct"/>
            <w:noWrap w:val="0"/>
            <w:vAlign w:val="center"/>
          </w:tcPr>
          <w:p>
            <w:pPr>
              <w:spacing w:after="0" w:line="240" w:lineRule="auto"/>
              <w:rPr>
                <w:rFonts w:hint="eastAsia" w:ascii="Tahoma" w:hAnsi="Tahoma" w:eastAsia="微软雅黑" w:cs="Times New Roman"/>
                <w:kern w:val="2"/>
                <w:sz w:val="15"/>
                <w:szCs w:val="15"/>
              </w:rPr>
            </w:pPr>
          </w:p>
        </w:tc>
        <w:tc>
          <w:tcPr>
            <w:tcW w:w="28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5" w:type="pct"/>
            <w:gridSpan w:val="2"/>
            <w:noWrap w:val="0"/>
            <w:vAlign w:val="center"/>
          </w:tcPr>
          <w:p>
            <w:pPr>
              <w:spacing w:after="0" w:line="240" w:lineRule="auto"/>
              <w:rPr>
                <w:rFonts w:hint="eastAsia" w:ascii="Tahoma" w:hAnsi="Tahoma" w:eastAsia="微软雅黑" w:cs="Times New Roman"/>
                <w:kern w:val="2"/>
                <w:sz w:val="15"/>
                <w:szCs w:val="15"/>
              </w:rPr>
            </w:pPr>
          </w:p>
        </w:tc>
        <w:tc>
          <w:tcPr>
            <w:tcW w:w="292" w:type="pct"/>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231" w:type="pct"/>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369" w:type="pct"/>
            <w:vMerge w:val="continue"/>
            <w:noWrap w:val="0"/>
            <w:vAlign w:val="center"/>
          </w:tcPr>
          <w:p>
            <w:pPr>
              <w:spacing w:after="0" w:line="240" w:lineRule="auto"/>
              <w:rPr>
                <w:rFonts w:hint="eastAsia" w:ascii="Tahoma" w:hAnsi="Tahoma" w:eastAsia="微软雅黑" w:cs="Times New Roman"/>
                <w:b/>
                <w:kern w:val="2"/>
                <w:sz w:val="15"/>
                <w:szCs w:val="15"/>
              </w:rPr>
            </w:pPr>
          </w:p>
        </w:tc>
        <w:tc>
          <w:tcPr>
            <w:tcW w:w="212" w:type="pct"/>
            <w:noWrap w:val="0"/>
            <w:vAlign w:val="center"/>
          </w:tcPr>
          <w:p>
            <w:pPr>
              <w:spacing w:after="0" w:line="240" w:lineRule="auto"/>
              <w:rPr>
                <w:rFonts w:hint="eastAsia" w:ascii="Tahoma" w:hAnsi="Tahoma" w:eastAsia="微软雅黑" w:cs="Times New Roman"/>
                <w:b/>
                <w:kern w:val="2"/>
                <w:sz w:val="15"/>
                <w:szCs w:val="15"/>
              </w:rPr>
            </w:pPr>
          </w:p>
        </w:tc>
        <w:tc>
          <w:tcPr>
            <w:tcW w:w="257" w:type="pct"/>
            <w:noWrap w:val="0"/>
            <w:vAlign w:val="center"/>
          </w:tcPr>
          <w:p>
            <w:pPr>
              <w:spacing w:after="0" w:line="240" w:lineRule="auto"/>
              <w:rPr>
                <w:rFonts w:hint="eastAsia" w:ascii="Tahoma" w:hAnsi="Tahoma" w:eastAsia="微软雅黑" w:cs="Times New Roman"/>
                <w:kern w:val="2"/>
                <w:sz w:val="15"/>
                <w:szCs w:val="15"/>
              </w:rPr>
            </w:pPr>
          </w:p>
        </w:tc>
        <w:tc>
          <w:tcPr>
            <w:tcW w:w="371" w:type="pct"/>
            <w:noWrap w:val="0"/>
            <w:vAlign w:val="center"/>
          </w:tcPr>
          <w:p>
            <w:pPr>
              <w:spacing w:after="0" w:line="240" w:lineRule="auto"/>
              <w:rPr>
                <w:rFonts w:hint="eastAsia" w:ascii="Tahoma" w:hAnsi="Tahoma" w:eastAsia="微软雅黑" w:cs="Times New Roman"/>
                <w:kern w:val="2"/>
                <w:sz w:val="15"/>
                <w:szCs w:val="15"/>
              </w:rPr>
            </w:pPr>
          </w:p>
        </w:tc>
        <w:tc>
          <w:tcPr>
            <w:tcW w:w="368" w:type="pct"/>
            <w:gridSpan w:val="3"/>
            <w:noWrap w:val="0"/>
            <w:vAlign w:val="center"/>
          </w:tcPr>
          <w:p>
            <w:pPr>
              <w:spacing w:after="0" w:line="240" w:lineRule="auto"/>
              <w:rPr>
                <w:rFonts w:hint="eastAsia" w:ascii="Tahoma" w:hAnsi="Tahoma" w:eastAsia="微软雅黑" w:cs="Times New Roman"/>
                <w:kern w:val="2"/>
                <w:sz w:val="15"/>
                <w:szCs w:val="15"/>
              </w:rPr>
            </w:pPr>
          </w:p>
        </w:tc>
        <w:tc>
          <w:tcPr>
            <w:tcW w:w="301" w:type="pct"/>
            <w:gridSpan w:val="2"/>
            <w:noWrap w:val="0"/>
            <w:vAlign w:val="center"/>
          </w:tcPr>
          <w:p>
            <w:pPr>
              <w:spacing w:after="0" w:line="240" w:lineRule="auto"/>
              <w:rPr>
                <w:rFonts w:hint="eastAsia" w:ascii="Tahoma" w:hAnsi="Tahoma" w:eastAsia="微软雅黑" w:cs="Times New Roman"/>
                <w:kern w:val="2"/>
                <w:sz w:val="15"/>
                <w:szCs w:val="15"/>
              </w:rPr>
            </w:pPr>
          </w:p>
        </w:tc>
        <w:tc>
          <w:tcPr>
            <w:tcW w:w="36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9" w:type="pct"/>
            <w:gridSpan w:val="2"/>
            <w:noWrap w:val="0"/>
            <w:vAlign w:val="center"/>
          </w:tcPr>
          <w:p>
            <w:pPr>
              <w:spacing w:after="0" w:line="240" w:lineRule="auto"/>
              <w:rPr>
                <w:rFonts w:hint="eastAsia" w:ascii="Tahoma" w:hAnsi="Tahoma" w:eastAsia="微软雅黑" w:cs="Times New Roman"/>
                <w:kern w:val="2"/>
                <w:sz w:val="15"/>
                <w:szCs w:val="15"/>
              </w:rPr>
            </w:pPr>
          </w:p>
        </w:tc>
        <w:tc>
          <w:tcPr>
            <w:tcW w:w="385" w:type="pct"/>
            <w:noWrap w:val="0"/>
            <w:vAlign w:val="center"/>
          </w:tcPr>
          <w:p>
            <w:pPr>
              <w:spacing w:after="0" w:line="240" w:lineRule="auto"/>
              <w:rPr>
                <w:rFonts w:hint="eastAsia" w:ascii="Tahoma" w:hAnsi="Tahoma" w:eastAsia="微软雅黑" w:cs="Times New Roman"/>
                <w:kern w:val="2"/>
                <w:sz w:val="15"/>
                <w:szCs w:val="15"/>
              </w:rPr>
            </w:pPr>
          </w:p>
        </w:tc>
        <w:tc>
          <w:tcPr>
            <w:tcW w:w="449" w:type="pct"/>
            <w:gridSpan w:val="2"/>
            <w:noWrap w:val="0"/>
            <w:vAlign w:val="center"/>
          </w:tcPr>
          <w:p>
            <w:pPr>
              <w:spacing w:after="0" w:line="240" w:lineRule="auto"/>
              <w:rPr>
                <w:rFonts w:hint="eastAsia" w:ascii="Tahoma" w:hAnsi="Tahoma" w:eastAsia="微软雅黑" w:cs="Times New Roman"/>
                <w:kern w:val="2"/>
                <w:sz w:val="15"/>
                <w:szCs w:val="15"/>
              </w:rPr>
            </w:pPr>
          </w:p>
        </w:tc>
        <w:tc>
          <w:tcPr>
            <w:tcW w:w="365" w:type="pct"/>
            <w:noWrap w:val="0"/>
            <w:vAlign w:val="center"/>
          </w:tcPr>
          <w:p>
            <w:pPr>
              <w:spacing w:after="0" w:line="240" w:lineRule="auto"/>
              <w:rPr>
                <w:rFonts w:hint="eastAsia" w:ascii="Tahoma" w:hAnsi="Tahoma" w:eastAsia="微软雅黑" w:cs="Times New Roman"/>
                <w:kern w:val="2"/>
                <w:sz w:val="15"/>
                <w:szCs w:val="15"/>
              </w:rPr>
            </w:pPr>
          </w:p>
        </w:tc>
        <w:tc>
          <w:tcPr>
            <w:tcW w:w="281" w:type="pct"/>
            <w:gridSpan w:val="2"/>
            <w:noWrap w:val="0"/>
            <w:vAlign w:val="center"/>
          </w:tcPr>
          <w:p>
            <w:pPr>
              <w:spacing w:after="0" w:line="240" w:lineRule="auto"/>
              <w:rPr>
                <w:rFonts w:hint="eastAsia" w:ascii="Tahoma" w:hAnsi="Tahoma" w:eastAsia="微软雅黑" w:cs="Times New Roman"/>
                <w:kern w:val="2"/>
                <w:sz w:val="15"/>
                <w:szCs w:val="15"/>
              </w:rPr>
            </w:pPr>
          </w:p>
        </w:tc>
        <w:tc>
          <w:tcPr>
            <w:tcW w:w="375" w:type="pct"/>
            <w:gridSpan w:val="2"/>
            <w:noWrap w:val="0"/>
            <w:vAlign w:val="center"/>
          </w:tcPr>
          <w:p>
            <w:pPr>
              <w:spacing w:after="0" w:line="240" w:lineRule="auto"/>
              <w:rPr>
                <w:rFonts w:hint="eastAsia" w:ascii="Tahoma" w:hAnsi="Tahoma" w:eastAsia="微软雅黑" w:cs="Times New Roman"/>
                <w:kern w:val="2"/>
                <w:sz w:val="15"/>
                <w:szCs w:val="15"/>
              </w:rPr>
            </w:pPr>
          </w:p>
        </w:tc>
        <w:tc>
          <w:tcPr>
            <w:tcW w:w="292" w:type="pct"/>
            <w:gridSpan w:val="2"/>
            <w:noWrap w:val="0"/>
            <w:vAlign w:val="center"/>
          </w:tcPr>
          <w:p>
            <w:pPr>
              <w:spacing w:after="0" w:line="240" w:lineRule="auto"/>
              <w:rPr>
                <w:rFonts w:hint="eastAsia" w:ascii="Tahoma" w:hAnsi="Tahoma" w:eastAsia="微软雅黑" w:cs="Times New Roman"/>
                <w:kern w:val="2"/>
                <w:sz w:val="15"/>
                <w:szCs w:val="15"/>
              </w:rPr>
            </w:pPr>
          </w:p>
        </w:tc>
      </w:tr>
    </w:tbl>
    <w:p>
      <w:pPr>
        <w:spacing w:after="0"/>
      </w:pPr>
      <w:r>
        <w:rPr>
          <w:b/>
          <w:sz w:val="15"/>
          <w:szCs w:val="15"/>
        </w:rPr>
        <w:t>注</w:t>
      </w:r>
      <w:r>
        <w:rPr>
          <w:sz w:val="15"/>
          <w:szCs w:val="15"/>
        </w:rPr>
        <w:t>：1、</w:t>
      </w:r>
      <w:r>
        <w:rPr>
          <w:spacing w:val="-4"/>
          <w:sz w:val="15"/>
          <w:szCs w:val="15"/>
        </w:rPr>
        <w:t>排放增减量：（+）表示增加，（-）表示减少。2、(12)=(6)-(8)-(11)，（9）= (4)-(5)-(8)- (11) +（1）。3、计量单位：废水排放量——万吨/年；废气排放量——万标立方米/年；工业固体废物排放</w:t>
      </w:r>
      <w:r>
        <w:rPr>
          <w:sz w:val="15"/>
          <w:szCs w:val="15"/>
        </w:rPr>
        <w:t>量——万吨/年；水污染物排放浓度——毫克/升</w:t>
      </w:r>
    </w:p>
    <w:p>
      <w:pPr>
        <w:tabs>
          <w:tab w:val="left" w:pos="4282"/>
        </w:tabs>
        <w:bidi w:val="0"/>
        <w:jc w:val="left"/>
        <w:rPr>
          <w:rFonts w:hint="eastAsia" w:eastAsia="宋体"/>
          <w:lang w:eastAsia="zh-CN"/>
        </w:rPr>
      </w:pPr>
    </w:p>
    <w:sectPr>
      <w:footerReference r:id="rId7" w:type="default"/>
      <w:pgSz w:w="16838" w:h="11906" w:orient="landscape"/>
      <w:pgMar w:top="1134" w:right="1440" w:bottom="1797"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Noto Sans Mono CJK JP Regular">
    <w:altName w:val="Arial"/>
    <w:panose1 w:val="00000000000000000000"/>
    <w:charset w:val="00"/>
    <w:family w:val="swiss"/>
    <w:pitch w:val="default"/>
    <w:sig w:usb0="00000000" w:usb1="00000000" w:usb2="00000000" w:usb3="00000000" w:csb0="00000001" w:csb1="00000000"/>
  </w:font>
  <w:font w:name="TimesNewRomanPSMT">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20</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26</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1"/>
      <w:rPr>
        <w:rStyle w:val="32"/>
        <w:rFonts w:hint="eastAsia" w:eastAsia="宋体"/>
        <w:szCs w:val="21"/>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right"/>
      <w:rPr>
        <w:i/>
        <w:sz w:val="10"/>
      </w:rPr>
    </w:pPr>
    <w:r>
      <w:rPr>
        <w:rFonts w:hint="eastAsia" w:ascii="宋体" w:hAnsi="宋体"/>
        <w:i/>
        <w:lang w:eastAsia="zh-CN"/>
      </w:rPr>
      <w:t>奉节县顺全加油站改扩建项目</w:t>
    </w:r>
    <w:r>
      <w:rPr>
        <w:rFonts w:hint="eastAsia" w:ascii="宋体" w:hAnsi="宋体"/>
        <w:i/>
      </w:rPr>
      <w:t>竣工环境保护验收监测报</w:t>
    </w:r>
    <w:r>
      <w:rPr>
        <w:rFonts w:hint="eastAsia"/>
        <w:i/>
      </w:rPr>
      <w:t>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3CBE5F"/>
    <w:multiLevelType w:val="singleLevel"/>
    <w:tmpl w:val="E33CBE5F"/>
    <w:lvl w:ilvl="0" w:tentative="0">
      <w:start w:val="1"/>
      <w:numFmt w:val="bullet"/>
      <w:pStyle w:val="12"/>
      <w:lvlText w:val=""/>
      <w:lvlJc w:val="left"/>
      <w:pPr>
        <w:tabs>
          <w:tab w:val="left" w:pos="2040"/>
        </w:tabs>
        <w:ind w:left="2040" w:hanging="360"/>
      </w:pPr>
      <w:rPr>
        <w:rFonts w:hint="default" w:ascii="Wingdings" w:hAnsi="Wingdings"/>
      </w:rPr>
    </w:lvl>
  </w:abstractNum>
  <w:abstractNum w:abstractNumId="1">
    <w:nsid w:val="5AE195FA"/>
    <w:multiLevelType w:val="singleLevel"/>
    <w:tmpl w:val="5AE195FA"/>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VjZjM5M2FmNTBlYmZkZTU2MTk1ZDlhZWM5OWE2YjgifQ=="/>
  </w:docVars>
  <w:rsids>
    <w:rsidRoot w:val="00EF54D1"/>
    <w:rsid w:val="000007DF"/>
    <w:rsid w:val="00000A8B"/>
    <w:rsid w:val="00001725"/>
    <w:rsid w:val="00001768"/>
    <w:rsid w:val="00001802"/>
    <w:rsid w:val="00001BAD"/>
    <w:rsid w:val="0000219F"/>
    <w:rsid w:val="00002B5B"/>
    <w:rsid w:val="000032A0"/>
    <w:rsid w:val="000041DC"/>
    <w:rsid w:val="00006CF6"/>
    <w:rsid w:val="000102A0"/>
    <w:rsid w:val="00010391"/>
    <w:rsid w:val="00010D78"/>
    <w:rsid w:val="00010FE1"/>
    <w:rsid w:val="0001190F"/>
    <w:rsid w:val="000145BE"/>
    <w:rsid w:val="0001495E"/>
    <w:rsid w:val="00014D48"/>
    <w:rsid w:val="000151DB"/>
    <w:rsid w:val="0002611B"/>
    <w:rsid w:val="00032EC9"/>
    <w:rsid w:val="00033C7E"/>
    <w:rsid w:val="00034F24"/>
    <w:rsid w:val="00035461"/>
    <w:rsid w:val="00040A0A"/>
    <w:rsid w:val="00040AAD"/>
    <w:rsid w:val="00043A32"/>
    <w:rsid w:val="000443F9"/>
    <w:rsid w:val="00045DFA"/>
    <w:rsid w:val="00045E9E"/>
    <w:rsid w:val="00045F3F"/>
    <w:rsid w:val="00047CC9"/>
    <w:rsid w:val="0005129E"/>
    <w:rsid w:val="00053405"/>
    <w:rsid w:val="00053E8A"/>
    <w:rsid w:val="000547F4"/>
    <w:rsid w:val="00055253"/>
    <w:rsid w:val="00056330"/>
    <w:rsid w:val="0006120C"/>
    <w:rsid w:val="00061CDD"/>
    <w:rsid w:val="00062703"/>
    <w:rsid w:val="00063317"/>
    <w:rsid w:val="000648A3"/>
    <w:rsid w:val="000653B2"/>
    <w:rsid w:val="0006552C"/>
    <w:rsid w:val="00067013"/>
    <w:rsid w:val="00067BD1"/>
    <w:rsid w:val="00067F1F"/>
    <w:rsid w:val="000703BC"/>
    <w:rsid w:val="0007076C"/>
    <w:rsid w:val="00072915"/>
    <w:rsid w:val="0007315C"/>
    <w:rsid w:val="00073813"/>
    <w:rsid w:val="0007423A"/>
    <w:rsid w:val="00075F20"/>
    <w:rsid w:val="000765C1"/>
    <w:rsid w:val="000773EB"/>
    <w:rsid w:val="00077F8A"/>
    <w:rsid w:val="00080EE4"/>
    <w:rsid w:val="00081A06"/>
    <w:rsid w:val="0008228C"/>
    <w:rsid w:val="000858E7"/>
    <w:rsid w:val="00085CF5"/>
    <w:rsid w:val="00086165"/>
    <w:rsid w:val="00087C98"/>
    <w:rsid w:val="000902F1"/>
    <w:rsid w:val="0009084F"/>
    <w:rsid w:val="000914BC"/>
    <w:rsid w:val="0009270B"/>
    <w:rsid w:val="00092E33"/>
    <w:rsid w:val="000939CB"/>
    <w:rsid w:val="000939EC"/>
    <w:rsid w:val="000952EE"/>
    <w:rsid w:val="00096165"/>
    <w:rsid w:val="00097218"/>
    <w:rsid w:val="000973BF"/>
    <w:rsid w:val="000A13E8"/>
    <w:rsid w:val="000A18CB"/>
    <w:rsid w:val="000A36E1"/>
    <w:rsid w:val="000A3A38"/>
    <w:rsid w:val="000A5AB0"/>
    <w:rsid w:val="000A603F"/>
    <w:rsid w:val="000A6079"/>
    <w:rsid w:val="000A68F5"/>
    <w:rsid w:val="000A6AE0"/>
    <w:rsid w:val="000B0A63"/>
    <w:rsid w:val="000B171B"/>
    <w:rsid w:val="000B1E57"/>
    <w:rsid w:val="000B2D73"/>
    <w:rsid w:val="000B357E"/>
    <w:rsid w:val="000B3FFA"/>
    <w:rsid w:val="000B4935"/>
    <w:rsid w:val="000B4C82"/>
    <w:rsid w:val="000B69C0"/>
    <w:rsid w:val="000B7084"/>
    <w:rsid w:val="000B722D"/>
    <w:rsid w:val="000B732E"/>
    <w:rsid w:val="000B780B"/>
    <w:rsid w:val="000C04FB"/>
    <w:rsid w:val="000C06E3"/>
    <w:rsid w:val="000C0FCF"/>
    <w:rsid w:val="000C2E9B"/>
    <w:rsid w:val="000C384D"/>
    <w:rsid w:val="000C39EA"/>
    <w:rsid w:val="000C481D"/>
    <w:rsid w:val="000C4EA9"/>
    <w:rsid w:val="000C57BA"/>
    <w:rsid w:val="000D041F"/>
    <w:rsid w:val="000D0AA1"/>
    <w:rsid w:val="000D0CB0"/>
    <w:rsid w:val="000D0DA8"/>
    <w:rsid w:val="000D6618"/>
    <w:rsid w:val="000D69C2"/>
    <w:rsid w:val="000D71F8"/>
    <w:rsid w:val="000E3384"/>
    <w:rsid w:val="000E4139"/>
    <w:rsid w:val="000E500A"/>
    <w:rsid w:val="000E552A"/>
    <w:rsid w:val="000E6049"/>
    <w:rsid w:val="000E7268"/>
    <w:rsid w:val="000F08AD"/>
    <w:rsid w:val="000F0E19"/>
    <w:rsid w:val="000F2139"/>
    <w:rsid w:val="000F5A7E"/>
    <w:rsid w:val="001013A4"/>
    <w:rsid w:val="001019EF"/>
    <w:rsid w:val="00102549"/>
    <w:rsid w:val="00104CCC"/>
    <w:rsid w:val="00105006"/>
    <w:rsid w:val="001054F5"/>
    <w:rsid w:val="0010585A"/>
    <w:rsid w:val="00107825"/>
    <w:rsid w:val="0011085F"/>
    <w:rsid w:val="00111F89"/>
    <w:rsid w:val="0011432C"/>
    <w:rsid w:val="001143CA"/>
    <w:rsid w:val="001150FC"/>
    <w:rsid w:val="00116BB9"/>
    <w:rsid w:val="00117292"/>
    <w:rsid w:val="00117314"/>
    <w:rsid w:val="0012016F"/>
    <w:rsid w:val="001273D8"/>
    <w:rsid w:val="00127D6B"/>
    <w:rsid w:val="0013042A"/>
    <w:rsid w:val="0013109F"/>
    <w:rsid w:val="00131245"/>
    <w:rsid w:val="001315A7"/>
    <w:rsid w:val="00132BD6"/>
    <w:rsid w:val="00133F4E"/>
    <w:rsid w:val="001354B1"/>
    <w:rsid w:val="00137670"/>
    <w:rsid w:val="00141DEB"/>
    <w:rsid w:val="00143543"/>
    <w:rsid w:val="00146F20"/>
    <w:rsid w:val="001517DE"/>
    <w:rsid w:val="0015232E"/>
    <w:rsid w:val="00152C3C"/>
    <w:rsid w:val="00154A37"/>
    <w:rsid w:val="00157205"/>
    <w:rsid w:val="00163095"/>
    <w:rsid w:val="00165289"/>
    <w:rsid w:val="0016533E"/>
    <w:rsid w:val="001662FA"/>
    <w:rsid w:val="00166B19"/>
    <w:rsid w:val="0016707C"/>
    <w:rsid w:val="001676CC"/>
    <w:rsid w:val="0017011B"/>
    <w:rsid w:val="0017135B"/>
    <w:rsid w:val="00172AFE"/>
    <w:rsid w:val="00173DC6"/>
    <w:rsid w:val="00173E0E"/>
    <w:rsid w:val="00174349"/>
    <w:rsid w:val="001758C6"/>
    <w:rsid w:val="00176615"/>
    <w:rsid w:val="001768A5"/>
    <w:rsid w:val="00176D51"/>
    <w:rsid w:val="00177CDE"/>
    <w:rsid w:val="00181CF6"/>
    <w:rsid w:val="00181F17"/>
    <w:rsid w:val="00181FB7"/>
    <w:rsid w:val="00184204"/>
    <w:rsid w:val="00185041"/>
    <w:rsid w:val="0018537C"/>
    <w:rsid w:val="00186393"/>
    <w:rsid w:val="001919F0"/>
    <w:rsid w:val="00192509"/>
    <w:rsid w:val="00192A3A"/>
    <w:rsid w:val="00193ED7"/>
    <w:rsid w:val="00195711"/>
    <w:rsid w:val="001A0D1B"/>
    <w:rsid w:val="001A0D28"/>
    <w:rsid w:val="001A11EE"/>
    <w:rsid w:val="001A3335"/>
    <w:rsid w:val="001A40D6"/>
    <w:rsid w:val="001A5F55"/>
    <w:rsid w:val="001A7BCB"/>
    <w:rsid w:val="001B0735"/>
    <w:rsid w:val="001B0B27"/>
    <w:rsid w:val="001B1849"/>
    <w:rsid w:val="001B57A5"/>
    <w:rsid w:val="001B5AD3"/>
    <w:rsid w:val="001B797C"/>
    <w:rsid w:val="001C305B"/>
    <w:rsid w:val="001C3AD9"/>
    <w:rsid w:val="001C3BBC"/>
    <w:rsid w:val="001C485C"/>
    <w:rsid w:val="001C4A97"/>
    <w:rsid w:val="001C5481"/>
    <w:rsid w:val="001C63E9"/>
    <w:rsid w:val="001C6461"/>
    <w:rsid w:val="001D0192"/>
    <w:rsid w:val="001D02F0"/>
    <w:rsid w:val="001D0ABA"/>
    <w:rsid w:val="001D0FFD"/>
    <w:rsid w:val="001D1CCB"/>
    <w:rsid w:val="001D2728"/>
    <w:rsid w:val="001D2BE2"/>
    <w:rsid w:val="001D44E3"/>
    <w:rsid w:val="001D4C6B"/>
    <w:rsid w:val="001D4CBB"/>
    <w:rsid w:val="001D50DD"/>
    <w:rsid w:val="001D5CEB"/>
    <w:rsid w:val="001D5DA5"/>
    <w:rsid w:val="001D6BD1"/>
    <w:rsid w:val="001D72E0"/>
    <w:rsid w:val="001D75F3"/>
    <w:rsid w:val="001D7658"/>
    <w:rsid w:val="001D7E14"/>
    <w:rsid w:val="001E1760"/>
    <w:rsid w:val="001E24BA"/>
    <w:rsid w:val="001E34C7"/>
    <w:rsid w:val="001E34F1"/>
    <w:rsid w:val="001E3F20"/>
    <w:rsid w:val="001E50AA"/>
    <w:rsid w:val="001E6799"/>
    <w:rsid w:val="001F01C9"/>
    <w:rsid w:val="001F077F"/>
    <w:rsid w:val="001F1586"/>
    <w:rsid w:val="001F1BCA"/>
    <w:rsid w:val="001F2557"/>
    <w:rsid w:val="001F2D04"/>
    <w:rsid w:val="001F2D4A"/>
    <w:rsid w:val="001F30D6"/>
    <w:rsid w:val="001F5D9F"/>
    <w:rsid w:val="001F6F2D"/>
    <w:rsid w:val="001F7AF7"/>
    <w:rsid w:val="001F7CA8"/>
    <w:rsid w:val="0020033B"/>
    <w:rsid w:val="0020136D"/>
    <w:rsid w:val="00202821"/>
    <w:rsid w:val="00202A61"/>
    <w:rsid w:val="00203588"/>
    <w:rsid w:val="0020381B"/>
    <w:rsid w:val="002041DA"/>
    <w:rsid w:val="00204931"/>
    <w:rsid w:val="00206A23"/>
    <w:rsid w:val="002072AD"/>
    <w:rsid w:val="00210526"/>
    <w:rsid w:val="00210877"/>
    <w:rsid w:val="0021152C"/>
    <w:rsid w:val="002119FE"/>
    <w:rsid w:val="002144D3"/>
    <w:rsid w:val="0021456A"/>
    <w:rsid w:val="00214616"/>
    <w:rsid w:val="00215170"/>
    <w:rsid w:val="0021692F"/>
    <w:rsid w:val="00216BA1"/>
    <w:rsid w:val="00216D32"/>
    <w:rsid w:val="002178FF"/>
    <w:rsid w:val="00217E1E"/>
    <w:rsid w:val="00220F3E"/>
    <w:rsid w:val="00222517"/>
    <w:rsid w:val="00223C8C"/>
    <w:rsid w:val="00224684"/>
    <w:rsid w:val="00225180"/>
    <w:rsid w:val="002261D2"/>
    <w:rsid w:val="00227E7B"/>
    <w:rsid w:val="0023354F"/>
    <w:rsid w:val="00233D65"/>
    <w:rsid w:val="002367BD"/>
    <w:rsid w:val="00236C2C"/>
    <w:rsid w:val="0023717D"/>
    <w:rsid w:val="00237725"/>
    <w:rsid w:val="002378DB"/>
    <w:rsid w:val="00240417"/>
    <w:rsid w:val="00240581"/>
    <w:rsid w:val="002405E2"/>
    <w:rsid w:val="00240AAE"/>
    <w:rsid w:val="00242006"/>
    <w:rsid w:val="0024416A"/>
    <w:rsid w:val="002468D4"/>
    <w:rsid w:val="0024754E"/>
    <w:rsid w:val="00250282"/>
    <w:rsid w:val="00251288"/>
    <w:rsid w:val="002513A1"/>
    <w:rsid w:val="00252B5A"/>
    <w:rsid w:val="00253D85"/>
    <w:rsid w:val="00255C2C"/>
    <w:rsid w:val="0025677F"/>
    <w:rsid w:val="00257DED"/>
    <w:rsid w:val="00264550"/>
    <w:rsid w:val="00264A03"/>
    <w:rsid w:val="002668EF"/>
    <w:rsid w:val="00266B6C"/>
    <w:rsid w:val="00266DE7"/>
    <w:rsid w:val="00267E73"/>
    <w:rsid w:val="00267F18"/>
    <w:rsid w:val="002700F7"/>
    <w:rsid w:val="00271ADA"/>
    <w:rsid w:val="0027352F"/>
    <w:rsid w:val="00273A8B"/>
    <w:rsid w:val="002748FD"/>
    <w:rsid w:val="00276732"/>
    <w:rsid w:val="00281136"/>
    <w:rsid w:val="00281A2E"/>
    <w:rsid w:val="00282BA7"/>
    <w:rsid w:val="00282C9D"/>
    <w:rsid w:val="00284A57"/>
    <w:rsid w:val="00284A7B"/>
    <w:rsid w:val="0028585D"/>
    <w:rsid w:val="00286CCC"/>
    <w:rsid w:val="0029036B"/>
    <w:rsid w:val="002922DF"/>
    <w:rsid w:val="002932FB"/>
    <w:rsid w:val="00293311"/>
    <w:rsid w:val="002951C5"/>
    <w:rsid w:val="00297BB0"/>
    <w:rsid w:val="002A132C"/>
    <w:rsid w:val="002A2F9D"/>
    <w:rsid w:val="002A3256"/>
    <w:rsid w:val="002A569F"/>
    <w:rsid w:val="002B05E0"/>
    <w:rsid w:val="002B0B98"/>
    <w:rsid w:val="002B4269"/>
    <w:rsid w:val="002B7700"/>
    <w:rsid w:val="002C01B3"/>
    <w:rsid w:val="002C02F4"/>
    <w:rsid w:val="002C08E0"/>
    <w:rsid w:val="002C1E90"/>
    <w:rsid w:val="002C2498"/>
    <w:rsid w:val="002C2A80"/>
    <w:rsid w:val="002C3C4B"/>
    <w:rsid w:val="002C623D"/>
    <w:rsid w:val="002C64BE"/>
    <w:rsid w:val="002D1EF7"/>
    <w:rsid w:val="002D3546"/>
    <w:rsid w:val="002D35B7"/>
    <w:rsid w:val="002D3B37"/>
    <w:rsid w:val="002D3E07"/>
    <w:rsid w:val="002D5200"/>
    <w:rsid w:val="002D6107"/>
    <w:rsid w:val="002D780F"/>
    <w:rsid w:val="002E00D8"/>
    <w:rsid w:val="002E1A00"/>
    <w:rsid w:val="002E337A"/>
    <w:rsid w:val="002E5AD4"/>
    <w:rsid w:val="002E5D07"/>
    <w:rsid w:val="002E6669"/>
    <w:rsid w:val="002E7AC1"/>
    <w:rsid w:val="002F002F"/>
    <w:rsid w:val="002F02AD"/>
    <w:rsid w:val="002F2A2E"/>
    <w:rsid w:val="002F37CA"/>
    <w:rsid w:val="002F5527"/>
    <w:rsid w:val="002F7397"/>
    <w:rsid w:val="00300217"/>
    <w:rsid w:val="00301CD6"/>
    <w:rsid w:val="00302257"/>
    <w:rsid w:val="003023A7"/>
    <w:rsid w:val="00305A98"/>
    <w:rsid w:val="003072D6"/>
    <w:rsid w:val="003072FD"/>
    <w:rsid w:val="00310ECB"/>
    <w:rsid w:val="003118EF"/>
    <w:rsid w:val="003119C6"/>
    <w:rsid w:val="00312B86"/>
    <w:rsid w:val="00320C16"/>
    <w:rsid w:val="00321195"/>
    <w:rsid w:val="003240AB"/>
    <w:rsid w:val="003276AB"/>
    <w:rsid w:val="00330318"/>
    <w:rsid w:val="003325D3"/>
    <w:rsid w:val="00333A24"/>
    <w:rsid w:val="003343D1"/>
    <w:rsid w:val="00334A54"/>
    <w:rsid w:val="00334DFB"/>
    <w:rsid w:val="00336598"/>
    <w:rsid w:val="00336917"/>
    <w:rsid w:val="003379B6"/>
    <w:rsid w:val="0034021F"/>
    <w:rsid w:val="00340B68"/>
    <w:rsid w:val="00340C76"/>
    <w:rsid w:val="00341B2F"/>
    <w:rsid w:val="00342C6E"/>
    <w:rsid w:val="003431B0"/>
    <w:rsid w:val="003436FD"/>
    <w:rsid w:val="003443DD"/>
    <w:rsid w:val="00345905"/>
    <w:rsid w:val="00346227"/>
    <w:rsid w:val="00346EA3"/>
    <w:rsid w:val="00347043"/>
    <w:rsid w:val="00350959"/>
    <w:rsid w:val="00350CD9"/>
    <w:rsid w:val="00351B9C"/>
    <w:rsid w:val="0035245B"/>
    <w:rsid w:val="00353238"/>
    <w:rsid w:val="003548A0"/>
    <w:rsid w:val="00354A15"/>
    <w:rsid w:val="00357153"/>
    <w:rsid w:val="00357526"/>
    <w:rsid w:val="00360B0F"/>
    <w:rsid w:val="00362192"/>
    <w:rsid w:val="00362694"/>
    <w:rsid w:val="00362AA1"/>
    <w:rsid w:val="003637A7"/>
    <w:rsid w:val="00363ABD"/>
    <w:rsid w:val="00363C55"/>
    <w:rsid w:val="00363F88"/>
    <w:rsid w:val="00364413"/>
    <w:rsid w:val="00370814"/>
    <w:rsid w:val="003753A2"/>
    <w:rsid w:val="0037665B"/>
    <w:rsid w:val="00377CBE"/>
    <w:rsid w:val="00380880"/>
    <w:rsid w:val="00380E56"/>
    <w:rsid w:val="00380FA0"/>
    <w:rsid w:val="0038233A"/>
    <w:rsid w:val="00382752"/>
    <w:rsid w:val="0038498E"/>
    <w:rsid w:val="00384FD1"/>
    <w:rsid w:val="00385733"/>
    <w:rsid w:val="00385BA4"/>
    <w:rsid w:val="00385C15"/>
    <w:rsid w:val="003868B8"/>
    <w:rsid w:val="003872E6"/>
    <w:rsid w:val="00387623"/>
    <w:rsid w:val="003876D3"/>
    <w:rsid w:val="00391BE7"/>
    <w:rsid w:val="00391D6A"/>
    <w:rsid w:val="00393B05"/>
    <w:rsid w:val="00396083"/>
    <w:rsid w:val="003963CD"/>
    <w:rsid w:val="00397961"/>
    <w:rsid w:val="003A32DF"/>
    <w:rsid w:val="003A3ED7"/>
    <w:rsid w:val="003A4502"/>
    <w:rsid w:val="003A4BBE"/>
    <w:rsid w:val="003A4BE4"/>
    <w:rsid w:val="003A5598"/>
    <w:rsid w:val="003A6249"/>
    <w:rsid w:val="003A667A"/>
    <w:rsid w:val="003B0DFE"/>
    <w:rsid w:val="003B0E39"/>
    <w:rsid w:val="003B1737"/>
    <w:rsid w:val="003B2B24"/>
    <w:rsid w:val="003B3EF5"/>
    <w:rsid w:val="003B3F98"/>
    <w:rsid w:val="003B406D"/>
    <w:rsid w:val="003B48A0"/>
    <w:rsid w:val="003B5C80"/>
    <w:rsid w:val="003C0681"/>
    <w:rsid w:val="003C17D0"/>
    <w:rsid w:val="003C3ED3"/>
    <w:rsid w:val="003C44E1"/>
    <w:rsid w:val="003C56E0"/>
    <w:rsid w:val="003C6CF2"/>
    <w:rsid w:val="003C7DDA"/>
    <w:rsid w:val="003D03F6"/>
    <w:rsid w:val="003D1680"/>
    <w:rsid w:val="003D4248"/>
    <w:rsid w:val="003D5127"/>
    <w:rsid w:val="003D67E1"/>
    <w:rsid w:val="003E0467"/>
    <w:rsid w:val="003E0C47"/>
    <w:rsid w:val="003E1A87"/>
    <w:rsid w:val="003E2B2C"/>
    <w:rsid w:val="003E3C07"/>
    <w:rsid w:val="003E46FA"/>
    <w:rsid w:val="003E5D84"/>
    <w:rsid w:val="003E66A8"/>
    <w:rsid w:val="003E6ECE"/>
    <w:rsid w:val="003E7833"/>
    <w:rsid w:val="003E7CC3"/>
    <w:rsid w:val="003F0ED0"/>
    <w:rsid w:val="003F17C4"/>
    <w:rsid w:val="003F1B4F"/>
    <w:rsid w:val="003F24EF"/>
    <w:rsid w:val="003F2814"/>
    <w:rsid w:val="003F2848"/>
    <w:rsid w:val="003F2BB5"/>
    <w:rsid w:val="003F401B"/>
    <w:rsid w:val="003F42EB"/>
    <w:rsid w:val="003F5590"/>
    <w:rsid w:val="003F5834"/>
    <w:rsid w:val="003F6161"/>
    <w:rsid w:val="003F65BE"/>
    <w:rsid w:val="003F6EBD"/>
    <w:rsid w:val="004006C4"/>
    <w:rsid w:val="004009DE"/>
    <w:rsid w:val="00400FCF"/>
    <w:rsid w:val="004015B2"/>
    <w:rsid w:val="00402532"/>
    <w:rsid w:val="00402807"/>
    <w:rsid w:val="00404C6D"/>
    <w:rsid w:val="0040708E"/>
    <w:rsid w:val="0040748C"/>
    <w:rsid w:val="0040770E"/>
    <w:rsid w:val="00407738"/>
    <w:rsid w:val="00407C6A"/>
    <w:rsid w:val="004107EF"/>
    <w:rsid w:val="00411DB4"/>
    <w:rsid w:val="00413A45"/>
    <w:rsid w:val="004157EE"/>
    <w:rsid w:val="004166C9"/>
    <w:rsid w:val="004175A2"/>
    <w:rsid w:val="0042090F"/>
    <w:rsid w:val="0042117E"/>
    <w:rsid w:val="004227FF"/>
    <w:rsid w:val="00422D0D"/>
    <w:rsid w:val="00423498"/>
    <w:rsid w:val="0042485A"/>
    <w:rsid w:val="00424ABA"/>
    <w:rsid w:val="00427884"/>
    <w:rsid w:val="00432A4B"/>
    <w:rsid w:val="00435F55"/>
    <w:rsid w:val="00441402"/>
    <w:rsid w:val="00442B09"/>
    <w:rsid w:val="0044515E"/>
    <w:rsid w:val="00445272"/>
    <w:rsid w:val="0044534B"/>
    <w:rsid w:val="00445E80"/>
    <w:rsid w:val="0044634E"/>
    <w:rsid w:val="004474C9"/>
    <w:rsid w:val="004476EB"/>
    <w:rsid w:val="00450153"/>
    <w:rsid w:val="00450713"/>
    <w:rsid w:val="00456C2D"/>
    <w:rsid w:val="00456FD4"/>
    <w:rsid w:val="00457630"/>
    <w:rsid w:val="00460626"/>
    <w:rsid w:val="0046157C"/>
    <w:rsid w:val="00461769"/>
    <w:rsid w:val="004619A9"/>
    <w:rsid w:val="00462218"/>
    <w:rsid w:val="00462E01"/>
    <w:rsid w:val="00466C75"/>
    <w:rsid w:val="00466FA7"/>
    <w:rsid w:val="004673B9"/>
    <w:rsid w:val="00467786"/>
    <w:rsid w:val="0047092C"/>
    <w:rsid w:val="00471352"/>
    <w:rsid w:val="0047327D"/>
    <w:rsid w:val="004750BC"/>
    <w:rsid w:val="00477FBB"/>
    <w:rsid w:val="00481ABA"/>
    <w:rsid w:val="00481C84"/>
    <w:rsid w:val="00481D8A"/>
    <w:rsid w:val="0048464D"/>
    <w:rsid w:val="00484C8F"/>
    <w:rsid w:val="004866BC"/>
    <w:rsid w:val="00487072"/>
    <w:rsid w:val="00487A4D"/>
    <w:rsid w:val="00493712"/>
    <w:rsid w:val="004952C6"/>
    <w:rsid w:val="0049562D"/>
    <w:rsid w:val="004974EC"/>
    <w:rsid w:val="004A0733"/>
    <w:rsid w:val="004A1524"/>
    <w:rsid w:val="004A1ACC"/>
    <w:rsid w:val="004A260E"/>
    <w:rsid w:val="004A2DFF"/>
    <w:rsid w:val="004A46EE"/>
    <w:rsid w:val="004A5611"/>
    <w:rsid w:val="004A6A0F"/>
    <w:rsid w:val="004A6A52"/>
    <w:rsid w:val="004A7F80"/>
    <w:rsid w:val="004B29F1"/>
    <w:rsid w:val="004B3B81"/>
    <w:rsid w:val="004B53DB"/>
    <w:rsid w:val="004B5A50"/>
    <w:rsid w:val="004B608A"/>
    <w:rsid w:val="004B7F6C"/>
    <w:rsid w:val="004C0E0C"/>
    <w:rsid w:val="004C0F13"/>
    <w:rsid w:val="004C305F"/>
    <w:rsid w:val="004C38D4"/>
    <w:rsid w:val="004C4DD4"/>
    <w:rsid w:val="004C69C2"/>
    <w:rsid w:val="004C7940"/>
    <w:rsid w:val="004D12F7"/>
    <w:rsid w:val="004D3EAD"/>
    <w:rsid w:val="004D4818"/>
    <w:rsid w:val="004D49E8"/>
    <w:rsid w:val="004D4E37"/>
    <w:rsid w:val="004D5440"/>
    <w:rsid w:val="004D56AC"/>
    <w:rsid w:val="004D6B0B"/>
    <w:rsid w:val="004D6F39"/>
    <w:rsid w:val="004D7EB5"/>
    <w:rsid w:val="004E2FC0"/>
    <w:rsid w:val="004E4172"/>
    <w:rsid w:val="004E530C"/>
    <w:rsid w:val="004E588C"/>
    <w:rsid w:val="004E5EEC"/>
    <w:rsid w:val="004E7BD0"/>
    <w:rsid w:val="004F172A"/>
    <w:rsid w:val="004F223C"/>
    <w:rsid w:val="004F36BD"/>
    <w:rsid w:val="004F3BA6"/>
    <w:rsid w:val="004F6842"/>
    <w:rsid w:val="0050004D"/>
    <w:rsid w:val="005024F4"/>
    <w:rsid w:val="005032F6"/>
    <w:rsid w:val="005056D2"/>
    <w:rsid w:val="00505EC9"/>
    <w:rsid w:val="005060CB"/>
    <w:rsid w:val="0050614D"/>
    <w:rsid w:val="00507F4B"/>
    <w:rsid w:val="005105E1"/>
    <w:rsid w:val="00510CE6"/>
    <w:rsid w:val="0051120A"/>
    <w:rsid w:val="005130CD"/>
    <w:rsid w:val="00513AAE"/>
    <w:rsid w:val="00515537"/>
    <w:rsid w:val="005161AC"/>
    <w:rsid w:val="00516674"/>
    <w:rsid w:val="0052084F"/>
    <w:rsid w:val="00521AC1"/>
    <w:rsid w:val="00522575"/>
    <w:rsid w:val="00522C15"/>
    <w:rsid w:val="00523E4A"/>
    <w:rsid w:val="005243F1"/>
    <w:rsid w:val="005245D8"/>
    <w:rsid w:val="00525152"/>
    <w:rsid w:val="00530375"/>
    <w:rsid w:val="00531635"/>
    <w:rsid w:val="00531A13"/>
    <w:rsid w:val="00531F94"/>
    <w:rsid w:val="005328FA"/>
    <w:rsid w:val="00532DCF"/>
    <w:rsid w:val="00533C0A"/>
    <w:rsid w:val="00533C3B"/>
    <w:rsid w:val="00533E8A"/>
    <w:rsid w:val="00534192"/>
    <w:rsid w:val="005341E1"/>
    <w:rsid w:val="00535739"/>
    <w:rsid w:val="0053696B"/>
    <w:rsid w:val="00541459"/>
    <w:rsid w:val="00541AB5"/>
    <w:rsid w:val="00542695"/>
    <w:rsid w:val="00543C55"/>
    <w:rsid w:val="0054631A"/>
    <w:rsid w:val="00546F94"/>
    <w:rsid w:val="00547E3B"/>
    <w:rsid w:val="00547F03"/>
    <w:rsid w:val="005502AD"/>
    <w:rsid w:val="00550571"/>
    <w:rsid w:val="00551231"/>
    <w:rsid w:val="0055285F"/>
    <w:rsid w:val="00552EDA"/>
    <w:rsid w:val="00556597"/>
    <w:rsid w:val="00557C32"/>
    <w:rsid w:val="005621C2"/>
    <w:rsid w:val="00562ACF"/>
    <w:rsid w:val="00564891"/>
    <w:rsid w:val="0056495E"/>
    <w:rsid w:val="00564E60"/>
    <w:rsid w:val="00565573"/>
    <w:rsid w:val="00565F72"/>
    <w:rsid w:val="005660FB"/>
    <w:rsid w:val="00570B94"/>
    <w:rsid w:val="00570E1B"/>
    <w:rsid w:val="00570F26"/>
    <w:rsid w:val="0057158C"/>
    <w:rsid w:val="00572198"/>
    <w:rsid w:val="00572F7E"/>
    <w:rsid w:val="00573587"/>
    <w:rsid w:val="005737A9"/>
    <w:rsid w:val="0057470A"/>
    <w:rsid w:val="00574F48"/>
    <w:rsid w:val="005757C2"/>
    <w:rsid w:val="005758BE"/>
    <w:rsid w:val="00580A9C"/>
    <w:rsid w:val="00580FB1"/>
    <w:rsid w:val="00582288"/>
    <w:rsid w:val="00582661"/>
    <w:rsid w:val="0058274B"/>
    <w:rsid w:val="00582C73"/>
    <w:rsid w:val="00582FA4"/>
    <w:rsid w:val="00583271"/>
    <w:rsid w:val="00584197"/>
    <w:rsid w:val="005844FF"/>
    <w:rsid w:val="00585503"/>
    <w:rsid w:val="00585988"/>
    <w:rsid w:val="00585DCB"/>
    <w:rsid w:val="00585DCC"/>
    <w:rsid w:val="005864DE"/>
    <w:rsid w:val="00586C4C"/>
    <w:rsid w:val="00587CC3"/>
    <w:rsid w:val="00592FE4"/>
    <w:rsid w:val="00593BBB"/>
    <w:rsid w:val="005946F4"/>
    <w:rsid w:val="00595EC6"/>
    <w:rsid w:val="00596443"/>
    <w:rsid w:val="005A318C"/>
    <w:rsid w:val="005A5449"/>
    <w:rsid w:val="005A581D"/>
    <w:rsid w:val="005A67A6"/>
    <w:rsid w:val="005A7DF7"/>
    <w:rsid w:val="005B05CF"/>
    <w:rsid w:val="005B1AC3"/>
    <w:rsid w:val="005B20D9"/>
    <w:rsid w:val="005B217C"/>
    <w:rsid w:val="005B2A5C"/>
    <w:rsid w:val="005B3CB4"/>
    <w:rsid w:val="005B3F05"/>
    <w:rsid w:val="005B4729"/>
    <w:rsid w:val="005B76D4"/>
    <w:rsid w:val="005B7C24"/>
    <w:rsid w:val="005C1B54"/>
    <w:rsid w:val="005C1BC0"/>
    <w:rsid w:val="005C2FB9"/>
    <w:rsid w:val="005C3D22"/>
    <w:rsid w:val="005C3FBD"/>
    <w:rsid w:val="005C5FC9"/>
    <w:rsid w:val="005C61AD"/>
    <w:rsid w:val="005C61D8"/>
    <w:rsid w:val="005C69BF"/>
    <w:rsid w:val="005C75FD"/>
    <w:rsid w:val="005C7F26"/>
    <w:rsid w:val="005D0287"/>
    <w:rsid w:val="005D2666"/>
    <w:rsid w:val="005D2DF5"/>
    <w:rsid w:val="005D6787"/>
    <w:rsid w:val="005D722A"/>
    <w:rsid w:val="005D7302"/>
    <w:rsid w:val="005D73A0"/>
    <w:rsid w:val="005E19B4"/>
    <w:rsid w:val="005E287D"/>
    <w:rsid w:val="005E41B1"/>
    <w:rsid w:val="005E4A02"/>
    <w:rsid w:val="005E50C6"/>
    <w:rsid w:val="005E61C1"/>
    <w:rsid w:val="005E668F"/>
    <w:rsid w:val="005E6742"/>
    <w:rsid w:val="005E6E20"/>
    <w:rsid w:val="005E6F88"/>
    <w:rsid w:val="005E77E9"/>
    <w:rsid w:val="005F0604"/>
    <w:rsid w:val="005F0891"/>
    <w:rsid w:val="005F11E1"/>
    <w:rsid w:val="005F1AA3"/>
    <w:rsid w:val="005F2399"/>
    <w:rsid w:val="005F2B84"/>
    <w:rsid w:val="005F331C"/>
    <w:rsid w:val="005F35B1"/>
    <w:rsid w:val="005F4A7E"/>
    <w:rsid w:val="005F4D2D"/>
    <w:rsid w:val="005F5AB8"/>
    <w:rsid w:val="005F64D9"/>
    <w:rsid w:val="005F6A1D"/>
    <w:rsid w:val="005F72C6"/>
    <w:rsid w:val="005F7BE9"/>
    <w:rsid w:val="00602262"/>
    <w:rsid w:val="00602318"/>
    <w:rsid w:val="00603B21"/>
    <w:rsid w:val="00603CBF"/>
    <w:rsid w:val="00603E8E"/>
    <w:rsid w:val="006041CA"/>
    <w:rsid w:val="00605393"/>
    <w:rsid w:val="00606D3A"/>
    <w:rsid w:val="00606FF7"/>
    <w:rsid w:val="006074BE"/>
    <w:rsid w:val="00607E4A"/>
    <w:rsid w:val="006116D9"/>
    <w:rsid w:val="00611D85"/>
    <w:rsid w:val="0061204D"/>
    <w:rsid w:val="00613108"/>
    <w:rsid w:val="0061327C"/>
    <w:rsid w:val="00613CE7"/>
    <w:rsid w:val="00614DDF"/>
    <w:rsid w:val="00615D07"/>
    <w:rsid w:val="0061635B"/>
    <w:rsid w:val="006167F3"/>
    <w:rsid w:val="00616993"/>
    <w:rsid w:val="00616EA4"/>
    <w:rsid w:val="006174CC"/>
    <w:rsid w:val="00621184"/>
    <w:rsid w:val="00621F2C"/>
    <w:rsid w:val="00626C5B"/>
    <w:rsid w:val="00627DF7"/>
    <w:rsid w:val="00630826"/>
    <w:rsid w:val="00632DB2"/>
    <w:rsid w:val="00632E40"/>
    <w:rsid w:val="0063487F"/>
    <w:rsid w:val="00635629"/>
    <w:rsid w:val="006357A2"/>
    <w:rsid w:val="00637635"/>
    <w:rsid w:val="006379A1"/>
    <w:rsid w:val="00637EF5"/>
    <w:rsid w:val="006416A4"/>
    <w:rsid w:val="00643007"/>
    <w:rsid w:val="00643F91"/>
    <w:rsid w:val="00644727"/>
    <w:rsid w:val="006473EA"/>
    <w:rsid w:val="006475E5"/>
    <w:rsid w:val="006476EF"/>
    <w:rsid w:val="006505D7"/>
    <w:rsid w:val="0065072C"/>
    <w:rsid w:val="00650796"/>
    <w:rsid w:val="00652223"/>
    <w:rsid w:val="00652254"/>
    <w:rsid w:val="0065286B"/>
    <w:rsid w:val="00652CE0"/>
    <w:rsid w:val="00653965"/>
    <w:rsid w:val="00653B3E"/>
    <w:rsid w:val="00655518"/>
    <w:rsid w:val="006555B8"/>
    <w:rsid w:val="00657E2D"/>
    <w:rsid w:val="0066030A"/>
    <w:rsid w:val="006640FC"/>
    <w:rsid w:val="006650A4"/>
    <w:rsid w:val="0066626C"/>
    <w:rsid w:val="0066638D"/>
    <w:rsid w:val="006665CD"/>
    <w:rsid w:val="00666E56"/>
    <w:rsid w:val="00670031"/>
    <w:rsid w:val="006714E0"/>
    <w:rsid w:val="00673754"/>
    <w:rsid w:val="0067483F"/>
    <w:rsid w:val="0067705D"/>
    <w:rsid w:val="00677107"/>
    <w:rsid w:val="00680320"/>
    <w:rsid w:val="006823E9"/>
    <w:rsid w:val="00684E2E"/>
    <w:rsid w:val="00685728"/>
    <w:rsid w:val="00685E0F"/>
    <w:rsid w:val="00686A90"/>
    <w:rsid w:val="0068754F"/>
    <w:rsid w:val="00690D6E"/>
    <w:rsid w:val="00690DD8"/>
    <w:rsid w:val="006925D6"/>
    <w:rsid w:val="00692FBD"/>
    <w:rsid w:val="00696A43"/>
    <w:rsid w:val="006971AA"/>
    <w:rsid w:val="006978BD"/>
    <w:rsid w:val="006A01F7"/>
    <w:rsid w:val="006A06A5"/>
    <w:rsid w:val="006A0E80"/>
    <w:rsid w:val="006A2D8E"/>
    <w:rsid w:val="006A510E"/>
    <w:rsid w:val="006A56D7"/>
    <w:rsid w:val="006A6A8A"/>
    <w:rsid w:val="006A6D34"/>
    <w:rsid w:val="006A72A0"/>
    <w:rsid w:val="006B0650"/>
    <w:rsid w:val="006B0D54"/>
    <w:rsid w:val="006B236D"/>
    <w:rsid w:val="006B3F77"/>
    <w:rsid w:val="006B40DF"/>
    <w:rsid w:val="006B46C0"/>
    <w:rsid w:val="006B72F6"/>
    <w:rsid w:val="006C1047"/>
    <w:rsid w:val="006C178F"/>
    <w:rsid w:val="006C1D88"/>
    <w:rsid w:val="006C1EF3"/>
    <w:rsid w:val="006C22CE"/>
    <w:rsid w:val="006C257D"/>
    <w:rsid w:val="006C28AA"/>
    <w:rsid w:val="006C2D12"/>
    <w:rsid w:val="006C2D1C"/>
    <w:rsid w:val="006C3D86"/>
    <w:rsid w:val="006C5151"/>
    <w:rsid w:val="006C6068"/>
    <w:rsid w:val="006C6590"/>
    <w:rsid w:val="006C660D"/>
    <w:rsid w:val="006C6E94"/>
    <w:rsid w:val="006C7309"/>
    <w:rsid w:val="006C77F2"/>
    <w:rsid w:val="006D00D6"/>
    <w:rsid w:val="006D20F0"/>
    <w:rsid w:val="006D2B7A"/>
    <w:rsid w:val="006D3AEF"/>
    <w:rsid w:val="006D41CC"/>
    <w:rsid w:val="006D5073"/>
    <w:rsid w:val="006D6FEA"/>
    <w:rsid w:val="006E082F"/>
    <w:rsid w:val="006E0B98"/>
    <w:rsid w:val="006E0F86"/>
    <w:rsid w:val="006E163A"/>
    <w:rsid w:val="006E1A77"/>
    <w:rsid w:val="006E45C7"/>
    <w:rsid w:val="006E47E2"/>
    <w:rsid w:val="006E4F6A"/>
    <w:rsid w:val="006E508F"/>
    <w:rsid w:val="006E529B"/>
    <w:rsid w:val="006E5907"/>
    <w:rsid w:val="006E5B7E"/>
    <w:rsid w:val="006E5F28"/>
    <w:rsid w:val="006E74F1"/>
    <w:rsid w:val="006F26E8"/>
    <w:rsid w:val="006F2885"/>
    <w:rsid w:val="006F3E4D"/>
    <w:rsid w:val="006F50AD"/>
    <w:rsid w:val="006F657F"/>
    <w:rsid w:val="0070038C"/>
    <w:rsid w:val="007005A1"/>
    <w:rsid w:val="00700E62"/>
    <w:rsid w:val="00703B6E"/>
    <w:rsid w:val="00705A5F"/>
    <w:rsid w:val="00710A9D"/>
    <w:rsid w:val="00711B30"/>
    <w:rsid w:val="00714128"/>
    <w:rsid w:val="007141BE"/>
    <w:rsid w:val="0071452F"/>
    <w:rsid w:val="00714872"/>
    <w:rsid w:val="00716273"/>
    <w:rsid w:val="00721ABB"/>
    <w:rsid w:val="00722A4E"/>
    <w:rsid w:val="00722AC9"/>
    <w:rsid w:val="00722DC2"/>
    <w:rsid w:val="0072409C"/>
    <w:rsid w:val="007246F8"/>
    <w:rsid w:val="007251AA"/>
    <w:rsid w:val="007257F8"/>
    <w:rsid w:val="00725963"/>
    <w:rsid w:val="00725977"/>
    <w:rsid w:val="00725BE8"/>
    <w:rsid w:val="0072651D"/>
    <w:rsid w:val="007309BE"/>
    <w:rsid w:val="00731A0F"/>
    <w:rsid w:val="007327A6"/>
    <w:rsid w:val="007332DD"/>
    <w:rsid w:val="00734567"/>
    <w:rsid w:val="00735B0A"/>
    <w:rsid w:val="00735DC4"/>
    <w:rsid w:val="00736296"/>
    <w:rsid w:val="007363DE"/>
    <w:rsid w:val="00736634"/>
    <w:rsid w:val="0073677E"/>
    <w:rsid w:val="00737C9B"/>
    <w:rsid w:val="00744E02"/>
    <w:rsid w:val="00745CD1"/>
    <w:rsid w:val="00750529"/>
    <w:rsid w:val="007513B7"/>
    <w:rsid w:val="00751D4E"/>
    <w:rsid w:val="00752B44"/>
    <w:rsid w:val="00753316"/>
    <w:rsid w:val="00753C84"/>
    <w:rsid w:val="007541A2"/>
    <w:rsid w:val="00755726"/>
    <w:rsid w:val="00755857"/>
    <w:rsid w:val="00756713"/>
    <w:rsid w:val="007574BA"/>
    <w:rsid w:val="00760021"/>
    <w:rsid w:val="007602F5"/>
    <w:rsid w:val="007612CB"/>
    <w:rsid w:val="007616B4"/>
    <w:rsid w:val="00761F27"/>
    <w:rsid w:val="00761F51"/>
    <w:rsid w:val="00762041"/>
    <w:rsid w:val="00762375"/>
    <w:rsid w:val="00762D00"/>
    <w:rsid w:val="007638E3"/>
    <w:rsid w:val="0076495E"/>
    <w:rsid w:val="00764C25"/>
    <w:rsid w:val="00765C85"/>
    <w:rsid w:val="00767C6A"/>
    <w:rsid w:val="007713BB"/>
    <w:rsid w:val="00771802"/>
    <w:rsid w:val="007731EF"/>
    <w:rsid w:val="007735F7"/>
    <w:rsid w:val="00773BC7"/>
    <w:rsid w:val="00774894"/>
    <w:rsid w:val="00775145"/>
    <w:rsid w:val="00780A0E"/>
    <w:rsid w:val="007814FF"/>
    <w:rsid w:val="00781A10"/>
    <w:rsid w:val="00782E8E"/>
    <w:rsid w:val="00784B5F"/>
    <w:rsid w:val="00784C9B"/>
    <w:rsid w:val="00785E42"/>
    <w:rsid w:val="00786422"/>
    <w:rsid w:val="007867F8"/>
    <w:rsid w:val="007874C0"/>
    <w:rsid w:val="00787B03"/>
    <w:rsid w:val="007901B0"/>
    <w:rsid w:val="00791265"/>
    <w:rsid w:val="007915EB"/>
    <w:rsid w:val="0079195F"/>
    <w:rsid w:val="00791FAB"/>
    <w:rsid w:val="00792098"/>
    <w:rsid w:val="0079339F"/>
    <w:rsid w:val="0079473B"/>
    <w:rsid w:val="007966DF"/>
    <w:rsid w:val="007969E4"/>
    <w:rsid w:val="007A045D"/>
    <w:rsid w:val="007A04D1"/>
    <w:rsid w:val="007A1A63"/>
    <w:rsid w:val="007A4270"/>
    <w:rsid w:val="007A550B"/>
    <w:rsid w:val="007A58CC"/>
    <w:rsid w:val="007A6946"/>
    <w:rsid w:val="007A6BC9"/>
    <w:rsid w:val="007A6C6D"/>
    <w:rsid w:val="007B0468"/>
    <w:rsid w:val="007B0486"/>
    <w:rsid w:val="007B259C"/>
    <w:rsid w:val="007B269D"/>
    <w:rsid w:val="007B2BE3"/>
    <w:rsid w:val="007B3534"/>
    <w:rsid w:val="007B38DA"/>
    <w:rsid w:val="007B436D"/>
    <w:rsid w:val="007B5283"/>
    <w:rsid w:val="007B54A8"/>
    <w:rsid w:val="007B58FD"/>
    <w:rsid w:val="007B64DE"/>
    <w:rsid w:val="007B7107"/>
    <w:rsid w:val="007B72EE"/>
    <w:rsid w:val="007B7AB2"/>
    <w:rsid w:val="007B7BE1"/>
    <w:rsid w:val="007C3692"/>
    <w:rsid w:val="007C3741"/>
    <w:rsid w:val="007C463B"/>
    <w:rsid w:val="007C5051"/>
    <w:rsid w:val="007C66E6"/>
    <w:rsid w:val="007C6A29"/>
    <w:rsid w:val="007C7927"/>
    <w:rsid w:val="007D01D3"/>
    <w:rsid w:val="007D0544"/>
    <w:rsid w:val="007D0CA5"/>
    <w:rsid w:val="007D1071"/>
    <w:rsid w:val="007D12B3"/>
    <w:rsid w:val="007D1BD1"/>
    <w:rsid w:val="007D23B0"/>
    <w:rsid w:val="007D49DD"/>
    <w:rsid w:val="007D545A"/>
    <w:rsid w:val="007D5FDD"/>
    <w:rsid w:val="007D62D8"/>
    <w:rsid w:val="007D691C"/>
    <w:rsid w:val="007D7666"/>
    <w:rsid w:val="007D7E15"/>
    <w:rsid w:val="007E021B"/>
    <w:rsid w:val="007E25E2"/>
    <w:rsid w:val="007E3232"/>
    <w:rsid w:val="007E3795"/>
    <w:rsid w:val="007E61DA"/>
    <w:rsid w:val="007E6340"/>
    <w:rsid w:val="007E64F3"/>
    <w:rsid w:val="007E6CA7"/>
    <w:rsid w:val="007E7601"/>
    <w:rsid w:val="007F0151"/>
    <w:rsid w:val="007F0282"/>
    <w:rsid w:val="007F177F"/>
    <w:rsid w:val="007F1A0F"/>
    <w:rsid w:val="007F23D9"/>
    <w:rsid w:val="007F2428"/>
    <w:rsid w:val="007F39BB"/>
    <w:rsid w:val="007F6F65"/>
    <w:rsid w:val="00800747"/>
    <w:rsid w:val="00802BA3"/>
    <w:rsid w:val="008042D1"/>
    <w:rsid w:val="00804D11"/>
    <w:rsid w:val="008050FC"/>
    <w:rsid w:val="0080551A"/>
    <w:rsid w:val="00805734"/>
    <w:rsid w:val="008061B5"/>
    <w:rsid w:val="00807C9E"/>
    <w:rsid w:val="00807F63"/>
    <w:rsid w:val="00810C80"/>
    <w:rsid w:val="008112F7"/>
    <w:rsid w:val="008119EC"/>
    <w:rsid w:val="00812183"/>
    <w:rsid w:val="0081245A"/>
    <w:rsid w:val="00812816"/>
    <w:rsid w:val="00812A46"/>
    <w:rsid w:val="00813EB2"/>
    <w:rsid w:val="00814479"/>
    <w:rsid w:val="00814909"/>
    <w:rsid w:val="0081795B"/>
    <w:rsid w:val="0082023C"/>
    <w:rsid w:val="00820D17"/>
    <w:rsid w:val="008214BE"/>
    <w:rsid w:val="00821E0A"/>
    <w:rsid w:val="008221E7"/>
    <w:rsid w:val="00822ADB"/>
    <w:rsid w:val="0082376A"/>
    <w:rsid w:val="00823E64"/>
    <w:rsid w:val="008240AE"/>
    <w:rsid w:val="0082427D"/>
    <w:rsid w:val="00825849"/>
    <w:rsid w:val="00825BA8"/>
    <w:rsid w:val="00825F8A"/>
    <w:rsid w:val="008260C0"/>
    <w:rsid w:val="00831C1D"/>
    <w:rsid w:val="00831FF7"/>
    <w:rsid w:val="00833AF8"/>
    <w:rsid w:val="00834B8B"/>
    <w:rsid w:val="00836323"/>
    <w:rsid w:val="00836527"/>
    <w:rsid w:val="00836BDA"/>
    <w:rsid w:val="00841D77"/>
    <w:rsid w:val="00843F3F"/>
    <w:rsid w:val="00844B6D"/>
    <w:rsid w:val="00844DAF"/>
    <w:rsid w:val="00845B62"/>
    <w:rsid w:val="00845FE5"/>
    <w:rsid w:val="008502AF"/>
    <w:rsid w:val="00851D62"/>
    <w:rsid w:val="008522DB"/>
    <w:rsid w:val="008536AF"/>
    <w:rsid w:val="00853E67"/>
    <w:rsid w:val="00855F3A"/>
    <w:rsid w:val="00857ABB"/>
    <w:rsid w:val="00857C52"/>
    <w:rsid w:val="0086056D"/>
    <w:rsid w:val="00861887"/>
    <w:rsid w:val="00864AA8"/>
    <w:rsid w:val="00865A27"/>
    <w:rsid w:val="008674E2"/>
    <w:rsid w:val="008675AD"/>
    <w:rsid w:val="008710DA"/>
    <w:rsid w:val="00873B52"/>
    <w:rsid w:val="00873BEA"/>
    <w:rsid w:val="00874878"/>
    <w:rsid w:val="008748FC"/>
    <w:rsid w:val="00874DCD"/>
    <w:rsid w:val="00876E3C"/>
    <w:rsid w:val="00880294"/>
    <w:rsid w:val="00880297"/>
    <w:rsid w:val="0088103A"/>
    <w:rsid w:val="00881CBF"/>
    <w:rsid w:val="00881D49"/>
    <w:rsid w:val="00881EA0"/>
    <w:rsid w:val="00883086"/>
    <w:rsid w:val="00883902"/>
    <w:rsid w:val="00883D4F"/>
    <w:rsid w:val="00884375"/>
    <w:rsid w:val="008846A1"/>
    <w:rsid w:val="00884DB6"/>
    <w:rsid w:val="00886B80"/>
    <w:rsid w:val="00887C86"/>
    <w:rsid w:val="008911A5"/>
    <w:rsid w:val="008918D9"/>
    <w:rsid w:val="00891AF9"/>
    <w:rsid w:val="00892248"/>
    <w:rsid w:val="00893935"/>
    <w:rsid w:val="00893990"/>
    <w:rsid w:val="00894375"/>
    <w:rsid w:val="008954B6"/>
    <w:rsid w:val="008959FB"/>
    <w:rsid w:val="00896586"/>
    <w:rsid w:val="008A1216"/>
    <w:rsid w:val="008A1F0E"/>
    <w:rsid w:val="008A4564"/>
    <w:rsid w:val="008A60B9"/>
    <w:rsid w:val="008A6DE7"/>
    <w:rsid w:val="008A7F92"/>
    <w:rsid w:val="008B07AD"/>
    <w:rsid w:val="008B2294"/>
    <w:rsid w:val="008B23D7"/>
    <w:rsid w:val="008B258A"/>
    <w:rsid w:val="008B2688"/>
    <w:rsid w:val="008B33C7"/>
    <w:rsid w:val="008B3C9F"/>
    <w:rsid w:val="008B60E3"/>
    <w:rsid w:val="008B6E81"/>
    <w:rsid w:val="008C01C4"/>
    <w:rsid w:val="008C08A2"/>
    <w:rsid w:val="008C0B4A"/>
    <w:rsid w:val="008C1B59"/>
    <w:rsid w:val="008C2098"/>
    <w:rsid w:val="008C2D4E"/>
    <w:rsid w:val="008C2E71"/>
    <w:rsid w:val="008C3AA9"/>
    <w:rsid w:val="008C5583"/>
    <w:rsid w:val="008C56A3"/>
    <w:rsid w:val="008C6507"/>
    <w:rsid w:val="008C7C50"/>
    <w:rsid w:val="008D2825"/>
    <w:rsid w:val="008D3B2D"/>
    <w:rsid w:val="008D4C20"/>
    <w:rsid w:val="008D4D0C"/>
    <w:rsid w:val="008D61FA"/>
    <w:rsid w:val="008D7A9A"/>
    <w:rsid w:val="008D7CCF"/>
    <w:rsid w:val="008E0481"/>
    <w:rsid w:val="008E25A8"/>
    <w:rsid w:val="008E3F3E"/>
    <w:rsid w:val="008E46A8"/>
    <w:rsid w:val="008E4C4F"/>
    <w:rsid w:val="008E6055"/>
    <w:rsid w:val="008F1B43"/>
    <w:rsid w:val="008F1F5B"/>
    <w:rsid w:val="008F3D76"/>
    <w:rsid w:val="008F3FDD"/>
    <w:rsid w:val="008F5754"/>
    <w:rsid w:val="008F597C"/>
    <w:rsid w:val="008F5EA6"/>
    <w:rsid w:val="008F7535"/>
    <w:rsid w:val="008F7E0B"/>
    <w:rsid w:val="009000FE"/>
    <w:rsid w:val="00900330"/>
    <w:rsid w:val="00900B4D"/>
    <w:rsid w:val="00900C4D"/>
    <w:rsid w:val="00901A6E"/>
    <w:rsid w:val="0090427A"/>
    <w:rsid w:val="00904372"/>
    <w:rsid w:val="00904E3E"/>
    <w:rsid w:val="0090564A"/>
    <w:rsid w:val="00905D85"/>
    <w:rsid w:val="00906535"/>
    <w:rsid w:val="00906D4C"/>
    <w:rsid w:val="00907C4B"/>
    <w:rsid w:val="00911300"/>
    <w:rsid w:val="00912456"/>
    <w:rsid w:val="00912EC6"/>
    <w:rsid w:val="00913B96"/>
    <w:rsid w:val="009153C5"/>
    <w:rsid w:val="00915801"/>
    <w:rsid w:val="0091660B"/>
    <w:rsid w:val="009212D5"/>
    <w:rsid w:val="00921706"/>
    <w:rsid w:val="009230DD"/>
    <w:rsid w:val="0092370D"/>
    <w:rsid w:val="00923833"/>
    <w:rsid w:val="00923C43"/>
    <w:rsid w:val="00923D21"/>
    <w:rsid w:val="00924CF0"/>
    <w:rsid w:val="00925200"/>
    <w:rsid w:val="00925B7A"/>
    <w:rsid w:val="0092656D"/>
    <w:rsid w:val="00927308"/>
    <w:rsid w:val="009274D3"/>
    <w:rsid w:val="00927EAF"/>
    <w:rsid w:val="00930806"/>
    <w:rsid w:val="009309C0"/>
    <w:rsid w:val="00930F9D"/>
    <w:rsid w:val="00930FAF"/>
    <w:rsid w:val="00931BB2"/>
    <w:rsid w:val="00933E92"/>
    <w:rsid w:val="0093437C"/>
    <w:rsid w:val="0093508D"/>
    <w:rsid w:val="00935C19"/>
    <w:rsid w:val="009378C5"/>
    <w:rsid w:val="009405D4"/>
    <w:rsid w:val="009421AC"/>
    <w:rsid w:val="0094414E"/>
    <w:rsid w:val="00944B1E"/>
    <w:rsid w:val="00944E41"/>
    <w:rsid w:val="009452B7"/>
    <w:rsid w:val="00945438"/>
    <w:rsid w:val="009478B1"/>
    <w:rsid w:val="00950006"/>
    <w:rsid w:val="0095011F"/>
    <w:rsid w:val="0095088E"/>
    <w:rsid w:val="009508B3"/>
    <w:rsid w:val="009542EC"/>
    <w:rsid w:val="0095475F"/>
    <w:rsid w:val="0095488C"/>
    <w:rsid w:val="00954C86"/>
    <w:rsid w:val="00956C38"/>
    <w:rsid w:val="00957A69"/>
    <w:rsid w:val="00963131"/>
    <w:rsid w:val="009633F1"/>
    <w:rsid w:val="009643CD"/>
    <w:rsid w:val="00964537"/>
    <w:rsid w:val="0096469C"/>
    <w:rsid w:val="009652C3"/>
    <w:rsid w:val="00965389"/>
    <w:rsid w:val="00965651"/>
    <w:rsid w:val="009664A4"/>
    <w:rsid w:val="00966DD4"/>
    <w:rsid w:val="00967799"/>
    <w:rsid w:val="00967FBB"/>
    <w:rsid w:val="009702C6"/>
    <w:rsid w:val="00970804"/>
    <w:rsid w:val="0097273C"/>
    <w:rsid w:val="00972CAE"/>
    <w:rsid w:val="00976BF4"/>
    <w:rsid w:val="00981C91"/>
    <w:rsid w:val="00982317"/>
    <w:rsid w:val="0098235E"/>
    <w:rsid w:val="00982B5B"/>
    <w:rsid w:val="009832D9"/>
    <w:rsid w:val="00984712"/>
    <w:rsid w:val="00985BAC"/>
    <w:rsid w:val="009915CB"/>
    <w:rsid w:val="00992452"/>
    <w:rsid w:val="0099258B"/>
    <w:rsid w:val="009940FA"/>
    <w:rsid w:val="00995A40"/>
    <w:rsid w:val="00997796"/>
    <w:rsid w:val="00997907"/>
    <w:rsid w:val="00997EC0"/>
    <w:rsid w:val="009A07EE"/>
    <w:rsid w:val="009A1293"/>
    <w:rsid w:val="009A1B31"/>
    <w:rsid w:val="009A1D31"/>
    <w:rsid w:val="009A2A9A"/>
    <w:rsid w:val="009A3C16"/>
    <w:rsid w:val="009A53E5"/>
    <w:rsid w:val="009A5A4C"/>
    <w:rsid w:val="009A6AAA"/>
    <w:rsid w:val="009A6FCD"/>
    <w:rsid w:val="009A6FF1"/>
    <w:rsid w:val="009A7514"/>
    <w:rsid w:val="009A7B0D"/>
    <w:rsid w:val="009A7F0F"/>
    <w:rsid w:val="009B21E1"/>
    <w:rsid w:val="009B299F"/>
    <w:rsid w:val="009B29ED"/>
    <w:rsid w:val="009B2ED2"/>
    <w:rsid w:val="009B4EB7"/>
    <w:rsid w:val="009B5A02"/>
    <w:rsid w:val="009B6664"/>
    <w:rsid w:val="009B6E16"/>
    <w:rsid w:val="009C1B78"/>
    <w:rsid w:val="009C2A90"/>
    <w:rsid w:val="009C40DB"/>
    <w:rsid w:val="009C5E4E"/>
    <w:rsid w:val="009C5F43"/>
    <w:rsid w:val="009C6358"/>
    <w:rsid w:val="009D036B"/>
    <w:rsid w:val="009D1DB7"/>
    <w:rsid w:val="009D20EA"/>
    <w:rsid w:val="009D27B7"/>
    <w:rsid w:val="009D29A2"/>
    <w:rsid w:val="009D398C"/>
    <w:rsid w:val="009D4187"/>
    <w:rsid w:val="009D4380"/>
    <w:rsid w:val="009D4406"/>
    <w:rsid w:val="009D44A9"/>
    <w:rsid w:val="009D4F56"/>
    <w:rsid w:val="009D5944"/>
    <w:rsid w:val="009D6B8D"/>
    <w:rsid w:val="009D6DA6"/>
    <w:rsid w:val="009D7668"/>
    <w:rsid w:val="009D7B3B"/>
    <w:rsid w:val="009E0037"/>
    <w:rsid w:val="009E0834"/>
    <w:rsid w:val="009E0C69"/>
    <w:rsid w:val="009E1478"/>
    <w:rsid w:val="009E385D"/>
    <w:rsid w:val="009E3C8F"/>
    <w:rsid w:val="009E4698"/>
    <w:rsid w:val="009E4C78"/>
    <w:rsid w:val="009E5B71"/>
    <w:rsid w:val="009E6806"/>
    <w:rsid w:val="009F10EF"/>
    <w:rsid w:val="009F2242"/>
    <w:rsid w:val="009F2602"/>
    <w:rsid w:val="009F2D84"/>
    <w:rsid w:val="009F4461"/>
    <w:rsid w:val="009F45F6"/>
    <w:rsid w:val="009F489A"/>
    <w:rsid w:val="009F6831"/>
    <w:rsid w:val="009F77DD"/>
    <w:rsid w:val="009F7E18"/>
    <w:rsid w:val="00A0073B"/>
    <w:rsid w:val="00A00A7F"/>
    <w:rsid w:val="00A00E79"/>
    <w:rsid w:val="00A02E3E"/>
    <w:rsid w:val="00A043A4"/>
    <w:rsid w:val="00A067EC"/>
    <w:rsid w:val="00A075DF"/>
    <w:rsid w:val="00A0767B"/>
    <w:rsid w:val="00A109F8"/>
    <w:rsid w:val="00A109FC"/>
    <w:rsid w:val="00A10E78"/>
    <w:rsid w:val="00A1211F"/>
    <w:rsid w:val="00A1350C"/>
    <w:rsid w:val="00A13616"/>
    <w:rsid w:val="00A137D8"/>
    <w:rsid w:val="00A13EE2"/>
    <w:rsid w:val="00A1496B"/>
    <w:rsid w:val="00A174D7"/>
    <w:rsid w:val="00A2192E"/>
    <w:rsid w:val="00A2197F"/>
    <w:rsid w:val="00A21985"/>
    <w:rsid w:val="00A2251E"/>
    <w:rsid w:val="00A23105"/>
    <w:rsid w:val="00A23471"/>
    <w:rsid w:val="00A23DF1"/>
    <w:rsid w:val="00A25280"/>
    <w:rsid w:val="00A2570B"/>
    <w:rsid w:val="00A26A50"/>
    <w:rsid w:val="00A3064A"/>
    <w:rsid w:val="00A31315"/>
    <w:rsid w:val="00A31891"/>
    <w:rsid w:val="00A32055"/>
    <w:rsid w:val="00A32DEA"/>
    <w:rsid w:val="00A32ED5"/>
    <w:rsid w:val="00A336E6"/>
    <w:rsid w:val="00A347E5"/>
    <w:rsid w:val="00A34A86"/>
    <w:rsid w:val="00A353F3"/>
    <w:rsid w:val="00A356C5"/>
    <w:rsid w:val="00A35BC2"/>
    <w:rsid w:val="00A365AA"/>
    <w:rsid w:val="00A40CFC"/>
    <w:rsid w:val="00A41919"/>
    <w:rsid w:val="00A43C8D"/>
    <w:rsid w:val="00A45DAD"/>
    <w:rsid w:val="00A45DB3"/>
    <w:rsid w:val="00A475B2"/>
    <w:rsid w:val="00A47C59"/>
    <w:rsid w:val="00A50691"/>
    <w:rsid w:val="00A50702"/>
    <w:rsid w:val="00A52BFD"/>
    <w:rsid w:val="00A542C1"/>
    <w:rsid w:val="00A54EFE"/>
    <w:rsid w:val="00A55DEC"/>
    <w:rsid w:val="00A5664E"/>
    <w:rsid w:val="00A607C5"/>
    <w:rsid w:val="00A60DB8"/>
    <w:rsid w:val="00A61B3F"/>
    <w:rsid w:val="00A62509"/>
    <w:rsid w:val="00A6447F"/>
    <w:rsid w:val="00A65D74"/>
    <w:rsid w:val="00A66E4F"/>
    <w:rsid w:val="00A6703F"/>
    <w:rsid w:val="00A675DE"/>
    <w:rsid w:val="00A67C22"/>
    <w:rsid w:val="00A70C6E"/>
    <w:rsid w:val="00A70F7B"/>
    <w:rsid w:val="00A7202E"/>
    <w:rsid w:val="00A7394C"/>
    <w:rsid w:val="00A74C4D"/>
    <w:rsid w:val="00A75D3A"/>
    <w:rsid w:val="00A75E56"/>
    <w:rsid w:val="00A762B3"/>
    <w:rsid w:val="00A76A03"/>
    <w:rsid w:val="00A80B64"/>
    <w:rsid w:val="00A80F3F"/>
    <w:rsid w:val="00A81A1B"/>
    <w:rsid w:val="00A826FB"/>
    <w:rsid w:val="00A83941"/>
    <w:rsid w:val="00A84109"/>
    <w:rsid w:val="00A84FB4"/>
    <w:rsid w:val="00A8514B"/>
    <w:rsid w:val="00A8519C"/>
    <w:rsid w:val="00A857C5"/>
    <w:rsid w:val="00A86171"/>
    <w:rsid w:val="00A863FD"/>
    <w:rsid w:val="00A865BF"/>
    <w:rsid w:val="00A87CCD"/>
    <w:rsid w:val="00A90FCB"/>
    <w:rsid w:val="00A91843"/>
    <w:rsid w:val="00A920F8"/>
    <w:rsid w:val="00A92D34"/>
    <w:rsid w:val="00A93E83"/>
    <w:rsid w:val="00A944DD"/>
    <w:rsid w:val="00A95E91"/>
    <w:rsid w:val="00A95EA2"/>
    <w:rsid w:val="00A95FD4"/>
    <w:rsid w:val="00A961F2"/>
    <w:rsid w:val="00A963D2"/>
    <w:rsid w:val="00A96BCC"/>
    <w:rsid w:val="00AA25BB"/>
    <w:rsid w:val="00AA2CD4"/>
    <w:rsid w:val="00AA3259"/>
    <w:rsid w:val="00AA3C56"/>
    <w:rsid w:val="00AB03CC"/>
    <w:rsid w:val="00AB04D5"/>
    <w:rsid w:val="00AB109A"/>
    <w:rsid w:val="00AB1A80"/>
    <w:rsid w:val="00AB286E"/>
    <w:rsid w:val="00AB3884"/>
    <w:rsid w:val="00AB396A"/>
    <w:rsid w:val="00AB6270"/>
    <w:rsid w:val="00AB645F"/>
    <w:rsid w:val="00AB6A14"/>
    <w:rsid w:val="00AC0544"/>
    <w:rsid w:val="00AC0905"/>
    <w:rsid w:val="00AC1DD0"/>
    <w:rsid w:val="00AC21B0"/>
    <w:rsid w:val="00AC254A"/>
    <w:rsid w:val="00AC528C"/>
    <w:rsid w:val="00AC6383"/>
    <w:rsid w:val="00AC63F6"/>
    <w:rsid w:val="00AC6E44"/>
    <w:rsid w:val="00AD0327"/>
    <w:rsid w:val="00AD0AA8"/>
    <w:rsid w:val="00AD0E1D"/>
    <w:rsid w:val="00AD0F43"/>
    <w:rsid w:val="00AD145D"/>
    <w:rsid w:val="00AD23C4"/>
    <w:rsid w:val="00AD4292"/>
    <w:rsid w:val="00AD4BEC"/>
    <w:rsid w:val="00AD55BB"/>
    <w:rsid w:val="00AD58C1"/>
    <w:rsid w:val="00AD6B64"/>
    <w:rsid w:val="00AD76F4"/>
    <w:rsid w:val="00AE1C27"/>
    <w:rsid w:val="00AE1FFB"/>
    <w:rsid w:val="00AE3D7C"/>
    <w:rsid w:val="00AE4E85"/>
    <w:rsid w:val="00AE4F65"/>
    <w:rsid w:val="00AE57C8"/>
    <w:rsid w:val="00AE5D9C"/>
    <w:rsid w:val="00AE612E"/>
    <w:rsid w:val="00AE7152"/>
    <w:rsid w:val="00AF0997"/>
    <w:rsid w:val="00AF421C"/>
    <w:rsid w:val="00AF4C31"/>
    <w:rsid w:val="00AF5AFB"/>
    <w:rsid w:val="00AF6464"/>
    <w:rsid w:val="00AF737E"/>
    <w:rsid w:val="00AF7D57"/>
    <w:rsid w:val="00B00CBC"/>
    <w:rsid w:val="00B02451"/>
    <w:rsid w:val="00B04ACB"/>
    <w:rsid w:val="00B06611"/>
    <w:rsid w:val="00B07965"/>
    <w:rsid w:val="00B104AB"/>
    <w:rsid w:val="00B1283A"/>
    <w:rsid w:val="00B12E4E"/>
    <w:rsid w:val="00B1330C"/>
    <w:rsid w:val="00B151D8"/>
    <w:rsid w:val="00B15AE1"/>
    <w:rsid w:val="00B1724A"/>
    <w:rsid w:val="00B203F0"/>
    <w:rsid w:val="00B20BB0"/>
    <w:rsid w:val="00B227A8"/>
    <w:rsid w:val="00B22CE1"/>
    <w:rsid w:val="00B2315E"/>
    <w:rsid w:val="00B23420"/>
    <w:rsid w:val="00B23CBF"/>
    <w:rsid w:val="00B2471D"/>
    <w:rsid w:val="00B24B99"/>
    <w:rsid w:val="00B24EBE"/>
    <w:rsid w:val="00B25BDB"/>
    <w:rsid w:val="00B264D0"/>
    <w:rsid w:val="00B26F32"/>
    <w:rsid w:val="00B276E3"/>
    <w:rsid w:val="00B30360"/>
    <w:rsid w:val="00B31313"/>
    <w:rsid w:val="00B31D86"/>
    <w:rsid w:val="00B33864"/>
    <w:rsid w:val="00B349CD"/>
    <w:rsid w:val="00B34EC6"/>
    <w:rsid w:val="00B34ED0"/>
    <w:rsid w:val="00B35271"/>
    <w:rsid w:val="00B37404"/>
    <w:rsid w:val="00B3773A"/>
    <w:rsid w:val="00B43500"/>
    <w:rsid w:val="00B443B2"/>
    <w:rsid w:val="00B451B5"/>
    <w:rsid w:val="00B45B04"/>
    <w:rsid w:val="00B45FBC"/>
    <w:rsid w:val="00B50DCA"/>
    <w:rsid w:val="00B5140B"/>
    <w:rsid w:val="00B520D2"/>
    <w:rsid w:val="00B52BE6"/>
    <w:rsid w:val="00B538DF"/>
    <w:rsid w:val="00B53B5C"/>
    <w:rsid w:val="00B53E09"/>
    <w:rsid w:val="00B55586"/>
    <w:rsid w:val="00B57F5B"/>
    <w:rsid w:val="00B61252"/>
    <w:rsid w:val="00B61A61"/>
    <w:rsid w:val="00B62599"/>
    <w:rsid w:val="00B62875"/>
    <w:rsid w:val="00B63011"/>
    <w:rsid w:val="00B63D3E"/>
    <w:rsid w:val="00B63FB0"/>
    <w:rsid w:val="00B642D4"/>
    <w:rsid w:val="00B64FAD"/>
    <w:rsid w:val="00B65DB4"/>
    <w:rsid w:val="00B66A32"/>
    <w:rsid w:val="00B66F5E"/>
    <w:rsid w:val="00B67431"/>
    <w:rsid w:val="00B67A40"/>
    <w:rsid w:val="00B70E1B"/>
    <w:rsid w:val="00B715E5"/>
    <w:rsid w:val="00B71B56"/>
    <w:rsid w:val="00B71D29"/>
    <w:rsid w:val="00B722EF"/>
    <w:rsid w:val="00B72D38"/>
    <w:rsid w:val="00B73441"/>
    <w:rsid w:val="00B76B7E"/>
    <w:rsid w:val="00B7731D"/>
    <w:rsid w:val="00B80345"/>
    <w:rsid w:val="00B81479"/>
    <w:rsid w:val="00B81988"/>
    <w:rsid w:val="00B82631"/>
    <w:rsid w:val="00B8429D"/>
    <w:rsid w:val="00B8644F"/>
    <w:rsid w:val="00B86C62"/>
    <w:rsid w:val="00B90F28"/>
    <w:rsid w:val="00B91903"/>
    <w:rsid w:val="00B91DF0"/>
    <w:rsid w:val="00B91FED"/>
    <w:rsid w:val="00B92688"/>
    <w:rsid w:val="00B93738"/>
    <w:rsid w:val="00B94803"/>
    <w:rsid w:val="00B95748"/>
    <w:rsid w:val="00B971AC"/>
    <w:rsid w:val="00BA09BD"/>
    <w:rsid w:val="00BA10AE"/>
    <w:rsid w:val="00BA2BDA"/>
    <w:rsid w:val="00BA3D2C"/>
    <w:rsid w:val="00BA40A9"/>
    <w:rsid w:val="00BA5B35"/>
    <w:rsid w:val="00BA5EEB"/>
    <w:rsid w:val="00BA6450"/>
    <w:rsid w:val="00BA6DA1"/>
    <w:rsid w:val="00BA6F0B"/>
    <w:rsid w:val="00BA7A9F"/>
    <w:rsid w:val="00BB0136"/>
    <w:rsid w:val="00BB1146"/>
    <w:rsid w:val="00BB13F5"/>
    <w:rsid w:val="00BB1B63"/>
    <w:rsid w:val="00BB2B22"/>
    <w:rsid w:val="00BB312A"/>
    <w:rsid w:val="00BB3C12"/>
    <w:rsid w:val="00BB497E"/>
    <w:rsid w:val="00BB7C3F"/>
    <w:rsid w:val="00BC0AB5"/>
    <w:rsid w:val="00BC17B4"/>
    <w:rsid w:val="00BC2006"/>
    <w:rsid w:val="00BC206C"/>
    <w:rsid w:val="00BC2C5B"/>
    <w:rsid w:val="00BC2F7C"/>
    <w:rsid w:val="00BC3555"/>
    <w:rsid w:val="00BC47BB"/>
    <w:rsid w:val="00BC664C"/>
    <w:rsid w:val="00BD028D"/>
    <w:rsid w:val="00BD0718"/>
    <w:rsid w:val="00BD0C0E"/>
    <w:rsid w:val="00BD1BD6"/>
    <w:rsid w:val="00BD2E5C"/>
    <w:rsid w:val="00BD3400"/>
    <w:rsid w:val="00BD394F"/>
    <w:rsid w:val="00BD54CF"/>
    <w:rsid w:val="00BD56AF"/>
    <w:rsid w:val="00BD64D3"/>
    <w:rsid w:val="00BD6766"/>
    <w:rsid w:val="00BD7A03"/>
    <w:rsid w:val="00BE04E7"/>
    <w:rsid w:val="00BE06D6"/>
    <w:rsid w:val="00BE1C07"/>
    <w:rsid w:val="00BE4978"/>
    <w:rsid w:val="00BE57E4"/>
    <w:rsid w:val="00BE6859"/>
    <w:rsid w:val="00BE7087"/>
    <w:rsid w:val="00BE7915"/>
    <w:rsid w:val="00BF0529"/>
    <w:rsid w:val="00BF11C7"/>
    <w:rsid w:val="00BF16CD"/>
    <w:rsid w:val="00BF1B14"/>
    <w:rsid w:val="00BF4923"/>
    <w:rsid w:val="00BF513E"/>
    <w:rsid w:val="00BF54C1"/>
    <w:rsid w:val="00C00B12"/>
    <w:rsid w:val="00C01747"/>
    <w:rsid w:val="00C02EA6"/>
    <w:rsid w:val="00C02FBB"/>
    <w:rsid w:val="00C04ED4"/>
    <w:rsid w:val="00C057D7"/>
    <w:rsid w:val="00C077B3"/>
    <w:rsid w:val="00C10252"/>
    <w:rsid w:val="00C10FC7"/>
    <w:rsid w:val="00C126F6"/>
    <w:rsid w:val="00C135E0"/>
    <w:rsid w:val="00C13E61"/>
    <w:rsid w:val="00C15D10"/>
    <w:rsid w:val="00C16822"/>
    <w:rsid w:val="00C1685F"/>
    <w:rsid w:val="00C16E5E"/>
    <w:rsid w:val="00C17113"/>
    <w:rsid w:val="00C1718C"/>
    <w:rsid w:val="00C17D34"/>
    <w:rsid w:val="00C205A8"/>
    <w:rsid w:val="00C20DEF"/>
    <w:rsid w:val="00C211E8"/>
    <w:rsid w:val="00C22445"/>
    <w:rsid w:val="00C23722"/>
    <w:rsid w:val="00C250F5"/>
    <w:rsid w:val="00C27E50"/>
    <w:rsid w:val="00C303FA"/>
    <w:rsid w:val="00C31136"/>
    <w:rsid w:val="00C31296"/>
    <w:rsid w:val="00C31433"/>
    <w:rsid w:val="00C317AC"/>
    <w:rsid w:val="00C31C45"/>
    <w:rsid w:val="00C321D8"/>
    <w:rsid w:val="00C3310C"/>
    <w:rsid w:val="00C41052"/>
    <w:rsid w:val="00C418C8"/>
    <w:rsid w:val="00C43922"/>
    <w:rsid w:val="00C43B30"/>
    <w:rsid w:val="00C44E72"/>
    <w:rsid w:val="00C47512"/>
    <w:rsid w:val="00C51DD8"/>
    <w:rsid w:val="00C530FC"/>
    <w:rsid w:val="00C53CBD"/>
    <w:rsid w:val="00C54F2C"/>
    <w:rsid w:val="00C558C1"/>
    <w:rsid w:val="00C565AB"/>
    <w:rsid w:val="00C5697A"/>
    <w:rsid w:val="00C57EB7"/>
    <w:rsid w:val="00C60933"/>
    <w:rsid w:val="00C61676"/>
    <w:rsid w:val="00C61CD1"/>
    <w:rsid w:val="00C62316"/>
    <w:rsid w:val="00C62D63"/>
    <w:rsid w:val="00C6313E"/>
    <w:rsid w:val="00C634A4"/>
    <w:rsid w:val="00C63A84"/>
    <w:rsid w:val="00C6489A"/>
    <w:rsid w:val="00C650EF"/>
    <w:rsid w:val="00C651CD"/>
    <w:rsid w:val="00C653B4"/>
    <w:rsid w:val="00C6648A"/>
    <w:rsid w:val="00C668EB"/>
    <w:rsid w:val="00C66CA0"/>
    <w:rsid w:val="00C67E75"/>
    <w:rsid w:val="00C67FB0"/>
    <w:rsid w:val="00C70607"/>
    <w:rsid w:val="00C721DE"/>
    <w:rsid w:val="00C74247"/>
    <w:rsid w:val="00C74B0D"/>
    <w:rsid w:val="00C76223"/>
    <w:rsid w:val="00C76366"/>
    <w:rsid w:val="00C76C38"/>
    <w:rsid w:val="00C77493"/>
    <w:rsid w:val="00C83D8E"/>
    <w:rsid w:val="00C85150"/>
    <w:rsid w:val="00C85E73"/>
    <w:rsid w:val="00C87D9A"/>
    <w:rsid w:val="00C90CDD"/>
    <w:rsid w:val="00C9284D"/>
    <w:rsid w:val="00C94BDF"/>
    <w:rsid w:val="00C96400"/>
    <w:rsid w:val="00C96AC6"/>
    <w:rsid w:val="00CA1C3A"/>
    <w:rsid w:val="00CA3B10"/>
    <w:rsid w:val="00CA4E72"/>
    <w:rsid w:val="00CA5D5C"/>
    <w:rsid w:val="00CB1D4C"/>
    <w:rsid w:val="00CB3B7D"/>
    <w:rsid w:val="00CB3DD7"/>
    <w:rsid w:val="00CB57D4"/>
    <w:rsid w:val="00CB617A"/>
    <w:rsid w:val="00CB70A2"/>
    <w:rsid w:val="00CB7900"/>
    <w:rsid w:val="00CB7FD6"/>
    <w:rsid w:val="00CC026C"/>
    <w:rsid w:val="00CC0347"/>
    <w:rsid w:val="00CC0727"/>
    <w:rsid w:val="00CC1AC1"/>
    <w:rsid w:val="00CC2BF5"/>
    <w:rsid w:val="00CC2E85"/>
    <w:rsid w:val="00CC2F3A"/>
    <w:rsid w:val="00CC2FDF"/>
    <w:rsid w:val="00CC5C11"/>
    <w:rsid w:val="00CC7702"/>
    <w:rsid w:val="00CC7973"/>
    <w:rsid w:val="00CC7CF7"/>
    <w:rsid w:val="00CC7D14"/>
    <w:rsid w:val="00CD034E"/>
    <w:rsid w:val="00CD2793"/>
    <w:rsid w:val="00CD2A41"/>
    <w:rsid w:val="00CD38BE"/>
    <w:rsid w:val="00CD3C9B"/>
    <w:rsid w:val="00CD533C"/>
    <w:rsid w:val="00CD5AFA"/>
    <w:rsid w:val="00CD6A86"/>
    <w:rsid w:val="00CD6F14"/>
    <w:rsid w:val="00CD7E77"/>
    <w:rsid w:val="00CE1545"/>
    <w:rsid w:val="00CE1B75"/>
    <w:rsid w:val="00CE4246"/>
    <w:rsid w:val="00CE4D15"/>
    <w:rsid w:val="00CE6985"/>
    <w:rsid w:val="00CE69F2"/>
    <w:rsid w:val="00CE77AF"/>
    <w:rsid w:val="00CF02D0"/>
    <w:rsid w:val="00CF1994"/>
    <w:rsid w:val="00CF3E2F"/>
    <w:rsid w:val="00CF4B9A"/>
    <w:rsid w:val="00CF69B0"/>
    <w:rsid w:val="00CF6A48"/>
    <w:rsid w:val="00D00FCF"/>
    <w:rsid w:val="00D0172C"/>
    <w:rsid w:val="00D01AC1"/>
    <w:rsid w:val="00D02589"/>
    <w:rsid w:val="00D05956"/>
    <w:rsid w:val="00D07999"/>
    <w:rsid w:val="00D07A9E"/>
    <w:rsid w:val="00D112ED"/>
    <w:rsid w:val="00D11A8D"/>
    <w:rsid w:val="00D15522"/>
    <w:rsid w:val="00D15619"/>
    <w:rsid w:val="00D160AB"/>
    <w:rsid w:val="00D251E5"/>
    <w:rsid w:val="00D266B6"/>
    <w:rsid w:val="00D325CD"/>
    <w:rsid w:val="00D34F02"/>
    <w:rsid w:val="00D3695A"/>
    <w:rsid w:val="00D42595"/>
    <w:rsid w:val="00D42896"/>
    <w:rsid w:val="00D44013"/>
    <w:rsid w:val="00D44D43"/>
    <w:rsid w:val="00D4519B"/>
    <w:rsid w:val="00D457BA"/>
    <w:rsid w:val="00D463DC"/>
    <w:rsid w:val="00D471E7"/>
    <w:rsid w:val="00D47258"/>
    <w:rsid w:val="00D47BA8"/>
    <w:rsid w:val="00D47D7E"/>
    <w:rsid w:val="00D550F3"/>
    <w:rsid w:val="00D5637C"/>
    <w:rsid w:val="00D6024C"/>
    <w:rsid w:val="00D602A0"/>
    <w:rsid w:val="00D61EE4"/>
    <w:rsid w:val="00D63B3A"/>
    <w:rsid w:val="00D6422B"/>
    <w:rsid w:val="00D667A7"/>
    <w:rsid w:val="00D70A34"/>
    <w:rsid w:val="00D71236"/>
    <w:rsid w:val="00D72480"/>
    <w:rsid w:val="00D73F13"/>
    <w:rsid w:val="00D7578E"/>
    <w:rsid w:val="00D75C3C"/>
    <w:rsid w:val="00D75EB4"/>
    <w:rsid w:val="00D75F21"/>
    <w:rsid w:val="00D767F8"/>
    <w:rsid w:val="00D82223"/>
    <w:rsid w:val="00D833BE"/>
    <w:rsid w:val="00D86D29"/>
    <w:rsid w:val="00D86FCC"/>
    <w:rsid w:val="00D87D8F"/>
    <w:rsid w:val="00D90F0D"/>
    <w:rsid w:val="00D91639"/>
    <w:rsid w:val="00D931FC"/>
    <w:rsid w:val="00D939FF"/>
    <w:rsid w:val="00D93AFB"/>
    <w:rsid w:val="00D93B6F"/>
    <w:rsid w:val="00D94579"/>
    <w:rsid w:val="00D95627"/>
    <w:rsid w:val="00D96A9C"/>
    <w:rsid w:val="00D971DD"/>
    <w:rsid w:val="00D97E73"/>
    <w:rsid w:val="00DA021C"/>
    <w:rsid w:val="00DA2D1F"/>
    <w:rsid w:val="00DA3DB0"/>
    <w:rsid w:val="00DA50F7"/>
    <w:rsid w:val="00DA5A72"/>
    <w:rsid w:val="00DA5B24"/>
    <w:rsid w:val="00DA6B43"/>
    <w:rsid w:val="00DB0C0D"/>
    <w:rsid w:val="00DB131E"/>
    <w:rsid w:val="00DB370D"/>
    <w:rsid w:val="00DB4FCE"/>
    <w:rsid w:val="00DB51AC"/>
    <w:rsid w:val="00DB5675"/>
    <w:rsid w:val="00DB5DD0"/>
    <w:rsid w:val="00DB6352"/>
    <w:rsid w:val="00DB6BB3"/>
    <w:rsid w:val="00DB77B4"/>
    <w:rsid w:val="00DC0B29"/>
    <w:rsid w:val="00DC2919"/>
    <w:rsid w:val="00DC37CD"/>
    <w:rsid w:val="00DC380B"/>
    <w:rsid w:val="00DC4FB0"/>
    <w:rsid w:val="00DC5ECF"/>
    <w:rsid w:val="00DC6887"/>
    <w:rsid w:val="00DC6ED9"/>
    <w:rsid w:val="00DC7567"/>
    <w:rsid w:val="00DC7A75"/>
    <w:rsid w:val="00DD0E9A"/>
    <w:rsid w:val="00DD2600"/>
    <w:rsid w:val="00DD3208"/>
    <w:rsid w:val="00DD4569"/>
    <w:rsid w:val="00DD47E4"/>
    <w:rsid w:val="00DD4A2B"/>
    <w:rsid w:val="00DD5771"/>
    <w:rsid w:val="00DD591E"/>
    <w:rsid w:val="00DD7F7A"/>
    <w:rsid w:val="00DE386B"/>
    <w:rsid w:val="00DE6205"/>
    <w:rsid w:val="00DE6CB5"/>
    <w:rsid w:val="00DE7AD1"/>
    <w:rsid w:val="00DF2562"/>
    <w:rsid w:val="00DF566E"/>
    <w:rsid w:val="00DF66BE"/>
    <w:rsid w:val="00DF6E7D"/>
    <w:rsid w:val="00DF7426"/>
    <w:rsid w:val="00DF7FB7"/>
    <w:rsid w:val="00E00ACF"/>
    <w:rsid w:val="00E016CA"/>
    <w:rsid w:val="00E03F67"/>
    <w:rsid w:val="00E048AD"/>
    <w:rsid w:val="00E06AE3"/>
    <w:rsid w:val="00E06BE4"/>
    <w:rsid w:val="00E10611"/>
    <w:rsid w:val="00E11B1B"/>
    <w:rsid w:val="00E125E7"/>
    <w:rsid w:val="00E12FE5"/>
    <w:rsid w:val="00E137EB"/>
    <w:rsid w:val="00E14FCE"/>
    <w:rsid w:val="00E15C04"/>
    <w:rsid w:val="00E15CB0"/>
    <w:rsid w:val="00E17A3C"/>
    <w:rsid w:val="00E17A3F"/>
    <w:rsid w:val="00E17D23"/>
    <w:rsid w:val="00E20C89"/>
    <w:rsid w:val="00E223C3"/>
    <w:rsid w:val="00E2388A"/>
    <w:rsid w:val="00E239B5"/>
    <w:rsid w:val="00E239CF"/>
    <w:rsid w:val="00E23B0F"/>
    <w:rsid w:val="00E258CD"/>
    <w:rsid w:val="00E303BB"/>
    <w:rsid w:val="00E321D5"/>
    <w:rsid w:val="00E33CB3"/>
    <w:rsid w:val="00E422B8"/>
    <w:rsid w:val="00E4347C"/>
    <w:rsid w:val="00E44322"/>
    <w:rsid w:val="00E44FB4"/>
    <w:rsid w:val="00E45626"/>
    <w:rsid w:val="00E4573B"/>
    <w:rsid w:val="00E461F3"/>
    <w:rsid w:val="00E467E5"/>
    <w:rsid w:val="00E4689E"/>
    <w:rsid w:val="00E518BA"/>
    <w:rsid w:val="00E52933"/>
    <w:rsid w:val="00E54518"/>
    <w:rsid w:val="00E55B04"/>
    <w:rsid w:val="00E60B2C"/>
    <w:rsid w:val="00E60B32"/>
    <w:rsid w:val="00E60E80"/>
    <w:rsid w:val="00E61D98"/>
    <w:rsid w:val="00E61E6B"/>
    <w:rsid w:val="00E6271E"/>
    <w:rsid w:val="00E62B64"/>
    <w:rsid w:val="00E63032"/>
    <w:rsid w:val="00E63383"/>
    <w:rsid w:val="00E6469B"/>
    <w:rsid w:val="00E6469E"/>
    <w:rsid w:val="00E653DF"/>
    <w:rsid w:val="00E66448"/>
    <w:rsid w:val="00E66B18"/>
    <w:rsid w:val="00E674F6"/>
    <w:rsid w:val="00E67518"/>
    <w:rsid w:val="00E707B3"/>
    <w:rsid w:val="00E711ED"/>
    <w:rsid w:val="00E72E89"/>
    <w:rsid w:val="00E72F18"/>
    <w:rsid w:val="00E739C4"/>
    <w:rsid w:val="00E7468D"/>
    <w:rsid w:val="00E74719"/>
    <w:rsid w:val="00E74921"/>
    <w:rsid w:val="00E764CB"/>
    <w:rsid w:val="00E77203"/>
    <w:rsid w:val="00E77E80"/>
    <w:rsid w:val="00E815D5"/>
    <w:rsid w:val="00E8160C"/>
    <w:rsid w:val="00E81FBC"/>
    <w:rsid w:val="00E83045"/>
    <w:rsid w:val="00E841FB"/>
    <w:rsid w:val="00E8452E"/>
    <w:rsid w:val="00E8496E"/>
    <w:rsid w:val="00E86CC1"/>
    <w:rsid w:val="00E90CDB"/>
    <w:rsid w:val="00E91086"/>
    <w:rsid w:val="00E919B7"/>
    <w:rsid w:val="00E93DB5"/>
    <w:rsid w:val="00E941C6"/>
    <w:rsid w:val="00E95BA7"/>
    <w:rsid w:val="00E964DD"/>
    <w:rsid w:val="00EA01FC"/>
    <w:rsid w:val="00EA143E"/>
    <w:rsid w:val="00EA2FB7"/>
    <w:rsid w:val="00EA3319"/>
    <w:rsid w:val="00EA4745"/>
    <w:rsid w:val="00EA6FCD"/>
    <w:rsid w:val="00EB0EEA"/>
    <w:rsid w:val="00EB2447"/>
    <w:rsid w:val="00EB2B77"/>
    <w:rsid w:val="00EB516F"/>
    <w:rsid w:val="00EB57C5"/>
    <w:rsid w:val="00EB63C5"/>
    <w:rsid w:val="00EB6E5F"/>
    <w:rsid w:val="00EB7698"/>
    <w:rsid w:val="00EB7717"/>
    <w:rsid w:val="00EB78A7"/>
    <w:rsid w:val="00EB7C9C"/>
    <w:rsid w:val="00EC43CC"/>
    <w:rsid w:val="00EC43D9"/>
    <w:rsid w:val="00EC464F"/>
    <w:rsid w:val="00EC64F8"/>
    <w:rsid w:val="00EC657E"/>
    <w:rsid w:val="00EC6BAB"/>
    <w:rsid w:val="00EC6CB6"/>
    <w:rsid w:val="00EC70BC"/>
    <w:rsid w:val="00ED0C17"/>
    <w:rsid w:val="00ED1152"/>
    <w:rsid w:val="00ED1F7D"/>
    <w:rsid w:val="00ED3B34"/>
    <w:rsid w:val="00ED47AD"/>
    <w:rsid w:val="00ED6BE7"/>
    <w:rsid w:val="00ED7680"/>
    <w:rsid w:val="00EE1679"/>
    <w:rsid w:val="00EE2A8A"/>
    <w:rsid w:val="00EE2BEE"/>
    <w:rsid w:val="00EE3F02"/>
    <w:rsid w:val="00EE45D4"/>
    <w:rsid w:val="00EE64FE"/>
    <w:rsid w:val="00EE7D49"/>
    <w:rsid w:val="00EF0026"/>
    <w:rsid w:val="00EF086C"/>
    <w:rsid w:val="00EF198F"/>
    <w:rsid w:val="00EF1BD2"/>
    <w:rsid w:val="00EF257F"/>
    <w:rsid w:val="00EF2B49"/>
    <w:rsid w:val="00EF2BC4"/>
    <w:rsid w:val="00EF3BBC"/>
    <w:rsid w:val="00EF49DB"/>
    <w:rsid w:val="00EF54D1"/>
    <w:rsid w:val="00EF6315"/>
    <w:rsid w:val="00EF67FE"/>
    <w:rsid w:val="00EF78F8"/>
    <w:rsid w:val="00F0112B"/>
    <w:rsid w:val="00F0270D"/>
    <w:rsid w:val="00F04126"/>
    <w:rsid w:val="00F041E3"/>
    <w:rsid w:val="00F049A7"/>
    <w:rsid w:val="00F04FDC"/>
    <w:rsid w:val="00F05BA3"/>
    <w:rsid w:val="00F07985"/>
    <w:rsid w:val="00F07DA1"/>
    <w:rsid w:val="00F07DC4"/>
    <w:rsid w:val="00F112F1"/>
    <w:rsid w:val="00F11926"/>
    <w:rsid w:val="00F11C27"/>
    <w:rsid w:val="00F11F46"/>
    <w:rsid w:val="00F13D79"/>
    <w:rsid w:val="00F13E36"/>
    <w:rsid w:val="00F23143"/>
    <w:rsid w:val="00F23911"/>
    <w:rsid w:val="00F2450F"/>
    <w:rsid w:val="00F250F0"/>
    <w:rsid w:val="00F25320"/>
    <w:rsid w:val="00F26798"/>
    <w:rsid w:val="00F27654"/>
    <w:rsid w:val="00F303EC"/>
    <w:rsid w:val="00F3063B"/>
    <w:rsid w:val="00F31C47"/>
    <w:rsid w:val="00F321AA"/>
    <w:rsid w:val="00F330F7"/>
    <w:rsid w:val="00F3452B"/>
    <w:rsid w:val="00F35B2B"/>
    <w:rsid w:val="00F36236"/>
    <w:rsid w:val="00F372FB"/>
    <w:rsid w:val="00F407E1"/>
    <w:rsid w:val="00F40B24"/>
    <w:rsid w:val="00F4301B"/>
    <w:rsid w:val="00F437C6"/>
    <w:rsid w:val="00F45938"/>
    <w:rsid w:val="00F45A25"/>
    <w:rsid w:val="00F45BDD"/>
    <w:rsid w:val="00F46AF8"/>
    <w:rsid w:val="00F46B7E"/>
    <w:rsid w:val="00F46E49"/>
    <w:rsid w:val="00F47683"/>
    <w:rsid w:val="00F50171"/>
    <w:rsid w:val="00F50495"/>
    <w:rsid w:val="00F51230"/>
    <w:rsid w:val="00F521CF"/>
    <w:rsid w:val="00F52346"/>
    <w:rsid w:val="00F53322"/>
    <w:rsid w:val="00F56131"/>
    <w:rsid w:val="00F5621B"/>
    <w:rsid w:val="00F57700"/>
    <w:rsid w:val="00F60B74"/>
    <w:rsid w:val="00F62505"/>
    <w:rsid w:val="00F62F98"/>
    <w:rsid w:val="00F642CA"/>
    <w:rsid w:val="00F6644B"/>
    <w:rsid w:val="00F66760"/>
    <w:rsid w:val="00F66D59"/>
    <w:rsid w:val="00F67C8B"/>
    <w:rsid w:val="00F67CD1"/>
    <w:rsid w:val="00F67EB1"/>
    <w:rsid w:val="00F704E4"/>
    <w:rsid w:val="00F70D97"/>
    <w:rsid w:val="00F71B24"/>
    <w:rsid w:val="00F71DEC"/>
    <w:rsid w:val="00F727B0"/>
    <w:rsid w:val="00F72B42"/>
    <w:rsid w:val="00F74AD1"/>
    <w:rsid w:val="00F75617"/>
    <w:rsid w:val="00F75B31"/>
    <w:rsid w:val="00F76CC2"/>
    <w:rsid w:val="00F76ECA"/>
    <w:rsid w:val="00F779E8"/>
    <w:rsid w:val="00F8052F"/>
    <w:rsid w:val="00F80D0A"/>
    <w:rsid w:val="00F8189A"/>
    <w:rsid w:val="00F81AF7"/>
    <w:rsid w:val="00F84382"/>
    <w:rsid w:val="00F84884"/>
    <w:rsid w:val="00F85409"/>
    <w:rsid w:val="00F85F8E"/>
    <w:rsid w:val="00F87AC1"/>
    <w:rsid w:val="00F90770"/>
    <w:rsid w:val="00F92125"/>
    <w:rsid w:val="00F9326F"/>
    <w:rsid w:val="00F94FB1"/>
    <w:rsid w:val="00F95613"/>
    <w:rsid w:val="00F96BAF"/>
    <w:rsid w:val="00FA11A1"/>
    <w:rsid w:val="00FA193D"/>
    <w:rsid w:val="00FA2ECD"/>
    <w:rsid w:val="00FA5BA8"/>
    <w:rsid w:val="00FB1AA0"/>
    <w:rsid w:val="00FB3CDD"/>
    <w:rsid w:val="00FB4409"/>
    <w:rsid w:val="00FB635D"/>
    <w:rsid w:val="00FB6B6A"/>
    <w:rsid w:val="00FB6BA0"/>
    <w:rsid w:val="00FB7354"/>
    <w:rsid w:val="00FB76D3"/>
    <w:rsid w:val="00FC015F"/>
    <w:rsid w:val="00FC024C"/>
    <w:rsid w:val="00FC037D"/>
    <w:rsid w:val="00FC198C"/>
    <w:rsid w:val="00FC3069"/>
    <w:rsid w:val="00FC3A85"/>
    <w:rsid w:val="00FC4306"/>
    <w:rsid w:val="00FC6A73"/>
    <w:rsid w:val="00FD0B55"/>
    <w:rsid w:val="00FD16F4"/>
    <w:rsid w:val="00FD2283"/>
    <w:rsid w:val="00FD4985"/>
    <w:rsid w:val="00FD67FC"/>
    <w:rsid w:val="00FD68ED"/>
    <w:rsid w:val="00FD7961"/>
    <w:rsid w:val="00FD7AAC"/>
    <w:rsid w:val="00FD7D1A"/>
    <w:rsid w:val="00FE157F"/>
    <w:rsid w:val="00FE1A32"/>
    <w:rsid w:val="00FE31EF"/>
    <w:rsid w:val="00FE4C02"/>
    <w:rsid w:val="00FE4E8E"/>
    <w:rsid w:val="00FE50DF"/>
    <w:rsid w:val="00FE78CE"/>
    <w:rsid w:val="00FE7F58"/>
    <w:rsid w:val="00FE7F7B"/>
    <w:rsid w:val="00FF0870"/>
    <w:rsid w:val="00FF1A8E"/>
    <w:rsid w:val="00FF2594"/>
    <w:rsid w:val="00FF2694"/>
    <w:rsid w:val="00FF44D3"/>
    <w:rsid w:val="00FF57AA"/>
    <w:rsid w:val="00FF70BD"/>
    <w:rsid w:val="00FF743E"/>
    <w:rsid w:val="03042309"/>
    <w:rsid w:val="0D1D1DBE"/>
    <w:rsid w:val="0FE63947"/>
    <w:rsid w:val="1016504E"/>
    <w:rsid w:val="1121335A"/>
    <w:rsid w:val="154D2C1A"/>
    <w:rsid w:val="1777635C"/>
    <w:rsid w:val="18227E27"/>
    <w:rsid w:val="185D3DBD"/>
    <w:rsid w:val="18701001"/>
    <w:rsid w:val="19FE4424"/>
    <w:rsid w:val="1A1F400B"/>
    <w:rsid w:val="1DD7023D"/>
    <w:rsid w:val="1E21231E"/>
    <w:rsid w:val="1EF0166F"/>
    <w:rsid w:val="25D75173"/>
    <w:rsid w:val="27EB378F"/>
    <w:rsid w:val="2B7859DE"/>
    <w:rsid w:val="2B9E1A82"/>
    <w:rsid w:val="2D2F1520"/>
    <w:rsid w:val="2E201E0C"/>
    <w:rsid w:val="2F511728"/>
    <w:rsid w:val="30240B15"/>
    <w:rsid w:val="358502D7"/>
    <w:rsid w:val="3FC8617E"/>
    <w:rsid w:val="41B01660"/>
    <w:rsid w:val="41F16587"/>
    <w:rsid w:val="436D7AA7"/>
    <w:rsid w:val="49641224"/>
    <w:rsid w:val="4A8A3D77"/>
    <w:rsid w:val="4AD9761C"/>
    <w:rsid w:val="4DC567B8"/>
    <w:rsid w:val="4F09543A"/>
    <w:rsid w:val="52C469E2"/>
    <w:rsid w:val="52C5215A"/>
    <w:rsid w:val="5829563C"/>
    <w:rsid w:val="5CE2343E"/>
    <w:rsid w:val="5DDE266D"/>
    <w:rsid w:val="5FB65180"/>
    <w:rsid w:val="61375017"/>
    <w:rsid w:val="64043ED2"/>
    <w:rsid w:val="66312469"/>
    <w:rsid w:val="677D5B76"/>
    <w:rsid w:val="699F7EAD"/>
    <w:rsid w:val="69C46596"/>
    <w:rsid w:val="6B966786"/>
    <w:rsid w:val="6BDD2BE6"/>
    <w:rsid w:val="738460B1"/>
    <w:rsid w:val="756768A5"/>
    <w:rsid w:val="75D94C50"/>
    <w:rsid w:val="762D1373"/>
    <w:rsid w:val="77D511A4"/>
    <w:rsid w:val="7AE0561F"/>
    <w:rsid w:val="7AE7680E"/>
    <w:rsid w:val="7C6D1A1B"/>
    <w:rsid w:val="7ECF6F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1"/>
    <w:autoRedefine/>
    <w:qFormat/>
    <w:uiPriority w:val="0"/>
    <w:pPr>
      <w:keepNext/>
      <w:keepLines/>
      <w:spacing w:line="578" w:lineRule="auto"/>
      <w:outlineLvl w:val="0"/>
    </w:pPr>
    <w:rPr>
      <w:b/>
      <w:bCs/>
      <w:kern w:val="44"/>
      <w:sz w:val="32"/>
      <w:szCs w:val="44"/>
    </w:rPr>
  </w:style>
  <w:style w:type="paragraph" w:styleId="3">
    <w:name w:val="heading 2"/>
    <w:basedOn w:val="1"/>
    <w:next w:val="1"/>
    <w:link w:val="54"/>
    <w:autoRedefine/>
    <w:qFormat/>
    <w:uiPriority w:val="0"/>
    <w:pPr>
      <w:keepNext/>
      <w:keepLines/>
      <w:outlineLvl w:val="1"/>
    </w:pPr>
    <w:rPr>
      <w:b/>
      <w:bCs/>
      <w:sz w:val="28"/>
      <w:szCs w:val="32"/>
    </w:rPr>
  </w:style>
  <w:style w:type="paragraph" w:styleId="4">
    <w:name w:val="heading 3"/>
    <w:basedOn w:val="1"/>
    <w:next w:val="1"/>
    <w:link w:val="55"/>
    <w:autoRedefine/>
    <w:qFormat/>
    <w:uiPriority w:val="0"/>
    <w:pPr>
      <w:keepNext/>
      <w:keepLines/>
      <w:spacing w:before="260" w:after="260" w:line="416" w:lineRule="auto"/>
      <w:outlineLvl w:val="2"/>
    </w:pPr>
    <w:rPr>
      <w:b/>
      <w:bCs/>
      <w:sz w:val="32"/>
      <w:szCs w:val="32"/>
    </w:rPr>
  </w:style>
  <w:style w:type="character" w:default="1" w:styleId="31">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5">
    <w:name w:val="List 3"/>
    <w:basedOn w:val="1"/>
    <w:next w:val="1"/>
    <w:autoRedefine/>
    <w:qFormat/>
    <w:uiPriority w:val="0"/>
    <w:pPr>
      <w:autoSpaceDE w:val="0"/>
      <w:autoSpaceDN w:val="0"/>
      <w:adjustRightInd w:val="0"/>
      <w:spacing w:line="288" w:lineRule="auto"/>
      <w:ind w:left="1260" w:hanging="420"/>
      <w:jc w:val="left"/>
      <w:textAlignment w:val="baseline"/>
    </w:pPr>
    <w:rPr>
      <w:kern w:val="0"/>
      <w:sz w:val="24"/>
      <w:szCs w:val="20"/>
    </w:rPr>
  </w:style>
  <w:style w:type="paragraph" w:styleId="6">
    <w:name w:val="Note Heading"/>
    <w:basedOn w:val="1"/>
    <w:next w:val="1"/>
    <w:autoRedefine/>
    <w:qFormat/>
    <w:uiPriority w:val="0"/>
    <w:pPr>
      <w:jc w:val="center"/>
    </w:pPr>
    <w:rPr>
      <w:rFonts w:ascii="Times New Roman" w:hAnsi="Times New Roman"/>
      <w:kern w:val="0"/>
      <w:sz w:val="20"/>
      <w:szCs w:val="24"/>
    </w:rPr>
  </w:style>
  <w:style w:type="paragraph" w:styleId="7">
    <w:name w:val="Normal Indent"/>
    <w:basedOn w:val="1"/>
    <w:next w:val="1"/>
    <w:autoRedefine/>
    <w:qFormat/>
    <w:uiPriority w:val="0"/>
    <w:pPr>
      <w:ind w:firstLine="420" w:firstLineChars="200"/>
    </w:pPr>
  </w:style>
  <w:style w:type="paragraph" w:styleId="8">
    <w:name w:val="Document Map"/>
    <w:basedOn w:val="1"/>
    <w:link w:val="65"/>
    <w:autoRedefine/>
    <w:qFormat/>
    <w:uiPriority w:val="0"/>
    <w:rPr>
      <w:rFonts w:ascii="宋体"/>
      <w:sz w:val="18"/>
      <w:szCs w:val="18"/>
    </w:rPr>
  </w:style>
  <w:style w:type="paragraph" w:styleId="9">
    <w:name w:val="toa heading"/>
    <w:basedOn w:val="1"/>
    <w:next w:val="1"/>
    <w:autoRedefine/>
    <w:qFormat/>
    <w:uiPriority w:val="0"/>
    <w:pPr>
      <w:spacing w:before="120"/>
    </w:pPr>
    <w:rPr>
      <w:rFonts w:ascii="Arial" w:hAnsi="Arial"/>
      <w:sz w:val="24"/>
      <w:szCs w:val="20"/>
    </w:rPr>
  </w:style>
  <w:style w:type="paragraph" w:styleId="10">
    <w:name w:val="annotation text"/>
    <w:basedOn w:val="1"/>
    <w:link w:val="82"/>
    <w:autoRedefine/>
    <w:qFormat/>
    <w:uiPriority w:val="0"/>
    <w:pPr>
      <w:jc w:val="left"/>
    </w:pPr>
  </w:style>
  <w:style w:type="paragraph" w:styleId="11">
    <w:name w:val="Body Text"/>
    <w:basedOn w:val="1"/>
    <w:next w:val="12"/>
    <w:link w:val="48"/>
    <w:autoRedefine/>
    <w:qFormat/>
    <w:uiPriority w:val="0"/>
    <w:pPr>
      <w:spacing w:after="120"/>
    </w:pPr>
  </w:style>
  <w:style w:type="paragraph" w:styleId="12">
    <w:name w:val="List Bullet 5"/>
    <w:basedOn w:val="1"/>
    <w:autoRedefine/>
    <w:qFormat/>
    <w:uiPriority w:val="0"/>
    <w:pPr>
      <w:numPr>
        <w:ilvl w:val="0"/>
        <w:numId w:val="1"/>
      </w:numPr>
    </w:pPr>
  </w:style>
  <w:style w:type="paragraph" w:styleId="13">
    <w:name w:val="Body Text Indent"/>
    <w:basedOn w:val="1"/>
    <w:next w:val="14"/>
    <w:link w:val="75"/>
    <w:autoRedefine/>
    <w:qFormat/>
    <w:uiPriority w:val="0"/>
    <w:pPr>
      <w:spacing w:after="120"/>
      <w:ind w:left="420" w:leftChars="200"/>
    </w:pPr>
  </w:style>
  <w:style w:type="paragraph" w:styleId="14">
    <w:name w:val="toc 4"/>
    <w:basedOn w:val="1"/>
    <w:next w:val="1"/>
    <w:autoRedefine/>
    <w:qFormat/>
    <w:uiPriority w:val="39"/>
    <w:pPr>
      <w:ind w:left="840"/>
    </w:pPr>
    <w:rPr>
      <w:sz w:val="18"/>
      <w:szCs w:val="18"/>
    </w:rPr>
  </w:style>
  <w:style w:type="paragraph" w:styleId="15">
    <w:name w:val="toc 3"/>
    <w:basedOn w:val="1"/>
    <w:next w:val="1"/>
    <w:autoRedefine/>
    <w:qFormat/>
    <w:uiPriority w:val="39"/>
    <w:pPr>
      <w:ind w:left="840" w:leftChars="400"/>
    </w:pPr>
  </w:style>
  <w:style w:type="paragraph" w:styleId="16">
    <w:name w:val="Plain Text"/>
    <w:basedOn w:val="1"/>
    <w:link w:val="69"/>
    <w:autoRedefine/>
    <w:qFormat/>
    <w:uiPriority w:val="0"/>
    <w:rPr>
      <w:rFonts w:ascii="宋体" w:hAnsi="Courier New" w:cs="Courier New"/>
      <w:szCs w:val="21"/>
    </w:rPr>
  </w:style>
  <w:style w:type="paragraph" w:styleId="17">
    <w:name w:val="Date"/>
    <w:basedOn w:val="1"/>
    <w:next w:val="1"/>
    <w:link w:val="76"/>
    <w:autoRedefine/>
    <w:qFormat/>
    <w:uiPriority w:val="0"/>
    <w:pPr>
      <w:ind w:left="100" w:leftChars="2500"/>
    </w:pPr>
  </w:style>
  <w:style w:type="paragraph" w:styleId="18">
    <w:name w:val="Body Text Indent 2"/>
    <w:basedOn w:val="1"/>
    <w:link w:val="42"/>
    <w:autoRedefine/>
    <w:qFormat/>
    <w:uiPriority w:val="0"/>
    <w:pPr>
      <w:ind w:firstLine="560" w:firstLineChars="200"/>
    </w:pPr>
    <w:rPr>
      <w:sz w:val="28"/>
    </w:rPr>
  </w:style>
  <w:style w:type="paragraph" w:styleId="19">
    <w:name w:val="Balloon Text"/>
    <w:basedOn w:val="1"/>
    <w:link w:val="45"/>
    <w:autoRedefine/>
    <w:qFormat/>
    <w:uiPriority w:val="0"/>
    <w:rPr>
      <w:sz w:val="18"/>
      <w:szCs w:val="18"/>
    </w:rPr>
  </w:style>
  <w:style w:type="paragraph" w:styleId="20">
    <w:name w:val="footer"/>
    <w:basedOn w:val="1"/>
    <w:link w:val="40"/>
    <w:autoRedefine/>
    <w:qFormat/>
    <w:uiPriority w:val="99"/>
    <w:pPr>
      <w:tabs>
        <w:tab w:val="center" w:pos="4153"/>
        <w:tab w:val="right" w:pos="8306"/>
      </w:tabs>
      <w:snapToGrid w:val="0"/>
      <w:jc w:val="left"/>
    </w:pPr>
    <w:rPr>
      <w:sz w:val="18"/>
      <w:szCs w:val="18"/>
    </w:rPr>
  </w:style>
  <w:style w:type="paragraph" w:styleId="21">
    <w:name w:val="header"/>
    <w:basedOn w:val="1"/>
    <w:link w:val="39"/>
    <w:autoRedefine/>
    <w:qFormat/>
    <w:uiPriority w:val="99"/>
    <w:pPr>
      <w:pBdr>
        <w:bottom w:val="single" w:color="auto" w:sz="6" w:space="0"/>
      </w:pBdr>
      <w:tabs>
        <w:tab w:val="center" w:pos="4153"/>
        <w:tab w:val="right" w:pos="8306"/>
      </w:tabs>
      <w:snapToGrid w:val="0"/>
      <w:jc w:val="center"/>
    </w:pPr>
    <w:rPr>
      <w:sz w:val="18"/>
      <w:szCs w:val="18"/>
    </w:rPr>
  </w:style>
  <w:style w:type="paragraph" w:styleId="22">
    <w:name w:val="toc 1"/>
    <w:basedOn w:val="1"/>
    <w:next w:val="1"/>
    <w:autoRedefine/>
    <w:qFormat/>
    <w:uiPriority w:val="39"/>
    <w:pPr>
      <w:tabs>
        <w:tab w:val="right" w:leader="dot" w:pos="9402"/>
      </w:tabs>
      <w:spacing w:before="120" w:after="120" w:line="440" w:lineRule="exact"/>
      <w:jc w:val="left"/>
    </w:pPr>
    <w:rPr>
      <w:b/>
      <w:caps/>
      <w:sz w:val="24"/>
      <w:szCs w:val="20"/>
    </w:rPr>
  </w:style>
  <w:style w:type="paragraph" w:styleId="23">
    <w:name w:val="Subtitle"/>
    <w:basedOn w:val="1"/>
    <w:next w:val="1"/>
    <w:link w:val="59"/>
    <w:autoRedefine/>
    <w:qFormat/>
    <w:uiPriority w:val="0"/>
    <w:pPr>
      <w:spacing w:before="240" w:after="60" w:line="312" w:lineRule="auto"/>
      <w:jc w:val="center"/>
      <w:outlineLvl w:val="1"/>
    </w:pPr>
    <w:rPr>
      <w:rFonts w:ascii="Cambria" w:hAnsi="Cambria"/>
      <w:b/>
      <w:bCs/>
      <w:kern w:val="28"/>
      <w:sz w:val="32"/>
      <w:szCs w:val="32"/>
    </w:rPr>
  </w:style>
  <w:style w:type="paragraph" w:styleId="24">
    <w:name w:val="Body Text Indent 3"/>
    <w:basedOn w:val="1"/>
    <w:autoRedefine/>
    <w:qFormat/>
    <w:uiPriority w:val="0"/>
    <w:pPr>
      <w:spacing w:after="120"/>
      <w:ind w:left="420" w:leftChars="200"/>
    </w:pPr>
    <w:rPr>
      <w:rFonts w:ascii="Times New Roman" w:hAnsi="Times New Roman" w:eastAsia="仿宋_GB2312"/>
      <w:kern w:val="0"/>
      <w:sz w:val="16"/>
      <w:szCs w:val="16"/>
    </w:rPr>
  </w:style>
  <w:style w:type="paragraph" w:styleId="25">
    <w:name w:val="toc 2"/>
    <w:basedOn w:val="1"/>
    <w:next w:val="1"/>
    <w:autoRedefine/>
    <w:qFormat/>
    <w:uiPriority w:val="39"/>
    <w:pPr>
      <w:tabs>
        <w:tab w:val="right" w:leader="dot" w:pos="9402"/>
      </w:tabs>
      <w:spacing w:line="360" w:lineRule="auto"/>
      <w:ind w:left="420" w:leftChars="200"/>
    </w:pPr>
  </w:style>
  <w:style w:type="paragraph" w:styleId="26">
    <w:name w:val="annotation subject"/>
    <w:basedOn w:val="10"/>
    <w:next w:val="10"/>
    <w:link w:val="83"/>
    <w:autoRedefine/>
    <w:qFormat/>
    <w:uiPriority w:val="0"/>
    <w:rPr>
      <w:b/>
      <w:bCs/>
    </w:rPr>
  </w:style>
  <w:style w:type="paragraph" w:styleId="27">
    <w:name w:val="Body Text First Indent"/>
    <w:basedOn w:val="11"/>
    <w:link w:val="49"/>
    <w:autoRedefine/>
    <w:qFormat/>
    <w:uiPriority w:val="0"/>
    <w:pPr>
      <w:ind w:firstLine="420" w:firstLineChars="100"/>
    </w:pPr>
  </w:style>
  <w:style w:type="table" w:styleId="29">
    <w:name w:val="Table Grid"/>
    <w:basedOn w:val="2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30">
    <w:name w:val="Table Theme"/>
    <w:basedOn w:val="2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autoRedefine/>
    <w:qFormat/>
    <w:uiPriority w:val="0"/>
  </w:style>
  <w:style w:type="character" w:styleId="33">
    <w:name w:val="FollowedHyperlink"/>
    <w:basedOn w:val="31"/>
    <w:autoRedefine/>
    <w:qFormat/>
    <w:uiPriority w:val="0"/>
    <w:rPr>
      <w:color w:val="185ECF"/>
      <w:u w:val="none"/>
    </w:rPr>
  </w:style>
  <w:style w:type="character" w:styleId="34">
    <w:name w:val="Hyperlink"/>
    <w:basedOn w:val="31"/>
    <w:autoRedefine/>
    <w:unhideWhenUsed/>
    <w:qFormat/>
    <w:uiPriority w:val="99"/>
    <w:rPr>
      <w:color w:val="185ECF"/>
      <w:u w:val="none"/>
    </w:rPr>
  </w:style>
  <w:style w:type="character" w:styleId="35">
    <w:name w:val="annotation reference"/>
    <w:basedOn w:val="31"/>
    <w:autoRedefine/>
    <w:qFormat/>
    <w:uiPriority w:val="0"/>
    <w:rPr>
      <w:sz w:val="21"/>
      <w:szCs w:val="21"/>
    </w:rPr>
  </w:style>
  <w:style w:type="paragraph" w:customStyle="1" w:styleId="36">
    <w:name w:val="Default"/>
    <w:basedOn w:val="37"/>
    <w:next w:val="5"/>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纯文本1"/>
    <w:basedOn w:val="1"/>
    <w:autoRedefine/>
    <w:qFormat/>
    <w:uiPriority w:val="99"/>
    <w:pPr>
      <w:autoSpaceDE w:val="0"/>
      <w:autoSpaceDN w:val="0"/>
      <w:textAlignment w:val="baseline"/>
    </w:pPr>
    <w:rPr>
      <w:rFonts w:ascii="宋体"/>
      <w:szCs w:val="20"/>
    </w:rPr>
  </w:style>
  <w:style w:type="paragraph" w:customStyle="1" w:styleId="38">
    <w:name w:val="样式 正文缩进正文缩进2正文缩进 Char Char正文缩进 Char Char Char Char正文缩进 Char ..."/>
    <w:basedOn w:val="7"/>
    <w:autoRedefine/>
    <w:qFormat/>
    <w:uiPriority w:val="0"/>
    <w:pPr>
      <w:spacing w:line="360" w:lineRule="auto"/>
      <w:ind w:firstLine="200"/>
    </w:pPr>
    <w:rPr>
      <w:rFonts w:cs="宋体"/>
      <w:sz w:val="24"/>
    </w:rPr>
  </w:style>
  <w:style w:type="character" w:customStyle="1" w:styleId="39">
    <w:name w:val="页眉 Char"/>
    <w:basedOn w:val="31"/>
    <w:link w:val="21"/>
    <w:autoRedefine/>
    <w:qFormat/>
    <w:uiPriority w:val="99"/>
    <w:rPr>
      <w:kern w:val="2"/>
      <w:sz w:val="18"/>
      <w:szCs w:val="18"/>
    </w:rPr>
  </w:style>
  <w:style w:type="character" w:customStyle="1" w:styleId="40">
    <w:name w:val="页脚 Char"/>
    <w:basedOn w:val="31"/>
    <w:link w:val="20"/>
    <w:autoRedefine/>
    <w:qFormat/>
    <w:uiPriority w:val="99"/>
    <w:rPr>
      <w:kern w:val="2"/>
      <w:sz w:val="18"/>
      <w:szCs w:val="18"/>
    </w:rPr>
  </w:style>
  <w:style w:type="paragraph" w:styleId="41">
    <w:name w:val="List Paragraph"/>
    <w:basedOn w:val="1"/>
    <w:autoRedefine/>
    <w:qFormat/>
    <w:uiPriority w:val="34"/>
    <w:pPr>
      <w:ind w:firstLine="420" w:firstLineChars="200"/>
    </w:pPr>
  </w:style>
  <w:style w:type="character" w:customStyle="1" w:styleId="42">
    <w:name w:val="正文文本缩进 2 Char"/>
    <w:basedOn w:val="31"/>
    <w:link w:val="18"/>
    <w:autoRedefine/>
    <w:qFormat/>
    <w:uiPriority w:val="0"/>
    <w:rPr>
      <w:kern w:val="2"/>
      <w:sz w:val="28"/>
      <w:szCs w:val="24"/>
    </w:rPr>
  </w:style>
  <w:style w:type="paragraph" w:customStyle="1" w:styleId="43">
    <w:name w:val="封面单位"/>
    <w:basedOn w:val="1"/>
    <w:autoRedefine/>
    <w:qFormat/>
    <w:uiPriority w:val="0"/>
    <w:pPr>
      <w:tabs>
        <w:tab w:val="right" w:leader="middleDot" w:pos="8222"/>
      </w:tabs>
      <w:spacing w:line="360" w:lineRule="auto"/>
      <w:jc w:val="center"/>
    </w:pPr>
    <w:rPr>
      <w:rFonts w:ascii="楷体_GB2312" w:hAnsi="Arial Black" w:eastAsia="楷体_GB2312"/>
      <w:b/>
      <w:kern w:val="44"/>
      <w:sz w:val="36"/>
      <w:szCs w:val="20"/>
    </w:rPr>
  </w:style>
  <w:style w:type="paragraph" w:customStyle="1" w:styleId="44">
    <w:name w:val="表格文字"/>
    <w:basedOn w:val="1"/>
    <w:next w:val="1"/>
    <w:autoRedefine/>
    <w:qFormat/>
    <w:uiPriority w:val="0"/>
    <w:pPr>
      <w:spacing w:line="300" w:lineRule="exact"/>
      <w:jc w:val="center"/>
    </w:pPr>
    <w:rPr>
      <w:snapToGrid w:val="0"/>
      <w:color w:val="000000"/>
      <w:kern w:val="24"/>
      <w:szCs w:val="20"/>
    </w:rPr>
  </w:style>
  <w:style w:type="character" w:customStyle="1" w:styleId="45">
    <w:name w:val="批注框文本 Char"/>
    <w:basedOn w:val="31"/>
    <w:link w:val="19"/>
    <w:autoRedefine/>
    <w:qFormat/>
    <w:uiPriority w:val="0"/>
    <w:rPr>
      <w:kern w:val="2"/>
      <w:sz w:val="18"/>
      <w:szCs w:val="18"/>
    </w:rPr>
  </w:style>
  <w:style w:type="paragraph" w:customStyle="1" w:styleId="46">
    <w:name w:val="样式1"/>
    <w:basedOn w:val="21"/>
    <w:link w:val="47"/>
    <w:autoRedefine/>
    <w:qFormat/>
    <w:uiPriority w:val="0"/>
    <w:pPr>
      <w:pBdr>
        <w:bottom w:val="none" w:color="auto" w:sz="0" w:space="0"/>
      </w:pBdr>
    </w:pPr>
  </w:style>
  <w:style w:type="character" w:customStyle="1" w:styleId="47">
    <w:name w:val="样式1 Char"/>
    <w:basedOn w:val="39"/>
    <w:link w:val="46"/>
    <w:autoRedefine/>
    <w:qFormat/>
    <w:uiPriority w:val="0"/>
  </w:style>
  <w:style w:type="character" w:customStyle="1" w:styleId="48">
    <w:name w:val="正文文本 Char"/>
    <w:basedOn w:val="31"/>
    <w:link w:val="11"/>
    <w:autoRedefine/>
    <w:qFormat/>
    <w:uiPriority w:val="0"/>
    <w:rPr>
      <w:kern w:val="2"/>
      <w:sz w:val="21"/>
      <w:szCs w:val="24"/>
    </w:rPr>
  </w:style>
  <w:style w:type="character" w:customStyle="1" w:styleId="49">
    <w:name w:val="正文首行缩进 Char"/>
    <w:basedOn w:val="48"/>
    <w:link w:val="27"/>
    <w:autoRedefine/>
    <w:qFormat/>
    <w:uiPriority w:val="0"/>
  </w:style>
  <w:style w:type="paragraph" w:customStyle="1" w:styleId="50">
    <w:name w:val="表格"/>
    <w:basedOn w:val="1"/>
    <w:link w:val="51"/>
    <w:autoRedefine/>
    <w:qFormat/>
    <w:uiPriority w:val="0"/>
    <w:pPr>
      <w:spacing w:line="360" w:lineRule="exact"/>
    </w:pPr>
    <w:rPr>
      <w:kern w:val="0"/>
      <w:sz w:val="24"/>
      <w:szCs w:val="20"/>
    </w:rPr>
  </w:style>
  <w:style w:type="character" w:customStyle="1" w:styleId="51">
    <w:name w:val="表格 Char"/>
    <w:basedOn w:val="31"/>
    <w:link w:val="50"/>
    <w:autoRedefine/>
    <w:qFormat/>
    <w:uiPriority w:val="0"/>
    <w:rPr>
      <w:sz w:val="24"/>
    </w:rPr>
  </w:style>
  <w:style w:type="paragraph" w:customStyle="1" w:styleId="52">
    <w:name w:val="表体"/>
    <w:basedOn w:val="1"/>
    <w:autoRedefine/>
    <w:qFormat/>
    <w:uiPriority w:val="0"/>
    <w:pPr>
      <w:spacing w:line="320" w:lineRule="atLeast"/>
      <w:jc w:val="center"/>
    </w:pPr>
    <w:rPr>
      <w:color w:val="000000"/>
      <w:szCs w:val="20"/>
    </w:rPr>
  </w:style>
  <w:style w:type="paragraph" w:customStyle="1" w:styleId="53">
    <w:name w:val="表格1"/>
    <w:basedOn w:val="1"/>
    <w:autoRedefine/>
    <w:qFormat/>
    <w:uiPriority w:val="0"/>
    <w:pPr>
      <w:spacing w:line="300" w:lineRule="exact"/>
      <w:jc w:val="center"/>
    </w:pPr>
    <w:rPr>
      <w:bCs/>
      <w:color w:val="000000"/>
      <w:kern w:val="0"/>
      <w:szCs w:val="19"/>
    </w:rPr>
  </w:style>
  <w:style w:type="character" w:customStyle="1" w:styleId="54">
    <w:name w:val="标题 2 Char"/>
    <w:basedOn w:val="31"/>
    <w:link w:val="3"/>
    <w:autoRedefine/>
    <w:qFormat/>
    <w:uiPriority w:val="0"/>
    <w:rPr>
      <w:b/>
      <w:bCs/>
      <w:kern w:val="2"/>
      <w:sz w:val="28"/>
      <w:szCs w:val="32"/>
    </w:rPr>
  </w:style>
  <w:style w:type="character" w:customStyle="1" w:styleId="55">
    <w:name w:val="标题 3 Char"/>
    <w:basedOn w:val="31"/>
    <w:link w:val="4"/>
    <w:autoRedefine/>
    <w:qFormat/>
    <w:uiPriority w:val="0"/>
    <w:rPr>
      <w:b/>
      <w:bCs/>
      <w:kern w:val="2"/>
      <w:sz w:val="32"/>
      <w:szCs w:val="32"/>
    </w:rPr>
  </w:style>
  <w:style w:type="paragraph" w:customStyle="1" w:styleId="56">
    <w:name w:val="样式 标题 3 + (中文) 仿宋_GB2312 四号 非加粗 行距: 1.5 倍行距"/>
    <w:basedOn w:val="4"/>
    <w:autoRedefine/>
    <w:qFormat/>
    <w:uiPriority w:val="0"/>
    <w:pPr>
      <w:spacing w:line="360" w:lineRule="auto"/>
    </w:pPr>
    <w:rPr>
      <w:bCs w:val="0"/>
      <w:color w:val="000000"/>
      <w:kern w:val="0"/>
      <w:sz w:val="28"/>
      <w:szCs w:val="20"/>
    </w:rPr>
  </w:style>
  <w:style w:type="paragraph" w:customStyle="1" w:styleId="57">
    <w:name w:val="4标题(治)"/>
    <w:basedOn w:val="1"/>
    <w:next w:val="1"/>
    <w:autoRedefine/>
    <w:qFormat/>
    <w:uiPriority w:val="0"/>
    <w:pPr>
      <w:spacing w:line="460" w:lineRule="exact"/>
      <w:ind w:firstLine="520" w:firstLineChars="200"/>
    </w:pPr>
    <w:rPr>
      <w:bCs/>
      <w:sz w:val="26"/>
      <w:szCs w:val="26"/>
    </w:rPr>
  </w:style>
  <w:style w:type="paragraph" w:customStyle="1" w:styleId="58">
    <w:name w:val="报告正文"/>
    <w:basedOn w:val="1"/>
    <w:autoRedefine/>
    <w:qFormat/>
    <w:uiPriority w:val="0"/>
    <w:pPr>
      <w:adjustRightInd w:val="0"/>
      <w:snapToGrid w:val="0"/>
      <w:spacing w:line="300" w:lineRule="auto"/>
    </w:pPr>
    <w:rPr>
      <w:rFonts w:ascii="宋体"/>
      <w:sz w:val="28"/>
      <w:szCs w:val="20"/>
    </w:rPr>
  </w:style>
  <w:style w:type="character" w:customStyle="1" w:styleId="59">
    <w:name w:val="副标题 Char"/>
    <w:basedOn w:val="31"/>
    <w:link w:val="23"/>
    <w:autoRedefine/>
    <w:qFormat/>
    <w:uiPriority w:val="0"/>
    <w:rPr>
      <w:rFonts w:ascii="Cambria" w:hAnsi="Cambria" w:cs="Times New Roman"/>
      <w:b/>
      <w:bCs/>
      <w:kern w:val="28"/>
      <w:sz w:val="32"/>
      <w:szCs w:val="32"/>
    </w:rPr>
  </w:style>
  <w:style w:type="paragraph" w:customStyle="1" w:styleId="60">
    <w:name w:val="样式 标题 3 +"/>
    <w:basedOn w:val="4"/>
    <w:autoRedefine/>
    <w:qFormat/>
    <w:uiPriority w:val="0"/>
    <w:pPr>
      <w:spacing w:before="20" w:after="20"/>
    </w:pPr>
    <w:rPr>
      <w:kern w:val="0"/>
    </w:rPr>
  </w:style>
  <w:style w:type="character" w:customStyle="1" w:styleId="61">
    <w:name w:val="标题 1 Char"/>
    <w:basedOn w:val="31"/>
    <w:link w:val="2"/>
    <w:autoRedefine/>
    <w:qFormat/>
    <w:uiPriority w:val="0"/>
    <w:rPr>
      <w:b/>
      <w:bCs/>
      <w:kern w:val="44"/>
      <w:sz w:val="32"/>
      <w:szCs w:val="44"/>
    </w:rPr>
  </w:style>
  <w:style w:type="paragraph" w:customStyle="1" w:styleId="62">
    <w:name w:val="样式 标题 1 +"/>
    <w:basedOn w:val="2"/>
    <w:autoRedefine/>
    <w:qFormat/>
    <w:uiPriority w:val="0"/>
    <w:rPr>
      <w:kern w:val="0"/>
    </w:rPr>
  </w:style>
  <w:style w:type="paragraph" w:customStyle="1" w:styleId="63">
    <w:name w:val="250/1"/>
    <w:basedOn w:val="62"/>
    <w:autoRedefine/>
    <w:qFormat/>
    <w:uiPriority w:val="0"/>
    <w:pPr>
      <w:spacing w:line="480" w:lineRule="auto"/>
    </w:pPr>
    <w:rPr>
      <w:rFonts w:cs="宋体"/>
      <w:szCs w:val="20"/>
    </w:rPr>
  </w:style>
  <w:style w:type="paragraph" w:customStyle="1" w:styleId="64">
    <w:name w:val="样式 250/ 2节 + (中文) +中文正文 黑色 段前: 6 磅 段后: 6 磅 行距: 1.5 倍行距"/>
    <w:basedOn w:val="3"/>
    <w:autoRedefine/>
    <w:qFormat/>
    <w:uiPriority w:val="0"/>
    <w:pPr>
      <w:spacing w:before="120" w:after="120" w:line="360" w:lineRule="auto"/>
    </w:pPr>
    <w:rPr>
      <w:rFonts w:cs="宋体"/>
      <w:color w:val="000000"/>
      <w:szCs w:val="20"/>
    </w:rPr>
  </w:style>
  <w:style w:type="character" w:customStyle="1" w:styleId="65">
    <w:name w:val="文档结构图 Char"/>
    <w:basedOn w:val="31"/>
    <w:link w:val="8"/>
    <w:autoRedefine/>
    <w:qFormat/>
    <w:uiPriority w:val="0"/>
    <w:rPr>
      <w:rFonts w:ascii="宋体"/>
      <w:kern w:val="2"/>
      <w:sz w:val="18"/>
      <w:szCs w:val="18"/>
    </w:rPr>
  </w:style>
  <w:style w:type="paragraph" w:customStyle="1" w:styleId="66">
    <w:name w:val="样式 样式 标题 2 + (西文) Times New Roman (中文) 仿宋_GB2312 四号 行距: 1.5 倍行距 ..."/>
    <w:basedOn w:val="1"/>
    <w:link w:val="67"/>
    <w:autoRedefine/>
    <w:qFormat/>
    <w:uiPriority w:val="0"/>
    <w:pPr>
      <w:keepNext/>
      <w:keepLines/>
      <w:spacing w:before="260" w:after="260" w:line="360" w:lineRule="auto"/>
      <w:outlineLvl w:val="1"/>
    </w:pPr>
    <w:rPr>
      <w:rFonts w:eastAsia="仿宋_GB2312" w:cs="宋体"/>
      <w:b/>
      <w:kern w:val="0"/>
      <w:sz w:val="30"/>
      <w:szCs w:val="20"/>
    </w:rPr>
  </w:style>
  <w:style w:type="character" w:customStyle="1" w:styleId="67">
    <w:name w:val="样式 样式 标题 2 + (西文) Times New Roman (中文) 仿宋_GB2312 四号 行距: 1.5 倍行距 ... Char"/>
    <w:basedOn w:val="31"/>
    <w:link w:val="66"/>
    <w:autoRedefine/>
    <w:qFormat/>
    <w:uiPriority w:val="0"/>
    <w:rPr>
      <w:rFonts w:eastAsia="仿宋_GB2312" w:cs="宋体"/>
      <w:b/>
      <w:sz w:val="30"/>
    </w:rPr>
  </w:style>
  <w:style w:type="character" w:customStyle="1" w:styleId="68">
    <w:name w:val="纯文本 Char"/>
    <w:basedOn w:val="31"/>
    <w:link w:val="16"/>
    <w:autoRedefine/>
    <w:qFormat/>
    <w:uiPriority w:val="0"/>
    <w:rPr>
      <w:rFonts w:ascii="宋体" w:hAnsi="Courier New" w:cs="Courier New"/>
      <w:kern w:val="2"/>
      <w:sz w:val="21"/>
      <w:szCs w:val="21"/>
    </w:rPr>
  </w:style>
  <w:style w:type="character" w:customStyle="1" w:styleId="69">
    <w:name w:val="纯文本 Char1"/>
    <w:basedOn w:val="31"/>
    <w:link w:val="16"/>
    <w:autoRedefine/>
    <w:qFormat/>
    <w:uiPriority w:val="0"/>
    <w:rPr>
      <w:rFonts w:ascii="宋体" w:hAnsi="Courier New" w:cs="Courier New"/>
      <w:kern w:val="2"/>
      <w:sz w:val="21"/>
      <w:szCs w:val="21"/>
    </w:rPr>
  </w:style>
  <w:style w:type="paragraph" w:customStyle="1" w:styleId="70">
    <w:name w:val="Char"/>
    <w:basedOn w:val="1"/>
    <w:autoRedefine/>
    <w:qFormat/>
    <w:uiPriority w:val="0"/>
  </w:style>
  <w:style w:type="paragraph" w:customStyle="1" w:styleId="71">
    <w:name w:val="Char2"/>
    <w:basedOn w:val="1"/>
    <w:autoRedefine/>
    <w:qFormat/>
    <w:uiPriority w:val="0"/>
  </w:style>
  <w:style w:type="paragraph" w:customStyle="1" w:styleId="72">
    <w:name w:val="Char1"/>
    <w:basedOn w:val="1"/>
    <w:autoRedefine/>
    <w:qFormat/>
    <w:uiPriority w:val="0"/>
  </w:style>
  <w:style w:type="paragraph" w:customStyle="1" w:styleId="73">
    <w:name w:val="TOC 标题1"/>
    <w:basedOn w:val="2"/>
    <w:next w:val="1"/>
    <w:autoRedefine/>
    <w:qFormat/>
    <w:uiPriority w:val="39"/>
    <w:pPr>
      <w:widowControl/>
      <w:spacing w:before="480" w:line="276" w:lineRule="auto"/>
      <w:jc w:val="left"/>
      <w:outlineLvl w:val="9"/>
    </w:pPr>
    <w:rPr>
      <w:rFonts w:ascii="Cambria" w:hAnsi="Cambria"/>
      <w:color w:val="365F91"/>
      <w:kern w:val="0"/>
      <w:sz w:val="28"/>
      <w:szCs w:val="28"/>
    </w:rPr>
  </w:style>
  <w:style w:type="paragraph" w:customStyle="1" w:styleId="74">
    <w:name w:val="报告表格"/>
    <w:basedOn w:val="1"/>
    <w:next w:val="1"/>
    <w:autoRedefine/>
    <w:qFormat/>
    <w:uiPriority w:val="0"/>
    <w:pPr>
      <w:autoSpaceDE w:val="0"/>
      <w:autoSpaceDN w:val="0"/>
      <w:adjustRightInd w:val="0"/>
      <w:spacing w:line="318" w:lineRule="atLeast"/>
      <w:jc w:val="center"/>
      <w:textAlignment w:val="bottom"/>
    </w:pPr>
    <w:rPr>
      <w:kern w:val="0"/>
      <w:sz w:val="24"/>
      <w:szCs w:val="20"/>
    </w:rPr>
  </w:style>
  <w:style w:type="character" w:customStyle="1" w:styleId="75">
    <w:name w:val="正文文本缩进 Char"/>
    <w:basedOn w:val="31"/>
    <w:link w:val="13"/>
    <w:autoRedefine/>
    <w:qFormat/>
    <w:uiPriority w:val="0"/>
    <w:rPr>
      <w:kern w:val="2"/>
      <w:sz w:val="21"/>
      <w:szCs w:val="24"/>
    </w:rPr>
  </w:style>
  <w:style w:type="character" w:customStyle="1" w:styleId="76">
    <w:name w:val="日期 Char"/>
    <w:basedOn w:val="31"/>
    <w:link w:val="17"/>
    <w:autoRedefine/>
    <w:qFormat/>
    <w:uiPriority w:val="0"/>
    <w:rPr>
      <w:kern w:val="2"/>
      <w:sz w:val="21"/>
      <w:szCs w:val="24"/>
    </w:rPr>
  </w:style>
  <w:style w:type="paragraph" w:customStyle="1" w:styleId="77">
    <w:name w:val="Char3"/>
    <w:basedOn w:val="1"/>
    <w:autoRedefine/>
    <w:qFormat/>
    <w:uiPriority w:val="0"/>
  </w:style>
  <w:style w:type="character" w:styleId="78">
    <w:name w:val="Placeholder Text"/>
    <w:basedOn w:val="31"/>
    <w:autoRedefine/>
    <w:semiHidden/>
    <w:qFormat/>
    <w:uiPriority w:val="99"/>
    <w:rPr>
      <w:color w:val="808080"/>
    </w:rPr>
  </w:style>
  <w:style w:type="paragraph" w:customStyle="1" w:styleId="79">
    <w:name w:val="默认段落字体 Para Char"/>
    <w:basedOn w:val="1"/>
    <w:autoRedefine/>
    <w:qFormat/>
    <w:uiPriority w:val="0"/>
    <w:rPr>
      <w:rFonts w:ascii="Tahoma" w:hAnsi="Tahoma"/>
      <w:sz w:val="24"/>
      <w:szCs w:val="20"/>
    </w:rPr>
  </w:style>
  <w:style w:type="table" w:customStyle="1" w:styleId="80">
    <w:name w:val="Table Normal"/>
    <w:autoRedefine/>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81">
    <w:name w:val="Table Paragraph"/>
    <w:basedOn w:val="1"/>
    <w:autoRedefine/>
    <w:qFormat/>
    <w:uiPriority w:val="1"/>
    <w:pPr>
      <w:autoSpaceDE w:val="0"/>
      <w:autoSpaceDN w:val="0"/>
      <w:jc w:val="left"/>
    </w:pPr>
    <w:rPr>
      <w:rFonts w:ascii="Noto Sans Mono CJK JP Regular" w:hAnsi="Noto Sans Mono CJK JP Regular" w:eastAsia="Noto Sans Mono CJK JP Regular" w:cs="Noto Sans Mono CJK JP Regular"/>
      <w:kern w:val="0"/>
      <w:sz w:val="22"/>
      <w:szCs w:val="22"/>
      <w:lang w:val="zh-CN" w:bidi="zh-CN"/>
    </w:rPr>
  </w:style>
  <w:style w:type="character" w:customStyle="1" w:styleId="82">
    <w:name w:val="批注文字 Char"/>
    <w:basedOn w:val="31"/>
    <w:link w:val="10"/>
    <w:autoRedefine/>
    <w:qFormat/>
    <w:uiPriority w:val="0"/>
    <w:rPr>
      <w:kern w:val="2"/>
      <w:sz w:val="21"/>
      <w:szCs w:val="24"/>
    </w:rPr>
  </w:style>
  <w:style w:type="character" w:customStyle="1" w:styleId="83">
    <w:name w:val="批注主题 Char"/>
    <w:basedOn w:val="82"/>
    <w:link w:val="26"/>
    <w:autoRedefine/>
    <w:qFormat/>
    <w:uiPriority w:val="0"/>
    <w:rPr>
      <w:b/>
      <w:bCs/>
    </w:rPr>
  </w:style>
  <w:style w:type="paragraph" w:customStyle="1" w:styleId="84">
    <w:name w:val="表中文字"/>
    <w:basedOn w:val="1"/>
    <w:autoRedefine/>
    <w:qFormat/>
    <w:uiPriority w:val="0"/>
    <w:pPr>
      <w:adjustRightInd w:val="0"/>
      <w:snapToGrid w:val="0"/>
      <w:spacing w:line="240" w:lineRule="auto"/>
      <w:ind w:firstLine="0" w:firstLineChars="0"/>
      <w:jc w:val="center"/>
    </w:pPr>
    <w:rPr>
      <w:rFonts w:cs="TimesNewRomanPSMT"/>
      <w:bCs/>
      <w:snapToGrid w:val="0"/>
      <w:kern w:val="0"/>
      <w:sz w:val="21"/>
      <w:szCs w:val="21"/>
    </w:rPr>
  </w:style>
  <w:style w:type="paragraph" w:customStyle="1" w:styleId="85">
    <w:name w:val="表格格式"/>
    <w:basedOn w:val="1"/>
    <w:autoRedefine/>
    <w:qFormat/>
    <w:uiPriority w:val="0"/>
    <w:pPr>
      <w:spacing w:line="240" w:lineRule="auto"/>
      <w:ind w:firstLine="0" w:firstLineChars="0"/>
      <w:jc w:val="center"/>
    </w:pPr>
    <w:rPr>
      <w:sz w:val="21"/>
    </w:rPr>
  </w:style>
  <w:style w:type="paragraph" w:customStyle="1" w:styleId="86">
    <w:name w:val="样式 表中文字 +"/>
    <w:basedOn w:val="1"/>
    <w:autoRedefine/>
    <w:qFormat/>
    <w:uiPriority w:val="0"/>
    <w:pPr>
      <w:adjustRightInd w:val="0"/>
      <w:snapToGrid w:val="0"/>
      <w:spacing w:line="0" w:lineRule="atLeast"/>
      <w:jc w:val="center"/>
    </w:pPr>
    <w:rPr>
      <w:rFonts w:ascii="Times New Roman" w:hAnsi="Times New Roman"/>
      <w:kern w:val="0"/>
      <w:szCs w:val="21"/>
    </w:rPr>
  </w:style>
  <w:style w:type="paragraph" w:customStyle="1" w:styleId="87">
    <w:name w:val="新格式表"/>
    <w:basedOn w:val="1"/>
    <w:autoRedefine/>
    <w:qFormat/>
    <w:uiPriority w:val="0"/>
    <w:pPr>
      <w:snapToGrid w:val="0"/>
      <w:spacing w:line="360" w:lineRule="exact"/>
      <w:jc w:val="center"/>
    </w:pPr>
    <w:rPr>
      <w:rFonts w:ascii="Times New Roman" w:hAnsi="Times New Roman"/>
      <w:b/>
      <w:bCs/>
      <w:szCs w:val="21"/>
    </w:rPr>
  </w:style>
  <w:style w:type="paragraph" w:customStyle="1" w:styleId="88">
    <w:name w:val="xl31"/>
    <w:basedOn w:val="1"/>
    <w:autoRedefine/>
    <w:qFormat/>
    <w:uiPriority w:val="0"/>
    <w:pPr>
      <w:widowControl/>
      <w:spacing w:before="100" w:beforeAutospacing="1" w:after="100" w:afterAutospacing="1"/>
      <w:jc w:val="center"/>
    </w:pPr>
    <w:rPr>
      <w:rFonts w:ascii="Times New Roman" w:hAnsi="Times New Roman"/>
      <w:kern w:val="0"/>
      <w:sz w:val="24"/>
    </w:rPr>
  </w:style>
  <w:style w:type="paragraph" w:customStyle="1" w:styleId="89">
    <w:name w:val="无间隔1"/>
    <w:basedOn w:val="1"/>
    <w:next w:val="1"/>
    <w:autoRedefine/>
    <w:qFormat/>
    <w:uiPriority w:val="1"/>
    <w:pPr>
      <w:spacing w:line="320" w:lineRule="atLeast"/>
      <w:ind w:firstLine="0" w:firstLineChars="0"/>
      <w:jc w:val="center"/>
    </w:pPr>
    <w:rPr>
      <w:kern w:val="0"/>
      <w:sz w:val="21"/>
      <w:szCs w:val="20"/>
    </w:rPr>
  </w:style>
  <w:style w:type="paragraph" w:customStyle="1" w:styleId="90">
    <w:name w:val="Table Text"/>
    <w:basedOn w:val="1"/>
    <w:autoRedefine/>
    <w:semiHidden/>
    <w:qFormat/>
    <w:uiPriority w:val="0"/>
    <w:rPr>
      <w:rFonts w:ascii="宋体" w:hAnsi="宋体" w:eastAsia="宋体" w:cs="宋体"/>
      <w:sz w:val="20"/>
      <w:szCs w:val="20"/>
      <w:lang w:val="en-US" w:eastAsia="en-US" w:bidi="ar-SA"/>
    </w:rPr>
  </w:style>
  <w:style w:type="paragraph" w:customStyle="1" w:styleId="91">
    <w:name w:val="样式3"/>
    <w:basedOn w:val="1"/>
    <w:autoRedefine/>
    <w:qFormat/>
    <w:uiPriority w:val="0"/>
    <w:pPr>
      <w:pBdr>
        <w:top w:val="single" w:color="auto" w:sz="4" w:space="1"/>
      </w:pBdr>
      <w:tabs>
        <w:tab w:val="center" w:pos="4153"/>
        <w:tab w:val="right" w:pos="8306"/>
      </w:tabs>
    </w:pPr>
    <w:rPr>
      <w:sz w:val="21"/>
    </w:rPr>
  </w:style>
  <w:style w:type="character" w:customStyle="1" w:styleId="92">
    <w:name w:val="shenbao"/>
    <w:basedOn w:val="31"/>
    <w:autoRedefine/>
    <w:qFormat/>
    <w:uiPriority w:val="0"/>
    <w:rPr>
      <w:color w:val="EF6334"/>
    </w:rPr>
  </w:style>
  <w:style w:type="character" w:customStyle="1" w:styleId="93">
    <w:name w:val="chakan"/>
    <w:basedOn w:val="31"/>
    <w:autoRedefine/>
    <w:qFormat/>
    <w:uiPriority w:val="0"/>
    <w:rPr>
      <w:color w:val="0064EA"/>
    </w:rPr>
  </w:style>
  <w:style w:type="character" w:customStyle="1" w:styleId="94">
    <w:name w:val="checkbox"/>
    <w:basedOn w:val="31"/>
    <w:autoRedefine/>
    <w:qFormat/>
    <w:uiPriority w:val="0"/>
  </w:style>
  <w:style w:type="paragraph" w:customStyle="1" w:styleId="95">
    <w:name w:val="p0"/>
    <w:basedOn w:val="1"/>
    <w:autoRedefine/>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0.pn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41C930-974F-445E-B4B9-EC82EA4D268B}">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36</Pages>
  <Words>2797</Words>
  <Characters>15944</Characters>
  <Lines>132</Lines>
  <Paragraphs>37</Paragraphs>
  <TotalTime>9</TotalTime>
  <ScaleCrop>false</ScaleCrop>
  <LinksUpToDate>false</LinksUpToDate>
  <CharactersWithSpaces>18704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2018-06-12T17:06:00Z</dcterms:created>
  <dc:creator>Administrator</dc:creator>
  <cp:lastModifiedBy>柳慧敏</cp:lastModifiedBy>
  <cp:lastPrinted>2018-02-02T07:18:00Z</cp:lastPrinted>
  <dcterms:modified xsi:type="dcterms:W3CDTF">2024-04-25T03:51:39Z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0A7F54EFDC7A44108E2E44E9D596C5C5_12</vt:lpwstr>
  </property>
</Properties>
</file>