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eastAsiaTheme="minorEastAsia"/>
          <w:color w:val="000000" w:themeColor="text1"/>
          <w:sz w:val="28"/>
          <w14:textFill>
            <w14:solidFill>
              <w14:schemeClr w14:val="tx1"/>
            </w14:solidFill>
          </w14:textFill>
        </w:rPr>
      </w:pPr>
    </w:p>
    <w:p>
      <w:pPr>
        <w:jc w:val="center"/>
        <w:rPr>
          <w:rFonts w:cs="Times New Roman" w:eastAsiaTheme="minorEastAsia"/>
          <w:color w:val="000000" w:themeColor="text1"/>
          <w:sz w:val="28"/>
          <w14:textFill>
            <w14:solidFill>
              <w14:schemeClr w14:val="tx1"/>
            </w14:solidFill>
          </w14:textFill>
        </w:rPr>
      </w:pPr>
    </w:p>
    <w:p>
      <w:pPr>
        <w:jc w:val="center"/>
        <w:rPr>
          <w:rFonts w:cs="Times New Roman" w:eastAsiaTheme="minorEastAsia"/>
          <w:color w:val="000000" w:themeColor="text1"/>
          <w:sz w:val="28"/>
          <w14:textFill>
            <w14:solidFill>
              <w14:schemeClr w14:val="tx1"/>
            </w14:solidFill>
          </w14:textFill>
        </w:rPr>
      </w:pPr>
    </w:p>
    <w:p>
      <w:pPr>
        <w:jc w:val="center"/>
        <w:rPr>
          <w:rFonts w:hint="eastAsia" w:ascii="宋体" w:hAnsi="宋体" w:cs="宋体"/>
          <w:b/>
          <w:color w:val="000000" w:themeColor="text1"/>
          <w:spacing w:val="-6"/>
          <w:kern w:val="2"/>
          <w:sz w:val="48"/>
          <w:szCs w:val="48"/>
          <w:lang w:eastAsia="zh-CN"/>
          <w14:textFill>
            <w14:solidFill>
              <w14:schemeClr w14:val="tx1"/>
            </w14:solidFill>
          </w14:textFill>
        </w:rPr>
      </w:pPr>
      <w:r>
        <w:rPr>
          <w:rFonts w:hint="eastAsia" w:ascii="宋体" w:hAnsi="宋体" w:cs="宋体"/>
          <w:b/>
          <w:color w:val="000000" w:themeColor="text1"/>
          <w:spacing w:val="-6"/>
          <w:kern w:val="2"/>
          <w:sz w:val="48"/>
          <w:szCs w:val="48"/>
          <w:lang w:eastAsia="zh-CN"/>
          <w14:textFill>
            <w14:solidFill>
              <w14:schemeClr w14:val="tx1"/>
            </w14:solidFill>
          </w14:textFill>
        </w:rPr>
        <w:t>重庆美豪汽车玻璃有限公司</w:t>
      </w:r>
    </w:p>
    <w:p>
      <w:pPr>
        <w:jc w:val="center"/>
        <w:rPr>
          <w:rFonts w:hint="eastAsia" w:ascii="宋体" w:hAnsi="宋体" w:cs="宋体"/>
          <w:b/>
          <w:color w:val="000000" w:themeColor="text1"/>
          <w:spacing w:val="-6"/>
          <w:kern w:val="2"/>
          <w:sz w:val="48"/>
          <w:szCs w:val="48"/>
          <w:lang w:eastAsia="zh-CN"/>
          <w14:textFill>
            <w14:solidFill>
              <w14:schemeClr w14:val="tx1"/>
            </w14:solidFill>
          </w14:textFill>
        </w:rPr>
      </w:pPr>
      <w:r>
        <w:rPr>
          <w:rFonts w:hint="eastAsia" w:ascii="宋体" w:hAnsi="宋体" w:cs="宋体"/>
          <w:b/>
          <w:color w:val="000000" w:themeColor="text1"/>
          <w:spacing w:val="-6"/>
          <w:kern w:val="2"/>
          <w:sz w:val="48"/>
          <w:szCs w:val="48"/>
          <w:lang w:eastAsia="zh-CN"/>
          <w14:textFill>
            <w14:solidFill>
              <w14:schemeClr w14:val="tx1"/>
            </w14:solidFill>
          </w14:textFill>
        </w:rPr>
        <w:t>年产30万片汽车挡风玻璃项目</w:t>
      </w:r>
    </w:p>
    <w:p>
      <w:pPr>
        <w:jc w:val="center"/>
        <w:rPr>
          <w:rFonts w:hint="eastAsia" w:ascii="宋体" w:hAnsi="宋体" w:eastAsia="宋体" w:cs="宋体"/>
          <w:b/>
          <w:sz w:val="48"/>
          <w:szCs w:val="48"/>
          <w:lang w:eastAsia="zh-CN"/>
        </w:rPr>
      </w:pPr>
      <w:r>
        <w:rPr>
          <w:rFonts w:ascii="宋体" w:hAnsi="宋体" w:cs="宋体"/>
          <w:b/>
          <w:color w:val="000000" w:themeColor="text1"/>
          <w:spacing w:val="-6"/>
          <w:kern w:val="2"/>
          <w:sz w:val="48"/>
          <w:szCs w:val="48"/>
          <w14:textFill>
            <w14:solidFill>
              <w14:schemeClr w14:val="tx1"/>
            </w14:solidFill>
          </w14:textFill>
        </w:rPr>
        <w:t>竣工环境保护验收监测报告</w:t>
      </w:r>
      <w:r>
        <w:rPr>
          <w:rFonts w:hint="eastAsia" w:ascii="宋体" w:hAnsi="宋体" w:cs="宋体"/>
          <w:b/>
          <w:color w:val="000000" w:themeColor="text1"/>
          <w:spacing w:val="-6"/>
          <w:kern w:val="2"/>
          <w:sz w:val="48"/>
          <w:szCs w:val="48"/>
          <w:lang w:eastAsia="zh-CN"/>
          <w14:textFill>
            <w14:solidFill>
              <w14:schemeClr w14:val="tx1"/>
            </w14:solidFill>
          </w14:textFill>
        </w:rPr>
        <w:t>表</w:t>
      </w:r>
    </w:p>
    <w:p>
      <w:pPr>
        <w:jc w:val="center"/>
        <w:rPr>
          <w:rFonts w:cs="Times New Roman" w:eastAsiaTheme="minorEastAsia"/>
          <w:color w:val="000000" w:themeColor="text1"/>
          <w:sz w:val="28"/>
          <w14:textFill>
            <w14:solidFill>
              <w14:schemeClr w14:val="tx1"/>
            </w14:solidFill>
          </w14:textFill>
        </w:rPr>
      </w:pPr>
    </w:p>
    <w:p>
      <w:pPr>
        <w:rPr>
          <w:rFonts w:cs="Times New Roman" w:eastAsiaTheme="minorEastAsia"/>
          <w:color w:val="000000" w:themeColor="text1"/>
          <w:sz w:val="28"/>
          <w14:textFill>
            <w14:solidFill>
              <w14:schemeClr w14:val="tx1"/>
            </w14:solidFill>
          </w14:textFill>
        </w:rPr>
      </w:pPr>
    </w:p>
    <w:p>
      <w:pPr>
        <w:rPr>
          <w:rFonts w:cs="Times New Roman" w:eastAsiaTheme="minorEastAsia"/>
          <w:color w:val="000000" w:themeColor="text1"/>
          <w:sz w:val="28"/>
          <w14:textFill>
            <w14:solidFill>
              <w14:schemeClr w14:val="tx1"/>
            </w14:solidFill>
          </w14:textFill>
        </w:rPr>
      </w:pPr>
    </w:p>
    <w:p>
      <w:pPr>
        <w:rPr>
          <w:rFonts w:cs="Times New Roman" w:eastAsiaTheme="minorEastAsia"/>
          <w:color w:val="000000" w:themeColor="text1"/>
          <w:sz w:val="28"/>
          <w14:textFill>
            <w14:solidFill>
              <w14:schemeClr w14:val="tx1"/>
            </w14:solidFill>
          </w14:textFill>
        </w:rPr>
      </w:pPr>
      <w:r>
        <w:rPr>
          <w:rFonts w:cs="Times New Roman" w:eastAsiaTheme="minorEastAsia"/>
          <w:color w:val="000000" w:themeColor="text1"/>
          <w:sz w:val="28"/>
          <w14:textFill>
            <w14:solidFill>
              <w14:schemeClr w14:val="tx1"/>
            </w14:solidFill>
          </w14:textFill>
        </w:rPr>
        <w:tab/>
      </w:r>
      <w:r>
        <w:rPr>
          <w:rFonts w:cs="Times New Roman" w:eastAsiaTheme="minorEastAsia"/>
          <w:color w:val="000000" w:themeColor="text1"/>
          <w:sz w:val="28"/>
          <w14:textFill>
            <w14:solidFill>
              <w14:schemeClr w14:val="tx1"/>
            </w14:solidFill>
          </w14:textFill>
        </w:rPr>
        <w:tab/>
      </w:r>
    </w:p>
    <w:p>
      <w:pPr>
        <w:rPr>
          <w:rFonts w:cs="Times New Roman" w:eastAsiaTheme="minorEastAsia"/>
          <w:color w:val="000000" w:themeColor="text1"/>
          <w:sz w:val="28"/>
          <w14:textFill>
            <w14:solidFill>
              <w14:schemeClr w14:val="tx1"/>
            </w14:solidFill>
          </w14:textFill>
        </w:rPr>
      </w:pPr>
    </w:p>
    <w:p>
      <w:pPr>
        <w:rPr>
          <w:rFonts w:cs="Times New Roman" w:eastAsiaTheme="minorEastAsia"/>
          <w:color w:val="000000" w:themeColor="text1"/>
          <w:sz w:val="28"/>
          <w14:textFill>
            <w14:solidFill>
              <w14:schemeClr w14:val="tx1"/>
            </w14:solidFill>
          </w14:textFill>
        </w:rPr>
      </w:pPr>
    </w:p>
    <w:p>
      <w:pPr>
        <w:rPr>
          <w:rFonts w:cs="Times New Roman" w:eastAsiaTheme="minorEastAsia"/>
          <w:color w:val="000000" w:themeColor="text1"/>
          <w:sz w:val="28"/>
          <w14:textFill>
            <w14:solidFill>
              <w14:schemeClr w14:val="tx1"/>
            </w14:solidFill>
          </w14:textFill>
        </w:rPr>
      </w:pPr>
    </w:p>
    <w:p>
      <w:pPr>
        <w:ind w:firstLine="1400" w:firstLineChars="500"/>
        <w:rPr>
          <w:rFonts w:cs="Times New Roman" w:eastAsiaTheme="minorEastAsia"/>
          <w:color w:val="000000" w:themeColor="text1"/>
          <w:sz w:val="28"/>
          <w14:textFill>
            <w14:solidFill>
              <w14:schemeClr w14:val="tx1"/>
            </w14:solidFill>
          </w14:textFill>
        </w:rPr>
      </w:pPr>
      <w:r>
        <w:rPr>
          <w:rFonts w:cs="Times New Roman" w:eastAsiaTheme="minorEastAsia"/>
          <w:color w:val="000000" w:themeColor="text1"/>
          <w:sz w:val="28"/>
          <w14:textFill>
            <w14:solidFill>
              <w14:schemeClr w14:val="tx1"/>
            </w14:solidFill>
          </w14:textFill>
        </w:rPr>
        <w:tab/>
      </w:r>
      <w:r>
        <w:rPr>
          <w:rFonts w:cs="Times New Roman" w:eastAsiaTheme="minorEastAsia"/>
          <w:color w:val="000000" w:themeColor="text1"/>
          <w:sz w:val="28"/>
          <w14:textFill>
            <w14:solidFill>
              <w14:schemeClr w14:val="tx1"/>
            </w14:solidFill>
          </w14:textFill>
        </w:rPr>
        <w:tab/>
      </w:r>
      <w:r>
        <w:rPr>
          <w:rFonts w:cs="Times New Roman" w:eastAsiaTheme="minorEastAsia"/>
          <w:color w:val="000000" w:themeColor="text1"/>
          <w:sz w:val="28"/>
          <w14:textFill>
            <w14:solidFill>
              <w14:schemeClr w14:val="tx1"/>
            </w14:solidFill>
          </w14:textFill>
        </w:rPr>
        <w:tab/>
      </w:r>
    </w:p>
    <w:p>
      <w:pPr>
        <w:ind w:firstLine="1400" w:firstLineChars="500"/>
        <w:rPr>
          <w:rFonts w:cs="Times New Roman" w:eastAsiaTheme="minorEastAsia"/>
          <w:color w:val="000000" w:themeColor="text1"/>
          <w:sz w:val="28"/>
          <w14:textFill>
            <w14:solidFill>
              <w14:schemeClr w14:val="tx1"/>
            </w14:solidFill>
          </w14:textFill>
        </w:rPr>
      </w:pPr>
    </w:p>
    <w:p>
      <w:pPr>
        <w:ind w:firstLine="1405" w:firstLineChars="500"/>
        <w:rPr>
          <w:rFonts w:cs="Times New Roman" w:eastAsiaTheme="minorEastAsia"/>
          <w:b/>
          <w:bCs/>
          <w:color w:val="000000" w:themeColor="text1"/>
          <w:sz w:val="28"/>
          <w14:textFill>
            <w14:solidFill>
              <w14:schemeClr w14:val="tx1"/>
            </w14:solidFill>
          </w14:textFill>
        </w:rPr>
      </w:pPr>
    </w:p>
    <w:p>
      <w:pPr>
        <w:pStyle w:val="31"/>
        <w:rPr>
          <w:rFonts w:cs="Times New Roman" w:eastAsiaTheme="minorEastAsia"/>
          <w:b/>
          <w:bCs/>
          <w:color w:val="000000" w:themeColor="text1"/>
          <w:sz w:val="28"/>
          <w14:textFill>
            <w14:solidFill>
              <w14:schemeClr w14:val="tx1"/>
            </w14:solidFill>
          </w14:textFill>
        </w:rPr>
      </w:pPr>
    </w:p>
    <w:p>
      <w:pPr>
        <w:pStyle w:val="31"/>
        <w:rPr>
          <w:rFonts w:cs="Times New Roman" w:eastAsiaTheme="minorEastAsia"/>
          <w:b/>
          <w:bCs/>
          <w:color w:val="000000" w:themeColor="text1"/>
          <w:sz w:val="28"/>
          <w14:textFill>
            <w14:solidFill>
              <w14:schemeClr w14:val="tx1"/>
            </w14:solidFill>
          </w14:textFill>
        </w:rPr>
      </w:pPr>
    </w:p>
    <w:tbl>
      <w:tblPr>
        <w:tblStyle w:val="25"/>
        <w:tblW w:w="84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3"/>
        <w:gridCol w:w="5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743" w:type="dxa"/>
            <w:vAlign w:val="center"/>
          </w:tcPr>
          <w:p>
            <w:pPr>
              <w:widowControl w:val="0"/>
              <w:ind w:firstLine="964" w:firstLineChars="300"/>
              <w:jc w:val="both"/>
              <w:rPr>
                <w:rFonts w:ascii="宋体" w:hAnsi="宋体" w:cs="宋体"/>
                <w:b/>
                <w:color w:val="000000" w:themeColor="text1"/>
                <w:kern w:val="2"/>
                <w:sz w:val="32"/>
                <w:szCs w:val="24"/>
                <w14:textFill>
                  <w14:solidFill>
                    <w14:schemeClr w14:val="tx1"/>
                  </w14:solidFill>
                </w14:textFill>
              </w:rPr>
            </w:pPr>
            <w:r>
              <w:rPr>
                <w:rFonts w:hint="eastAsia" w:ascii="宋体" w:hAnsi="宋体" w:cs="宋体"/>
                <w:b/>
                <w:color w:val="000000" w:themeColor="text1"/>
                <w:kern w:val="2"/>
                <w:sz w:val="32"/>
                <w:szCs w:val="24"/>
                <w14:textFill>
                  <w14:solidFill>
                    <w14:schemeClr w14:val="tx1"/>
                  </w14:solidFill>
                </w14:textFill>
              </w:rPr>
              <w:t>建设单位：</w:t>
            </w:r>
          </w:p>
        </w:tc>
        <w:tc>
          <w:tcPr>
            <w:tcW w:w="5728" w:type="dxa"/>
            <w:vAlign w:val="center"/>
          </w:tcPr>
          <w:p>
            <w:pPr>
              <w:widowControl w:val="0"/>
              <w:jc w:val="both"/>
              <w:rPr>
                <w:rFonts w:hint="default" w:ascii="宋体" w:hAnsi="宋体" w:eastAsia="宋体" w:cs="宋体"/>
                <w:b/>
                <w:color w:val="000000" w:themeColor="text1"/>
                <w:kern w:val="2"/>
                <w:sz w:val="32"/>
                <w:szCs w:val="24"/>
                <w:lang w:val="en-US" w:eastAsia="zh-CN"/>
                <w14:textFill>
                  <w14:solidFill>
                    <w14:schemeClr w14:val="tx1"/>
                  </w14:solidFill>
                </w14:textFill>
              </w:rPr>
            </w:pPr>
            <w:r>
              <w:rPr>
                <w:rFonts w:hint="eastAsia" w:ascii="宋体" w:hAnsi="宋体" w:cs="宋体"/>
                <w:b/>
                <w:color w:val="000000" w:themeColor="text1"/>
                <w:kern w:val="2"/>
                <w:sz w:val="32"/>
                <w:szCs w:val="24"/>
                <w:lang w:eastAsia="zh-CN"/>
                <w14:textFill>
                  <w14:solidFill>
                    <w14:schemeClr w14:val="tx1"/>
                  </w14:solidFill>
                </w14:textFill>
              </w:rPr>
              <w:t>重庆美豪汽车玻璃有限公司</w:t>
            </w:r>
            <w:r>
              <w:rPr>
                <w:rFonts w:hint="eastAsia" w:ascii="宋体" w:hAnsi="宋体" w:cs="宋体"/>
                <w:b/>
                <w:color w:val="000000" w:themeColor="text1"/>
                <w:kern w:val="2"/>
                <w:sz w:val="32"/>
                <w:szCs w:val="24"/>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2743" w:type="dxa"/>
            <w:vAlign w:val="center"/>
          </w:tcPr>
          <w:p>
            <w:pPr>
              <w:widowControl w:val="0"/>
              <w:ind w:firstLine="964" w:firstLineChars="300"/>
              <w:jc w:val="both"/>
              <w:rPr>
                <w:rFonts w:hint="eastAsia" w:ascii="宋体" w:hAnsi="宋体" w:cs="宋体"/>
                <w:b/>
                <w:color w:val="000000" w:themeColor="text1"/>
                <w:kern w:val="2"/>
                <w:sz w:val="32"/>
                <w:szCs w:val="24"/>
                <w14:textFill>
                  <w14:solidFill>
                    <w14:schemeClr w14:val="tx1"/>
                  </w14:solidFill>
                </w14:textFill>
              </w:rPr>
            </w:pPr>
            <w:r>
              <w:rPr>
                <w:rFonts w:hint="eastAsia" w:ascii="宋体" w:hAnsi="宋体" w:cs="宋体"/>
                <w:b/>
                <w:color w:val="000000" w:themeColor="text1"/>
                <w:kern w:val="2"/>
                <w:sz w:val="32"/>
                <w:szCs w:val="24"/>
                <w:lang w:eastAsia="zh-CN"/>
                <w14:textFill>
                  <w14:solidFill>
                    <w14:schemeClr w14:val="tx1"/>
                  </w14:solidFill>
                </w14:textFill>
              </w:rPr>
              <w:t>编制</w:t>
            </w:r>
            <w:r>
              <w:rPr>
                <w:rFonts w:hint="eastAsia" w:ascii="宋体" w:hAnsi="宋体" w:cs="宋体"/>
                <w:b/>
                <w:color w:val="000000" w:themeColor="text1"/>
                <w:kern w:val="2"/>
                <w:sz w:val="32"/>
                <w:szCs w:val="24"/>
                <w14:textFill>
                  <w14:solidFill>
                    <w14:schemeClr w14:val="tx1"/>
                  </w14:solidFill>
                </w14:textFill>
              </w:rPr>
              <w:t>单位：</w:t>
            </w:r>
          </w:p>
        </w:tc>
        <w:tc>
          <w:tcPr>
            <w:tcW w:w="5728" w:type="dxa"/>
            <w:vAlign w:val="center"/>
          </w:tcPr>
          <w:p>
            <w:pPr>
              <w:widowControl w:val="0"/>
              <w:jc w:val="both"/>
              <w:rPr>
                <w:rFonts w:hint="eastAsia" w:ascii="宋体" w:hAnsi="宋体" w:cs="宋体"/>
                <w:b/>
                <w:color w:val="000000" w:themeColor="text1"/>
                <w:kern w:val="2"/>
                <w:sz w:val="32"/>
                <w:szCs w:val="24"/>
                <w:lang w:eastAsia="zh-CN"/>
                <w14:textFill>
                  <w14:solidFill>
                    <w14:schemeClr w14:val="tx1"/>
                  </w14:solidFill>
                </w14:textFill>
              </w:rPr>
            </w:pPr>
            <w:r>
              <w:rPr>
                <w:rFonts w:hint="eastAsia" w:ascii="宋体" w:hAnsi="宋体" w:cs="宋体"/>
                <w:b/>
                <w:color w:val="000000" w:themeColor="text1"/>
                <w:kern w:val="2"/>
                <w:sz w:val="32"/>
                <w:szCs w:val="24"/>
                <w:lang w:eastAsia="zh-CN"/>
                <w14:textFill>
                  <w14:solidFill>
                    <w14:schemeClr w14:val="tx1"/>
                  </w14:solidFill>
                </w14:textFill>
              </w:rPr>
              <w:t>重庆万世缘环保科技有限公司</w:t>
            </w:r>
          </w:p>
        </w:tc>
      </w:tr>
    </w:tbl>
    <w:p>
      <w:pPr>
        <w:ind w:firstLine="1405" w:firstLineChars="500"/>
        <w:rPr>
          <w:rFonts w:cs="Times New Roman" w:eastAsiaTheme="minorEastAsia"/>
          <w:b/>
          <w:bCs/>
          <w:color w:val="000000" w:themeColor="text1"/>
          <w:sz w:val="28"/>
          <w14:textFill>
            <w14:solidFill>
              <w14:schemeClr w14:val="tx1"/>
            </w14:solidFill>
          </w14:textFill>
        </w:rPr>
      </w:pPr>
    </w:p>
    <w:p>
      <w:pPr>
        <w:ind w:firstLine="2891" w:firstLineChars="900"/>
        <w:jc w:val="both"/>
        <w:rPr>
          <w:rFonts w:ascii="宋体" w:hAnsi="宋体" w:cs="宋体"/>
          <w:b/>
          <w:color w:val="000000" w:themeColor="text1"/>
          <w:kern w:val="2"/>
          <w:sz w:val="32"/>
          <w:szCs w:val="24"/>
          <w14:textFill>
            <w14:solidFill>
              <w14:schemeClr w14:val="tx1"/>
            </w14:solidFill>
          </w14:textFill>
        </w:rPr>
      </w:pPr>
      <w:r>
        <w:rPr>
          <w:rFonts w:ascii="宋体" w:hAnsi="宋体" w:cs="宋体"/>
          <w:b/>
          <w:color w:val="000000" w:themeColor="text1"/>
          <w:kern w:val="2"/>
          <w:sz w:val="32"/>
          <w:szCs w:val="24"/>
          <w14:textFill>
            <w14:solidFill>
              <w14:schemeClr w14:val="tx1"/>
            </w14:solidFill>
          </w14:textFill>
        </w:rPr>
        <w:t>二〇二</w:t>
      </w:r>
      <w:r>
        <w:rPr>
          <w:rFonts w:hint="eastAsia" w:ascii="宋体" w:hAnsi="宋体" w:cs="宋体"/>
          <w:b/>
          <w:color w:val="000000" w:themeColor="text1"/>
          <w:kern w:val="2"/>
          <w:sz w:val="32"/>
          <w:szCs w:val="24"/>
          <w:lang w:val="en-US" w:eastAsia="zh-CN"/>
          <w14:textFill>
            <w14:solidFill>
              <w14:schemeClr w14:val="tx1"/>
            </w14:solidFill>
          </w14:textFill>
        </w:rPr>
        <w:t>四</w:t>
      </w:r>
      <w:r>
        <w:rPr>
          <w:rFonts w:ascii="宋体" w:hAnsi="宋体" w:cs="宋体"/>
          <w:b/>
          <w:color w:val="000000" w:themeColor="text1"/>
          <w:kern w:val="2"/>
          <w:sz w:val="32"/>
          <w:szCs w:val="24"/>
          <w14:textFill>
            <w14:solidFill>
              <w14:schemeClr w14:val="tx1"/>
            </w14:solidFill>
          </w14:textFill>
        </w:rPr>
        <w:t>年</w:t>
      </w:r>
      <w:r>
        <w:rPr>
          <w:rFonts w:hint="eastAsia" w:ascii="宋体" w:hAnsi="宋体" w:cs="宋体"/>
          <w:b/>
          <w:color w:val="000000" w:themeColor="text1"/>
          <w:kern w:val="2"/>
          <w:sz w:val="32"/>
          <w:szCs w:val="24"/>
          <w:lang w:eastAsia="zh-CN"/>
          <w14:textFill>
            <w14:solidFill>
              <w14:schemeClr w14:val="tx1"/>
            </w14:solidFill>
          </w14:textFill>
        </w:rPr>
        <w:t>五</w:t>
      </w:r>
      <w:r>
        <w:rPr>
          <w:rFonts w:ascii="宋体" w:hAnsi="宋体" w:cs="宋体"/>
          <w:b/>
          <w:color w:val="000000" w:themeColor="text1"/>
          <w:kern w:val="2"/>
          <w:sz w:val="32"/>
          <w:szCs w:val="24"/>
          <w14:textFill>
            <w14:solidFill>
              <w14:schemeClr w14:val="tx1"/>
            </w14:solidFill>
          </w14:textFill>
        </w:rPr>
        <w:t>月</w:t>
      </w:r>
    </w:p>
    <w:p>
      <w:pPr>
        <w:jc w:val="both"/>
        <w:rPr>
          <w:rFonts w:ascii="宋体" w:hAnsi="宋体" w:cs="宋体"/>
          <w:b/>
          <w:color w:val="000000" w:themeColor="text1"/>
          <w:kern w:val="2"/>
          <w:sz w:val="32"/>
          <w:szCs w:val="24"/>
          <w14:textFill>
            <w14:solidFill>
              <w14:schemeClr w14:val="tx1"/>
            </w14:solidFill>
          </w14:textFill>
        </w:rPr>
      </w:pPr>
    </w:p>
    <w:p>
      <w:pPr>
        <w:rPr>
          <w:rFonts w:hint="eastAsia" w:cs="Times New Roman" w:eastAsiaTheme="minorEastAsia"/>
          <w:b/>
          <w:bCs/>
          <w:color w:val="000000" w:themeColor="text1"/>
          <w:sz w:val="28"/>
          <w:szCs w:val="28"/>
          <w:lang w:eastAsia="zh-CN"/>
          <w14:textFill>
            <w14:solidFill>
              <w14:schemeClr w14:val="tx1"/>
            </w14:solidFill>
          </w14:textFill>
        </w:rPr>
      </w:pPr>
      <w:r>
        <w:rPr>
          <w:rFonts w:hint="eastAsia" w:cs="Times New Roman" w:eastAsiaTheme="minorEastAsia"/>
          <w:b/>
          <w:bCs/>
          <w:color w:val="000000" w:themeColor="text1"/>
          <w:sz w:val="28"/>
          <w:szCs w:val="28"/>
          <w14:textFill>
            <w14:solidFill>
              <w14:schemeClr w14:val="tx1"/>
            </w14:solidFill>
          </w14:textFill>
        </w:rPr>
        <w:t>建设单位：</w:t>
      </w:r>
      <w:r>
        <w:rPr>
          <w:rFonts w:hint="eastAsia" w:cs="Times New Roman" w:eastAsiaTheme="minorEastAsia"/>
          <w:b/>
          <w:bCs/>
          <w:color w:val="000000" w:themeColor="text1"/>
          <w:sz w:val="28"/>
          <w:szCs w:val="28"/>
          <w:lang w:eastAsia="zh-CN"/>
          <w14:textFill>
            <w14:solidFill>
              <w14:schemeClr w14:val="tx1"/>
            </w14:solidFill>
          </w14:textFill>
        </w:rPr>
        <w:t>重庆美豪汽车玻璃有限公司</w:t>
      </w:r>
    </w:p>
    <w:p>
      <w:pPr>
        <w:rPr>
          <w:rFonts w:cs="Times New Roman" w:eastAsiaTheme="minorEastAsia"/>
          <w:color w:val="000000" w:themeColor="text1"/>
          <w:sz w:val="32"/>
          <w14:textFill>
            <w14:solidFill>
              <w14:schemeClr w14:val="tx1"/>
            </w14:solidFill>
          </w14:textFill>
        </w:rPr>
      </w:pPr>
      <w:r>
        <w:rPr>
          <w:rFonts w:hint="eastAsia" w:cs="Times New Roman" w:eastAsiaTheme="minorEastAsia"/>
          <w:b/>
          <w:bCs/>
          <w:color w:val="000000" w:themeColor="text1"/>
          <w:sz w:val="28"/>
          <w:szCs w:val="28"/>
          <w14:textFill>
            <w14:solidFill>
              <w14:schemeClr w14:val="tx1"/>
            </w14:solidFill>
          </w14:textFill>
        </w:rPr>
        <w:t>法人代表：</w:t>
      </w:r>
      <w:r>
        <w:rPr>
          <w:rFonts w:hint="eastAsia" w:cs="Times New Roman" w:eastAsiaTheme="minorEastAsia"/>
          <w:b/>
          <w:bCs/>
          <w:color w:val="000000" w:themeColor="text1"/>
          <w:sz w:val="28"/>
          <w:szCs w:val="28"/>
          <w:lang w:eastAsia="zh-CN"/>
          <w14:textFill>
            <w14:solidFill>
              <w14:schemeClr w14:val="tx1"/>
            </w14:solidFill>
          </w14:textFill>
        </w:rPr>
        <w:t>陈天友</w:t>
      </w:r>
    </w:p>
    <w:p>
      <w:pPr>
        <w:rPr>
          <w:rFonts w:hint="eastAsia" w:eastAsia="宋体"/>
          <w:b/>
          <w:bCs/>
          <w:sz w:val="28"/>
          <w:szCs w:val="28"/>
          <w:lang w:eastAsia="zh-CN"/>
        </w:rPr>
      </w:pPr>
      <w:r>
        <w:rPr>
          <w:rFonts w:hint="eastAsia"/>
          <w:b/>
          <w:bCs/>
          <w:sz w:val="28"/>
          <w:szCs w:val="28"/>
        </w:rPr>
        <w:t>项目负责人：</w:t>
      </w:r>
      <w:r>
        <w:rPr>
          <w:rFonts w:hint="eastAsia"/>
          <w:b/>
          <w:bCs/>
          <w:sz w:val="28"/>
          <w:szCs w:val="28"/>
          <w:lang w:eastAsia="zh-CN"/>
        </w:rPr>
        <w:t>陈天友</w:t>
      </w:r>
      <w:r>
        <w:rPr>
          <w:rFonts w:hint="eastAsia"/>
          <w:b/>
          <w:bCs/>
          <w:sz w:val="28"/>
          <w:szCs w:val="28"/>
          <w:lang w:val="en-US" w:eastAsia="zh-CN"/>
        </w:rPr>
        <w:t xml:space="preserve"> </w:t>
      </w:r>
    </w:p>
    <w:p>
      <w:pPr>
        <w:rPr>
          <w:rFonts w:cs="Times New Roman" w:eastAsiaTheme="minorEastAsia"/>
          <w:b/>
          <w:color w:val="000000" w:themeColor="text1"/>
          <w:sz w:val="28"/>
          <w14:textFill>
            <w14:solidFill>
              <w14:schemeClr w14:val="tx1"/>
            </w14:solidFill>
          </w14:textFill>
        </w:rPr>
      </w:pPr>
    </w:p>
    <w:p>
      <w:pPr>
        <w:rPr>
          <w:rFonts w:cs="Times New Roman" w:eastAsiaTheme="minorEastAsia"/>
          <w:b/>
          <w:color w:val="000000" w:themeColor="text1"/>
          <w:sz w:val="28"/>
          <w14:textFill>
            <w14:solidFill>
              <w14:schemeClr w14:val="tx1"/>
            </w14:solidFill>
          </w14:textFill>
        </w:rPr>
      </w:pPr>
    </w:p>
    <w:p>
      <w:pPr>
        <w:ind w:firstLine="520" w:firstLineChars="200"/>
        <w:jc w:val="both"/>
        <w:rPr>
          <w:rFonts w:cs="Times New Roman" w:eastAsiaTheme="minorEastAsia"/>
          <w:color w:val="000000" w:themeColor="text1"/>
          <w:sz w:val="26"/>
          <w:szCs w:val="26"/>
          <w14:textFill>
            <w14:solidFill>
              <w14:schemeClr w14:val="tx1"/>
            </w14:solidFill>
          </w14:textFill>
        </w:rPr>
      </w:pPr>
    </w:p>
    <w:p>
      <w:pPr>
        <w:ind w:firstLine="520" w:firstLineChars="200"/>
        <w:jc w:val="both"/>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jc w:val="both"/>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p>
      <w:pPr>
        <w:pStyle w:val="9"/>
        <w:rPr>
          <w:rFonts w:cs="Times New Roman" w:eastAsiaTheme="minorEastAsia"/>
          <w:color w:val="000000" w:themeColor="text1"/>
          <w:sz w:val="26"/>
          <w:szCs w:val="26"/>
          <w14:textFill>
            <w14:solidFill>
              <w14:schemeClr w14:val="tx1"/>
            </w14:solidFill>
          </w14:textFill>
        </w:rPr>
      </w:pPr>
    </w:p>
    <w:tbl>
      <w:tblPr>
        <w:tblStyle w:val="24"/>
        <w:tblW w:w="4996" w:type="pct"/>
        <w:tblInd w:w="0" w:type="dxa"/>
        <w:tblLayout w:type="autofit"/>
        <w:tblCellMar>
          <w:top w:w="0" w:type="dxa"/>
          <w:left w:w="108" w:type="dxa"/>
          <w:bottom w:w="0" w:type="dxa"/>
          <w:right w:w="108" w:type="dxa"/>
        </w:tblCellMar>
      </w:tblPr>
      <w:tblGrid>
        <w:gridCol w:w="4471"/>
        <w:gridCol w:w="4471"/>
      </w:tblGrid>
      <w:tr>
        <w:tblPrEx>
          <w:tblCellMar>
            <w:top w:w="0" w:type="dxa"/>
            <w:left w:w="108" w:type="dxa"/>
            <w:bottom w:w="0" w:type="dxa"/>
            <w:right w:w="108" w:type="dxa"/>
          </w:tblCellMar>
        </w:tblPrEx>
        <w:trPr>
          <w:trHeight w:val="680" w:hRule="atLeast"/>
        </w:trPr>
        <w:tc>
          <w:tcPr>
            <w:tcW w:w="2500" w:type="pct"/>
            <w:noWrap w:val="0"/>
            <w:vAlign w:val="top"/>
          </w:tcPr>
          <w:p>
            <w:pPr>
              <w:spacing w:line="500" w:lineRule="exact"/>
              <w:ind w:left="1224" w:hanging="1229" w:hangingChars="510"/>
              <w:rPr>
                <w:rFonts w:hint="eastAsia" w:ascii="宋体" w:hAnsi="宋体" w:eastAsia="宋体"/>
                <w:sz w:val="24"/>
                <w:szCs w:val="24"/>
                <w:lang w:eastAsia="zh-CN"/>
              </w:rPr>
            </w:pPr>
            <w:r>
              <w:rPr>
                <w:rFonts w:hint="eastAsia" w:ascii="宋体" w:hAnsi="宋体" w:eastAsia="宋体"/>
                <w:b/>
                <w:bCs/>
                <w:sz w:val="24"/>
                <w:szCs w:val="24"/>
              </w:rPr>
              <w:t>建设单位</w:t>
            </w:r>
            <w:r>
              <w:rPr>
                <w:rFonts w:hint="eastAsia" w:ascii="宋体" w:hAnsi="宋体" w:eastAsia="宋体"/>
                <w:sz w:val="24"/>
                <w:szCs w:val="24"/>
              </w:rPr>
              <w:t>:</w:t>
            </w:r>
            <w:r>
              <w:rPr>
                <w:rFonts w:hint="eastAsia" w:ascii="宋体" w:hAnsi="宋体" w:eastAsia="宋体"/>
                <w:b/>
                <w:sz w:val="24"/>
                <w:szCs w:val="24"/>
              </w:rPr>
              <w:t xml:space="preserve"> </w:t>
            </w:r>
            <w:r>
              <w:rPr>
                <w:rFonts w:hint="eastAsia" w:cs="微软雅黑"/>
                <w:color w:val="000000"/>
                <w:kern w:val="0"/>
                <w:szCs w:val="24"/>
                <w:lang w:eastAsia="zh-CN"/>
              </w:rPr>
              <w:t>重庆美豪汽车玻璃有限公司（盖章）</w:t>
            </w:r>
          </w:p>
        </w:tc>
        <w:tc>
          <w:tcPr>
            <w:tcW w:w="2500" w:type="pct"/>
            <w:noWrap w:val="0"/>
            <w:vAlign w:val="top"/>
          </w:tcPr>
          <w:p>
            <w:pPr>
              <w:spacing w:line="500" w:lineRule="exact"/>
              <w:ind w:left="1229" w:leftChars="0" w:hanging="1229" w:hangingChars="510"/>
              <w:rPr>
                <w:rFonts w:hint="eastAsia" w:ascii="宋体" w:hAnsi="宋体" w:eastAsia="宋体" w:cstheme="minorBidi"/>
                <w:sz w:val="24"/>
                <w:szCs w:val="24"/>
                <w:lang w:val="en-US" w:eastAsia="zh-CN" w:bidi="ar-SA"/>
              </w:rPr>
            </w:pPr>
            <w:r>
              <w:rPr>
                <w:rFonts w:hint="eastAsia" w:ascii="宋体" w:hAnsi="宋体"/>
                <w:b/>
                <w:bCs/>
                <w:sz w:val="24"/>
                <w:szCs w:val="24"/>
                <w:lang w:eastAsia="zh-CN"/>
              </w:rPr>
              <w:t>编制</w:t>
            </w:r>
            <w:r>
              <w:rPr>
                <w:rFonts w:hint="eastAsia" w:ascii="宋体" w:hAnsi="宋体" w:eastAsia="宋体"/>
                <w:b/>
                <w:bCs/>
                <w:sz w:val="24"/>
                <w:szCs w:val="24"/>
              </w:rPr>
              <w:t>单位</w:t>
            </w:r>
            <w:r>
              <w:rPr>
                <w:rFonts w:hint="eastAsia" w:ascii="宋体" w:hAnsi="宋体" w:eastAsia="宋体"/>
                <w:sz w:val="24"/>
                <w:szCs w:val="24"/>
              </w:rPr>
              <w:t>:</w:t>
            </w:r>
            <w:r>
              <w:rPr>
                <w:rFonts w:hint="eastAsia" w:ascii="宋体" w:hAnsi="宋体" w:eastAsia="宋体"/>
                <w:b/>
                <w:sz w:val="24"/>
                <w:szCs w:val="24"/>
              </w:rPr>
              <w:t xml:space="preserve"> </w:t>
            </w:r>
            <w:r>
              <w:rPr>
                <w:rFonts w:hint="eastAsia" w:cs="微软雅黑"/>
                <w:color w:val="000000"/>
                <w:kern w:val="0"/>
                <w:szCs w:val="24"/>
                <w:lang w:eastAsia="zh-CN"/>
              </w:rPr>
              <w:t>重庆万世缘环保科技有限公司（盖章）</w:t>
            </w:r>
          </w:p>
        </w:tc>
      </w:tr>
      <w:tr>
        <w:tblPrEx>
          <w:tblCellMar>
            <w:top w:w="0" w:type="dxa"/>
            <w:left w:w="108" w:type="dxa"/>
            <w:bottom w:w="0" w:type="dxa"/>
            <w:right w:w="108" w:type="dxa"/>
          </w:tblCellMar>
        </w:tblPrEx>
        <w:trPr>
          <w:trHeight w:val="680" w:hRule="atLeast"/>
        </w:trPr>
        <w:tc>
          <w:tcPr>
            <w:tcW w:w="2500" w:type="pct"/>
            <w:noWrap w:val="0"/>
            <w:vAlign w:val="center"/>
          </w:tcPr>
          <w:p>
            <w:pPr>
              <w:spacing w:line="500" w:lineRule="exact"/>
              <w:ind w:right="120" w:rightChars="50"/>
              <w:rPr>
                <w:rFonts w:hint="default" w:ascii="宋体" w:hAnsi="宋体" w:eastAsia="宋体"/>
                <w:sz w:val="24"/>
                <w:szCs w:val="24"/>
                <w:lang w:val="en-US" w:eastAsia="zh-CN"/>
              </w:rPr>
            </w:pPr>
            <w:r>
              <w:rPr>
                <w:rFonts w:hint="eastAsia" w:ascii="宋体" w:hAnsi="宋体" w:eastAsia="宋体"/>
                <w:b/>
                <w:bCs/>
                <w:sz w:val="24"/>
                <w:szCs w:val="24"/>
                <w:lang w:eastAsia="zh-CN"/>
              </w:rPr>
              <w:t>电</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话：</w:t>
            </w:r>
            <w:r>
              <w:rPr>
                <w:rFonts w:hint="eastAsia" w:cs="Times New Roman"/>
                <w:color w:val="auto"/>
                <w:sz w:val="24"/>
                <w:szCs w:val="24"/>
                <w:lang w:val="en-US" w:eastAsia="zh-CN"/>
              </w:rPr>
              <w:t>13896261866</w:t>
            </w:r>
            <w:r>
              <w:rPr>
                <w:rFonts w:hint="eastAsia" w:ascii="Times New Roman" w:hAnsi="Times New Roman" w:cs="Times New Roman"/>
                <w:color w:val="auto"/>
                <w:sz w:val="24"/>
                <w:szCs w:val="24"/>
                <w:lang w:val="en-US" w:eastAsia="zh-CN"/>
              </w:rPr>
              <w:t xml:space="preserve"> </w:t>
            </w:r>
          </w:p>
        </w:tc>
        <w:tc>
          <w:tcPr>
            <w:tcW w:w="2500" w:type="pct"/>
            <w:noWrap w:val="0"/>
            <w:vAlign w:val="center"/>
          </w:tcPr>
          <w:p>
            <w:pPr>
              <w:spacing w:line="500" w:lineRule="exact"/>
              <w:ind w:right="120" w:rightChars="50"/>
              <w:rPr>
                <w:rFonts w:hint="eastAsia" w:ascii="宋体" w:hAnsi="宋体" w:eastAsia="宋体" w:cstheme="minorBidi"/>
                <w:sz w:val="24"/>
                <w:szCs w:val="24"/>
                <w:lang w:val="en-US" w:eastAsia="zh-CN" w:bidi="ar-SA"/>
              </w:rPr>
            </w:pPr>
            <w:r>
              <w:rPr>
                <w:rFonts w:hint="eastAsia" w:ascii="宋体" w:hAnsi="宋体" w:eastAsia="宋体"/>
                <w:b/>
                <w:bCs/>
                <w:sz w:val="24"/>
                <w:szCs w:val="24"/>
                <w:lang w:eastAsia="zh-CN"/>
              </w:rPr>
              <w:t>电</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话：</w:t>
            </w:r>
            <w:r>
              <w:rPr>
                <w:rFonts w:hint="eastAsia" w:cs="Times New Roman"/>
                <w:color w:val="auto"/>
                <w:sz w:val="24"/>
                <w:szCs w:val="24"/>
                <w:lang w:val="en-US" w:eastAsia="zh-CN"/>
              </w:rPr>
              <w:t>15213504115</w:t>
            </w:r>
          </w:p>
        </w:tc>
      </w:tr>
      <w:tr>
        <w:tblPrEx>
          <w:tblCellMar>
            <w:top w:w="0" w:type="dxa"/>
            <w:left w:w="108" w:type="dxa"/>
            <w:bottom w:w="0" w:type="dxa"/>
            <w:right w:w="108" w:type="dxa"/>
          </w:tblCellMar>
        </w:tblPrEx>
        <w:trPr>
          <w:trHeight w:val="680" w:hRule="atLeast"/>
        </w:trPr>
        <w:tc>
          <w:tcPr>
            <w:tcW w:w="2500" w:type="pct"/>
            <w:noWrap w:val="0"/>
            <w:vAlign w:val="center"/>
          </w:tcPr>
          <w:p>
            <w:pPr>
              <w:spacing w:line="500" w:lineRule="exact"/>
              <w:rPr>
                <w:rFonts w:ascii="宋体" w:hAnsi="宋体" w:eastAsia="宋体"/>
                <w:sz w:val="24"/>
                <w:szCs w:val="24"/>
              </w:rPr>
            </w:pPr>
            <w:r>
              <w:rPr>
                <w:rFonts w:hint="eastAsia" w:ascii="宋体" w:hAnsi="宋体" w:eastAsia="宋体"/>
                <w:b/>
                <w:bCs/>
                <w:sz w:val="24"/>
                <w:szCs w:val="24"/>
                <w:lang w:eastAsia="zh-CN"/>
              </w:rPr>
              <w:t>邮</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编：</w:t>
            </w:r>
            <w:r>
              <w:rPr>
                <w:rFonts w:hint="default"/>
                <w:bCs/>
              </w:rPr>
              <w:t>40</w:t>
            </w:r>
            <w:r>
              <w:rPr>
                <w:rFonts w:hint="eastAsia"/>
                <w:bCs/>
                <w:lang w:val="en-US" w:eastAsia="zh-CN"/>
              </w:rPr>
              <w:t>40</w:t>
            </w:r>
            <w:r>
              <w:rPr>
                <w:rFonts w:hint="default"/>
                <w:bCs/>
              </w:rPr>
              <w:t>00</w:t>
            </w:r>
          </w:p>
        </w:tc>
        <w:tc>
          <w:tcPr>
            <w:tcW w:w="2500" w:type="pct"/>
            <w:noWrap w:val="0"/>
            <w:vAlign w:val="center"/>
          </w:tcPr>
          <w:p>
            <w:pPr>
              <w:spacing w:line="500" w:lineRule="exact"/>
              <w:rPr>
                <w:rFonts w:hint="eastAsia" w:ascii="宋体" w:hAnsi="宋体" w:eastAsia="宋体" w:cstheme="minorBidi"/>
                <w:sz w:val="24"/>
                <w:szCs w:val="24"/>
                <w:lang w:val="en-US" w:eastAsia="zh-CN" w:bidi="ar-SA"/>
              </w:rPr>
            </w:pPr>
            <w:r>
              <w:rPr>
                <w:rFonts w:hint="eastAsia" w:ascii="宋体" w:hAnsi="宋体" w:eastAsia="宋体"/>
                <w:b/>
                <w:bCs/>
                <w:sz w:val="24"/>
                <w:szCs w:val="24"/>
                <w:lang w:eastAsia="zh-CN"/>
              </w:rPr>
              <w:t>邮</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编：</w:t>
            </w:r>
            <w:r>
              <w:rPr>
                <w:rFonts w:hint="default"/>
                <w:bCs/>
              </w:rPr>
              <w:t>40</w:t>
            </w:r>
            <w:r>
              <w:rPr>
                <w:rFonts w:hint="eastAsia"/>
                <w:bCs/>
                <w:lang w:val="en-US" w:eastAsia="zh-CN"/>
              </w:rPr>
              <w:t>40</w:t>
            </w:r>
            <w:r>
              <w:rPr>
                <w:rFonts w:hint="default"/>
                <w:bCs/>
              </w:rPr>
              <w:t>00</w:t>
            </w:r>
          </w:p>
        </w:tc>
      </w:tr>
      <w:tr>
        <w:tblPrEx>
          <w:tblCellMar>
            <w:top w:w="0" w:type="dxa"/>
            <w:left w:w="108" w:type="dxa"/>
            <w:bottom w:w="0" w:type="dxa"/>
            <w:right w:w="108" w:type="dxa"/>
          </w:tblCellMar>
        </w:tblPrEx>
        <w:trPr>
          <w:trHeight w:val="680" w:hRule="atLeast"/>
        </w:trPr>
        <w:tc>
          <w:tcPr>
            <w:tcW w:w="2500" w:type="pct"/>
            <w:noWrap w:val="0"/>
            <w:vAlign w:val="top"/>
          </w:tcPr>
          <w:p>
            <w:pPr>
              <w:spacing w:line="500" w:lineRule="exact"/>
              <w:ind w:left="1101" w:hanging="1106" w:hangingChars="459"/>
              <w:rPr>
                <w:rFonts w:hint="eastAsia" w:ascii="宋体" w:hAnsi="宋体" w:eastAsia="宋体"/>
                <w:sz w:val="24"/>
                <w:szCs w:val="24"/>
                <w:lang w:val="en-US" w:eastAsia="zh-CN"/>
              </w:rPr>
            </w:pPr>
            <w:r>
              <w:rPr>
                <w:rFonts w:hint="eastAsia" w:ascii="宋体" w:hAnsi="宋体" w:eastAsia="宋体"/>
                <w:b/>
                <w:bCs/>
                <w:sz w:val="24"/>
                <w:szCs w:val="24"/>
                <w:lang w:eastAsia="zh-CN"/>
              </w:rPr>
              <w:t>地</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址：</w:t>
            </w:r>
            <w:r>
              <w:rPr>
                <w:rFonts w:hint="eastAsia" w:cs="Times New Roman"/>
                <w:color w:val="auto"/>
                <w:sz w:val="24"/>
                <w:szCs w:val="24"/>
                <w:lang w:eastAsia="zh-CN"/>
              </w:rPr>
              <w:t>重庆市万州经济技术开发区九龙园（盐气化工园区）</w:t>
            </w:r>
          </w:p>
        </w:tc>
        <w:tc>
          <w:tcPr>
            <w:tcW w:w="2500" w:type="pct"/>
            <w:noWrap w:val="0"/>
            <w:vAlign w:val="top"/>
          </w:tcPr>
          <w:p>
            <w:pPr>
              <w:spacing w:line="500" w:lineRule="exact"/>
              <w:ind w:left="1106" w:leftChars="0" w:hanging="1106" w:hangingChars="459"/>
              <w:rPr>
                <w:rFonts w:hint="eastAsia" w:ascii="宋体" w:hAnsi="宋体" w:eastAsia="宋体" w:cstheme="minorBidi"/>
                <w:sz w:val="24"/>
                <w:szCs w:val="24"/>
                <w:lang w:val="en-US" w:eastAsia="zh-CN" w:bidi="ar-SA"/>
              </w:rPr>
            </w:pPr>
            <w:r>
              <w:rPr>
                <w:rFonts w:hint="eastAsia" w:ascii="宋体" w:hAnsi="宋体" w:eastAsia="宋体"/>
                <w:b/>
                <w:bCs/>
                <w:sz w:val="24"/>
                <w:szCs w:val="24"/>
                <w:lang w:eastAsia="zh-CN"/>
              </w:rPr>
              <w:t>地</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址：</w:t>
            </w:r>
            <w:r>
              <w:rPr>
                <w:rFonts w:hint="default" w:ascii="Times New Roman" w:hAnsi="Times New Roman" w:cs="Times New Roman"/>
                <w:color w:val="auto"/>
                <w:sz w:val="24"/>
                <w:szCs w:val="24"/>
              </w:rPr>
              <w:t>重庆市万州区沙龙路三段256号1单元202</w:t>
            </w:r>
          </w:p>
        </w:tc>
      </w:tr>
    </w:tbl>
    <w:p>
      <w:pPr>
        <w:ind w:firstLine="520" w:firstLineChars="200"/>
        <w:jc w:val="both"/>
        <w:rPr>
          <w:rFonts w:cs="Times New Roman" w:eastAsiaTheme="minorEastAsia"/>
          <w:color w:val="000000" w:themeColor="text1"/>
          <w:sz w:val="26"/>
          <w:szCs w:val="26"/>
          <w14:textFill>
            <w14:solidFill>
              <w14:schemeClr w14:val="tx1"/>
            </w14:solidFill>
          </w14:textFill>
        </w:rPr>
      </w:pPr>
    </w:p>
    <w:p>
      <w:pPr>
        <w:rPr>
          <w:rFonts w:cs="Times New Roman" w:eastAsiaTheme="minorEastAsia"/>
          <w:b/>
          <w:color w:val="000000" w:themeColor="text1"/>
          <w:sz w:val="21"/>
          <w:szCs w:val="21"/>
          <w14:textFill>
            <w14:solidFill>
              <w14:schemeClr w14:val="tx1"/>
            </w14:solidFill>
          </w14:textFill>
        </w:rPr>
        <w:sectPr>
          <w:footerReference r:id="rId5" w:type="default"/>
          <w:footerReference r:id="rId6" w:type="even"/>
          <w:pgSz w:w="11907" w:h="16840"/>
          <w:pgMar w:top="1701" w:right="1587" w:bottom="1587" w:left="1587" w:header="284" w:footer="851" w:gutter="0"/>
          <w:pgBorders>
            <w:top w:val="none" w:sz="0" w:space="0"/>
            <w:left w:val="none" w:sz="0" w:space="0"/>
            <w:bottom w:val="none" w:sz="0" w:space="0"/>
            <w:right w:val="none" w:sz="0" w:space="0"/>
          </w:pgBorders>
          <w:pgNumType w:start="2"/>
          <w:cols w:space="720" w:num="1"/>
          <w:docGrid w:linePitch="299" w:charSpace="0"/>
        </w:sectPr>
      </w:pPr>
    </w:p>
    <w:p>
      <w:pPr>
        <w:pStyle w:val="2"/>
        <w:keepNext w:val="0"/>
        <w:keepLines w:val="0"/>
        <w:widowControl w:val="0"/>
        <w:tabs>
          <w:tab w:val="left" w:pos="1120"/>
          <w:tab w:val="clear" w:pos="371"/>
          <w:tab w:val="clear" w:pos="432"/>
        </w:tabs>
        <w:autoSpaceDE w:val="0"/>
        <w:autoSpaceDN w:val="0"/>
        <w:adjustRightInd/>
        <w:snapToGrid/>
        <w:spacing w:before="59" w:after="0" w:line="240" w:lineRule="auto"/>
        <w:ind w:left="275" w:right="0" w:firstLine="0"/>
        <w:jc w:val="left"/>
        <w:outlineLvl w:val="1"/>
        <w:rPr>
          <w:rFonts w:ascii="宋体" w:hAnsi="宋体" w:eastAsia="宋体" w:cs="宋体"/>
          <w:bCs/>
          <w:spacing w:val="5"/>
          <w:kern w:val="0"/>
          <w:sz w:val="28"/>
          <w:szCs w:val="28"/>
          <w:lang w:val="zh-CN" w:bidi="zh-CN"/>
        </w:rPr>
      </w:pPr>
      <w:bookmarkStart w:id="0" w:name="_Toc367196741"/>
      <w:r>
        <w:rPr>
          <w:rFonts w:ascii="宋体" w:hAnsi="宋体" w:eastAsia="宋体" w:cs="宋体"/>
          <w:bCs/>
          <w:spacing w:val="5"/>
          <w:kern w:val="0"/>
          <w:sz w:val="28"/>
          <w:szCs w:val="28"/>
          <w:lang w:val="zh-CN" w:bidi="zh-CN"/>
        </w:rPr>
        <w:t>表一</w:t>
      </w:r>
      <w:r>
        <w:rPr>
          <w:rFonts w:ascii="宋体" w:hAnsi="宋体" w:eastAsia="宋体" w:cs="宋体"/>
          <w:bCs/>
          <w:spacing w:val="5"/>
          <w:kern w:val="0"/>
          <w:sz w:val="28"/>
          <w:szCs w:val="28"/>
          <w:lang w:val="zh-CN" w:bidi="zh-CN"/>
        </w:rPr>
        <w:tab/>
      </w:r>
      <w:r>
        <w:rPr>
          <w:rFonts w:ascii="宋体" w:hAnsi="宋体" w:eastAsia="宋体" w:cs="宋体"/>
          <w:bCs/>
          <w:spacing w:val="5"/>
          <w:kern w:val="0"/>
          <w:sz w:val="28"/>
          <w:szCs w:val="28"/>
          <w:lang w:val="zh-CN" w:bidi="zh-CN"/>
        </w:rPr>
        <w:t>项目基本情况</w:t>
      </w:r>
    </w:p>
    <w:tbl>
      <w:tblPr>
        <w:tblStyle w:val="24"/>
        <w:tblW w:w="896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708"/>
        <w:gridCol w:w="1500"/>
        <w:gridCol w:w="326"/>
        <w:gridCol w:w="724"/>
        <w:gridCol w:w="736"/>
        <w:gridCol w:w="1394"/>
        <w:gridCol w:w="705"/>
        <w:gridCol w:w="444"/>
        <w:gridCol w:w="14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建设项目名称</w:t>
            </w:r>
          </w:p>
        </w:tc>
        <w:tc>
          <w:tcPr>
            <w:tcW w:w="7258" w:type="dxa"/>
            <w:gridSpan w:val="8"/>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eastAsia="zh-CN"/>
              </w:rPr>
              <w:t>年产30万片汽车挡风玻璃项目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hint="eastAsia" w:ascii="Times New Roman" w:hAnsi="Times New Roman" w:eastAsiaTheme="minorEastAsia"/>
                <w:kern w:val="2"/>
                <w:sz w:val="24"/>
                <w:szCs w:val="24"/>
                <w:lang w:eastAsia="zh-CN"/>
              </w:rPr>
              <w:t>建设</w:t>
            </w:r>
            <w:r>
              <w:rPr>
                <w:rFonts w:ascii="Times New Roman" w:hAnsi="Times New Roman" w:eastAsiaTheme="minorEastAsia"/>
                <w:kern w:val="2"/>
                <w:sz w:val="24"/>
                <w:szCs w:val="24"/>
              </w:rPr>
              <w:t>单位名称</w:t>
            </w:r>
          </w:p>
        </w:tc>
        <w:tc>
          <w:tcPr>
            <w:tcW w:w="7258" w:type="dxa"/>
            <w:gridSpan w:val="8"/>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eastAsia="zh-CN"/>
              </w:rPr>
              <w:t>重庆美豪汽车玻璃有限公司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建设地点</w:t>
            </w:r>
          </w:p>
        </w:tc>
        <w:tc>
          <w:tcPr>
            <w:tcW w:w="4680" w:type="dxa"/>
            <w:gridSpan w:val="5"/>
            <w:vAlign w:val="center"/>
          </w:tcPr>
          <w:p>
            <w:pPr>
              <w:pStyle w:val="41"/>
              <w:rPr>
                <w:rFonts w:ascii="Times New Roman" w:hAnsi="Times New Roman" w:eastAsiaTheme="minorEastAsia"/>
                <w:kern w:val="2"/>
                <w:sz w:val="24"/>
                <w:szCs w:val="24"/>
              </w:rPr>
            </w:pPr>
            <w:r>
              <w:rPr>
                <w:rFonts w:hint="eastAsia" w:ascii="Times New Roman" w:hAnsi="Times New Roman" w:eastAsiaTheme="minorEastAsia"/>
                <w:kern w:val="2"/>
                <w:sz w:val="24"/>
                <w:szCs w:val="24"/>
                <w:lang w:eastAsia="zh-CN"/>
              </w:rPr>
              <w:t>重庆市万州经济技术开发区九龙园（盐气化工园区）</w:t>
            </w:r>
          </w:p>
        </w:tc>
        <w:tc>
          <w:tcPr>
            <w:tcW w:w="705"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邮编</w:t>
            </w:r>
          </w:p>
        </w:tc>
        <w:tc>
          <w:tcPr>
            <w:tcW w:w="1873" w:type="dxa"/>
            <w:gridSpan w:val="2"/>
            <w:vAlign w:val="center"/>
          </w:tcPr>
          <w:p>
            <w:pPr>
              <w:pStyle w:val="41"/>
              <w:rPr>
                <w:rFonts w:hint="default"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val="en-US" w:eastAsia="zh-CN"/>
              </w:rPr>
              <w:t>404000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联系人</w:t>
            </w:r>
          </w:p>
        </w:tc>
        <w:tc>
          <w:tcPr>
            <w:tcW w:w="2550" w:type="dxa"/>
            <w:gridSpan w:val="3"/>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eastAsia="zh-CN"/>
              </w:rPr>
              <w:t>陈天友</w:t>
            </w:r>
          </w:p>
        </w:tc>
        <w:tc>
          <w:tcPr>
            <w:tcW w:w="2130" w:type="dxa"/>
            <w:gridSpan w:val="2"/>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联系电话</w:t>
            </w:r>
          </w:p>
        </w:tc>
        <w:tc>
          <w:tcPr>
            <w:tcW w:w="2578" w:type="dxa"/>
            <w:gridSpan w:val="3"/>
            <w:vAlign w:val="center"/>
          </w:tcPr>
          <w:p>
            <w:pPr>
              <w:pStyle w:val="41"/>
              <w:rPr>
                <w:rFonts w:hint="eastAsia"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val="en-US" w:eastAsia="zh-CN"/>
              </w:rPr>
              <w:t>手机：13896261866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建设项目性质</w:t>
            </w:r>
          </w:p>
        </w:tc>
        <w:tc>
          <w:tcPr>
            <w:tcW w:w="7258" w:type="dxa"/>
            <w:gridSpan w:val="8"/>
            <w:vAlign w:val="center"/>
          </w:tcPr>
          <w:p>
            <w:pPr>
              <w:pStyle w:val="41"/>
              <w:rPr>
                <w:rFonts w:hint="eastAsia"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val="en-US" w:eastAsia="zh-CN"/>
              </w:rPr>
              <w:t>新建√     改扩建       技术改造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环评报告审批部门</w:t>
            </w:r>
          </w:p>
        </w:tc>
        <w:tc>
          <w:tcPr>
            <w:tcW w:w="1826" w:type="dxa"/>
            <w:gridSpan w:val="2"/>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eastAsia="zh-CN"/>
              </w:rPr>
              <w:t>重庆市万州区生态环境局</w:t>
            </w:r>
          </w:p>
        </w:tc>
        <w:tc>
          <w:tcPr>
            <w:tcW w:w="724" w:type="dxa"/>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eastAsia="zh-CN"/>
              </w:rPr>
              <w:t>文号</w:t>
            </w:r>
          </w:p>
        </w:tc>
        <w:tc>
          <w:tcPr>
            <w:tcW w:w="2130" w:type="dxa"/>
            <w:gridSpan w:val="2"/>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val="en-US" w:eastAsia="zh-CN"/>
              </w:rPr>
              <w:t>渝（万）环准[2015] 276号</w:t>
            </w:r>
          </w:p>
        </w:tc>
        <w:tc>
          <w:tcPr>
            <w:tcW w:w="705" w:type="dxa"/>
            <w:vAlign w:val="center"/>
          </w:tcPr>
          <w:p>
            <w:pPr>
              <w:pStyle w:val="41"/>
              <w:rPr>
                <w:rFonts w:hint="eastAsia"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val="en-US" w:eastAsia="zh-CN"/>
              </w:rPr>
              <w:t>时间</w:t>
            </w:r>
          </w:p>
        </w:tc>
        <w:tc>
          <w:tcPr>
            <w:tcW w:w="1873" w:type="dxa"/>
            <w:gridSpan w:val="2"/>
            <w:vAlign w:val="center"/>
          </w:tcPr>
          <w:p>
            <w:pPr>
              <w:pStyle w:val="41"/>
              <w:rPr>
                <w:rFonts w:hint="eastAsia"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val="en-US" w:eastAsia="zh-CN"/>
              </w:rPr>
              <w:t>2015年8月31日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hint="eastAsia" w:ascii="Times New Roman" w:hAnsi="Times New Roman" w:eastAsiaTheme="minorEastAsia"/>
                <w:kern w:val="2"/>
                <w:sz w:val="24"/>
                <w:szCs w:val="24"/>
                <w:lang w:eastAsia="zh-CN"/>
              </w:rPr>
            </w:pPr>
            <w:r>
              <w:rPr>
                <w:rFonts w:ascii="Times New Roman" w:hAnsi="Times New Roman" w:eastAsiaTheme="minorEastAsia"/>
                <w:kern w:val="2"/>
                <w:sz w:val="24"/>
                <w:szCs w:val="24"/>
              </w:rPr>
              <w:t>环评报告</w:t>
            </w:r>
            <w:r>
              <w:rPr>
                <w:rFonts w:hint="eastAsia" w:ascii="Times New Roman" w:hAnsi="Times New Roman" w:eastAsiaTheme="minorEastAsia"/>
                <w:kern w:val="2"/>
                <w:sz w:val="24"/>
                <w:szCs w:val="24"/>
                <w:lang w:eastAsia="zh-CN"/>
              </w:rPr>
              <w:t>表</w:t>
            </w:r>
          </w:p>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编制单位</w:t>
            </w:r>
          </w:p>
        </w:tc>
        <w:tc>
          <w:tcPr>
            <w:tcW w:w="2550" w:type="dxa"/>
            <w:gridSpan w:val="3"/>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eastAsia="zh-CN"/>
              </w:rPr>
              <w:t>重庆大学</w:t>
            </w:r>
          </w:p>
        </w:tc>
        <w:tc>
          <w:tcPr>
            <w:tcW w:w="2130" w:type="dxa"/>
            <w:gridSpan w:val="2"/>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环境监理单位</w:t>
            </w:r>
          </w:p>
        </w:tc>
        <w:tc>
          <w:tcPr>
            <w:tcW w:w="2578" w:type="dxa"/>
            <w:gridSpan w:val="3"/>
            <w:vAlign w:val="center"/>
          </w:tcPr>
          <w:p>
            <w:pPr>
              <w:pStyle w:val="41"/>
              <w:rPr>
                <w:rFonts w:ascii="Times New Roman" w:hAnsi="Times New Roman" w:eastAsiaTheme="minorEastAsia"/>
                <w:kern w:val="2"/>
                <w:sz w:val="24"/>
                <w:szCs w:val="24"/>
              </w:rPr>
            </w:pPr>
            <w:r>
              <w:rPr>
                <w:rFonts w:hint="eastAsia" w:ascii="Times New Roman" w:hAnsi="Times New Roman" w:eastAsiaTheme="minorEastAsia"/>
                <w:kern w:val="2"/>
                <w:sz w:val="24"/>
                <w:szCs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开工建设时间</w:t>
            </w:r>
          </w:p>
        </w:tc>
        <w:tc>
          <w:tcPr>
            <w:tcW w:w="2550" w:type="dxa"/>
            <w:gridSpan w:val="3"/>
            <w:vAlign w:val="center"/>
          </w:tcPr>
          <w:p>
            <w:pPr>
              <w:pStyle w:val="41"/>
              <w:rPr>
                <w:rFonts w:ascii="Times New Roman" w:hAnsi="Times New Roman" w:eastAsiaTheme="minorEastAsia"/>
                <w:kern w:val="2"/>
                <w:sz w:val="24"/>
                <w:szCs w:val="24"/>
              </w:rPr>
            </w:pPr>
            <w:r>
              <w:rPr>
                <w:rFonts w:hint="eastAsia" w:ascii="Times New Roman" w:hAnsi="Times New Roman" w:eastAsiaTheme="minorEastAsia"/>
                <w:kern w:val="2"/>
                <w:sz w:val="24"/>
                <w:szCs w:val="24"/>
              </w:rPr>
              <w:t>20</w:t>
            </w:r>
            <w:r>
              <w:rPr>
                <w:rFonts w:hint="eastAsia" w:ascii="Times New Roman" w:hAnsi="Times New Roman" w:eastAsiaTheme="minorEastAsia"/>
                <w:kern w:val="2"/>
                <w:sz w:val="24"/>
                <w:szCs w:val="24"/>
                <w:lang w:val="en-US" w:eastAsia="zh-CN"/>
              </w:rPr>
              <w:t>19</w:t>
            </w:r>
            <w:r>
              <w:rPr>
                <w:rFonts w:hint="eastAsia" w:ascii="Times New Roman" w:hAnsi="Times New Roman" w:eastAsiaTheme="minorEastAsia"/>
                <w:kern w:val="2"/>
                <w:sz w:val="24"/>
                <w:szCs w:val="24"/>
              </w:rPr>
              <w:t>年</w:t>
            </w:r>
            <w:r>
              <w:rPr>
                <w:rFonts w:hint="eastAsia" w:ascii="Times New Roman" w:hAnsi="Times New Roman" w:eastAsiaTheme="minorEastAsia"/>
                <w:kern w:val="2"/>
                <w:sz w:val="24"/>
                <w:szCs w:val="24"/>
                <w:lang w:val="en-US" w:eastAsia="zh-CN"/>
              </w:rPr>
              <w:t>10</w:t>
            </w:r>
            <w:r>
              <w:rPr>
                <w:rFonts w:hint="eastAsia" w:ascii="Times New Roman" w:hAnsi="Times New Roman" w:eastAsiaTheme="minorEastAsia"/>
                <w:kern w:val="2"/>
                <w:sz w:val="24"/>
                <w:szCs w:val="24"/>
              </w:rPr>
              <w:t>月</w:t>
            </w:r>
          </w:p>
        </w:tc>
        <w:tc>
          <w:tcPr>
            <w:tcW w:w="2130" w:type="dxa"/>
            <w:gridSpan w:val="2"/>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投入试生产时间</w:t>
            </w:r>
          </w:p>
        </w:tc>
        <w:tc>
          <w:tcPr>
            <w:tcW w:w="2578" w:type="dxa"/>
            <w:gridSpan w:val="3"/>
            <w:vAlign w:val="center"/>
          </w:tcPr>
          <w:p>
            <w:pPr>
              <w:pStyle w:val="41"/>
              <w:rPr>
                <w:rFonts w:ascii="Times New Roman" w:hAnsi="Times New Roman" w:eastAsiaTheme="minorEastAsia"/>
                <w:kern w:val="2"/>
                <w:sz w:val="24"/>
                <w:szCs w:val="24"/>
              </w:rPr>
            </w:pPr>
            <w:r>
              <w:rPr>
                <w:rFonts w:hint="eastAsia" w:ascii="Times New Roman" w:hAnsi="Times New Roman" w:eastAsiaTheme="minorEastAsia"/>
                <w:color w:val="auto"/>
                <w:kern w:val="2"/>
                <w:sz w:val="24"/>
                <w:szCs w:val="24"/>
              </w:rPr>
              <w:t>20</w:t>
            </w:r>
            <w:r>
              <w:rPr>
                <w:rFonts w:hint="eastAsia" w:ascii="Times New Roman" w:hAnsi="Times New Roman" w:eastAsiaTheme="minorEastAsia"/>
                <w:color w:val="auto"/>
                <w:kern w:val="2"/>
                <w:sz w:val="24"/>
                <w:szCs w:val="24"/>
                <w:lang w:val="en-US" w:eastAsia="zh-CN"/>
              </w:rPr>
              <w:t>24</w:t>
            </w:r>
            <w:r>
              <w:rPr>
                <w:rFonts w:hint="eastAsia" w:ascii="Times New Roman" w:hAnsi="Times New Roman" w:eastAsiaTheme="minorEastAsia"/>
                <w:color w:val="auto"/>
                <w:kern w:val="2"/>
                <w:sz w:val="24"/>
                <w:szCs w:val="24"/>
              </w:rPr>
              <w:t>年</w:t>
            </w:r>
            <w:r>
              <w:rPr>
                <w:rFonts w:hint="eastAsia" w:ascii="Times New Roman" w:hAnsi="Times New Roman" w:eastAsiaTheme="minorEastAsia"/>
                <w:color w:val="auto"/>
                <w:kern w:val="2"/>
                <w:sz w:val="24"/>
                <w:szCs w:val="24"/>
                <w:lang w:val="en-US" w:eastAsia="zh-CN"/>
              </w:rPr>
              <w:t>3</w:t>
            </w:r>
            <w:r>
              <w:rPr>
                <w:rFonts w:hint="eastAsia" w:ascii="Times New Roman" w:hAnsi="Times New Roman" w:eastAsiaTheme="minorEastAsia"/>
                <w:color w:val="auto"/>
                <w:kern w:val="2"/>
                <w:sz w:val="24"/>
                <w:szCs w:val="24"/>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环保设施设计单位</w:t>
            </w:r>
          </w:p>
        </w:tc>
        <w:tc>
          <w:tcPr>
            <w:tcW w:w="2550" w:type="dxa"/>
            <w:gridSpan w:val="3"/>
            <w:vAlign w:val="center"/>
          </w:tcPr>
          <w:p>
            <w:pPr>
              <w:pStyle w:val="41"/>
              <w:rPr>
                <w:rFonts w:hint="eastAsia"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eastAsia="zh-CN"/>
              </w:rPr>
              <w:t>重庆美豪汽车玻璃有限公司</w:t>
            </w:r>
          </w:p>
        </w:tc>
        <w:tc>
          <w:tcPr>
            <w:tcW w:w="2130" w:type="dxa"/>
            <w:gridSpan w:val="2"/>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环保设施施工单位</w:t>
            </w:r>
          </w:p>
        </w:tc>
        <w:tc>
          <w:tcPr>
            <w:tcW w:w="2578" w:type="dxa"/>
            <w:gridSpan w:val="3"/>
            <w:vAlign w:val="center"/>
          </w:tcPr>
          <w:p>
            <w:pPr>
              <w:pStyle w:val="41"/>
              <w:rPr>
                <w:rFonts w:ascii="Times New Roman" w:hAnsi="Times New Roman" w:eastAsiaTheme="minorEastAsia"/>
                <w:color w:val="FF0000"/>
                <w:kern w:val="2"/>
                <w:sz w:val="24"/>
                <w:szCs w:val="24"/>
              </w:rPr>
            </w:pPr>
            <w:r>
              <w:rPr>
                <w:rFonts w:hint="eastAsia" w:ascii="Times New Roman" w:hAnsi="Times New Roman" w:eastAsiaTheme="minorEastAsia"/>
                <w:kern w:val="2"/>
                <w:sz w:val="24"/>
                <w:szCs w:val="24"/>
                <w:lang w:eastAsia="zh-CN"/>
              </w:rPr>
              <w:t>重庆美豪汽车玻璃有限公司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环评设计生产能力</w:t>
            </w:r>
          </w:p>
        </w:tc>
        <w:tc>
          <w:tcPr>
            <w:tcW w:w="7258" w:type="dxa"/>
            <w:gridSpan w:val="8"/>
            <w:vAlign w:val="center"/>
          </w:tcPr>
          <w:p>
            <w:pPr>
              <w:pStyle w:val="41"/>
              <w:rPr>
                <w:rFonts w:hint="eastAsia" w:ascii="Times New Roman" w:hAnsi="Times New Roman" w:eastAsiaTheme="minorEastAsia"/>
                <w:kern w:val="2"/>
                <w:sz w:val="24"/>
                <w:szCs w:val="24"/>
                <w:lang w:eastAsia="zh-CN"/>
              </w:rPr>
            </w:pPr>
            <w:r>
              <w:rPr>
                <w:rFonts w:hint="eastAsia" w:ascii="Times New Roman" w:hAnsi="Times New Roman" w:eastAsiaTheme="minorEastAsia"/>
                <w:kern w:val="2"/>
                <w:sz w:val="24"/>
                <w:szCs w:val="24"/>
                <w:lang w:eastAsia="zh-CN"/>
              </w:rPr>
              <w:t>年产30万片汽车挡风玻璃项目</w:t>
            </w:r>
            <w:r>
              <w:rPr>
                <w:rFonts w:hint="eastAsia" w:ascii="Times New Roman" w:hAnsi="Times New Roman" w:cs="Times New Roman" w:eastAsiaTheme="minorEastAsia"/>
                <w:kern w:val="2"/>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实际建设生产能力</w:t>
            </w:r>
          </w:p>
        </w:tc>
        <w:tc>
          <w:tcPr>
            <w:tcW w:w="7258" w:type="dxa"/>
            <w:gridSpan w:val="8"/>
            <w:vAlign w:val="center"/>
          </w:tcPr>
          <w:p>
            <w:pPr>
              <w:pStyle w:val="41"/>
              <w:rPr>
                <w:rFonts w:hint="eastAsia" w:ascii="Times New Roman" w:hAnsi="Times New Roman" w:eastAsiaTheme="minorEastAsia"/>
                <w:kern w:val="2"/>
                <w:sz w:val="24"/>
                <w:szCs w:val="24"/>
                <w:lang w:eastAsia="zh-CN"/>
              </w:rPr>
            </w:pPr>
            <w:r>
              <w:rPr>
                <w:spacing w:val="3"/>
                <w:sz w:val="24"/>
                <w:szCs w:val="24"/>
              </w:rPr>
              <w:t>年产</w:t>
            </w:r>
            <w:r>
              <w:rPr>
                <w:rFonts w:hint="eastAsia"/>
                <w:spacing w:val="3"/>
                <w:sz w:val="24"/>
                <w:szCs w:val="24"/>
                <w:lang w:val="en-US" w:eastAsia="zh-CN"/>
              </w:rPr>
              <w:t>1</w:t>
            </w:r>
            <w:r>
              <w:rPr>
                <w:spacing w:val="3"/>
                <w:sz w:val="24"/>
                <w:szCs w:val="24"/>
              </w:rPr>
              <w:t>0万片</w:t>
            </w:r>
            <w:r>
              <w:rPr>
                <w:rFonts w:hint="eastAsia"/>
                <w:spacing w:val="3"/>
                <w:sz w:val="24"/>
                <w:szCs w:val="24"/>
              </w:rPr>
              <w:t>平板钢化玻璃</w:t>
            </w:r>
            <w:r>
              <w:rPr>
                <w:spacing w:val="3"/>
                <w:sz w:val="24"/>
                <w:szCs w:val="24"/>
              </w:rPr>
              <w:t>项目</w:t>
            </w:r>
            <w:r>
              <w:rPr>
                <w:rFonts w:hint="eastAsia" w:ascii="Times New Roman" w:hAnsi="Times New Roman" w:cs="Times New Roman" w:eastAsiaTheme="minorEastAsia"/>
                <w:kern w:val="2"/>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概算总投资</w:t>
            </w:r>
          </w:p>
        </w:tc>
        <w:tc>
          <w:tcPr>
            <w:tcW w:w="1500" w:type="dxa"/>
            <w:vAlign w:val="center"/>
          </w:tcPr>
          <w:p>
            <w:pPr>
              <w:pStyle w:val="41"/>
              <w:rPr>
                <w:rFonts w:hint="eastAsia" w:ascii="Times New Roman" w:hAnsi="Times New Roman" w:eastAsiaTheme="minorEastAsia"/>
                <w:kern w:val="2"/>
                <w:sz w:val="24"/>
                <w:szCs w:val="24"/>
              </w:rPr>
            </w:pPr>
            <w:r>
              <w:rPr>
                <w:rFonts w:hint="eastAsia" w:ascii="Times New Roman" w:hAnsi="Times New Roman" w:eastAsiaTheme="minorEastAsia"/>
                <w:kern w:val="2"/>
                <w:sz w:val="24"/>
                <w:szCs w:val="24"/>
                <w:lang w:val="en-US" w:eastAsia="zh-CN"/>
              </w:rPr>
              <w:t>1000</w:t>
            </w:r>
            <w:r>
              <w:rPr>
                <w:rFonts w:hint="eastAsia" w:ascii="Times New Roman" w:hAnsi="Times New Roman" w:eastAsiaTheme="minorEastAsia"/>
                <w:kern w:val="2"/>
                <w:sz w:val="24"/>
                <w:szCs w:val="24"/>
              </w:rPr>
              <w:t>万元</w:t>
            </w:r>
          </w:p>
        </w:tc>
        <w:tc>
          <w:tcPr>
            <w:tcW w:w="1786" w:type="dxa"/>
            <w:gridSpan w:val="3"/>
            <w:vAlign w:val="center"/>
          </w:tcPr>
          <w:p>
            <w:pPr>
              <w:pStyle w:val="41"/>
              <w:rPr>
                <w:rFonts w:hint="eastAsia" w:ascii="Times New Roman" w:hAnsi="Times New Roman" w:eastAsiaTheme="minorEastAsia"/>
                <w:kern w:val="2"/>
                <w:sz w:val="24"/>
                <w:szCs w:val="24"/>
              </w:rPr>
            </w:pPr>
            <w:r>
              <w:rPr>
                <w:rFonts w:hint="eastAsia" w:ascii="Times New Roman" w:hAnsi="Times New Roman" w:eastAsiaTheme="minorEastAsia"/>
                <w:kern w:val="2"/>
                <w:sz w:val="24"/>
                <w:szCs w:val="24"/>
              </w:rPr>
              <w:t>其中环保投资</w:t>
            </w:r>
          </w:p>
        </w:tc>
        <w:tc>
          <w:tcPr>
            <w:tcW w:w="1394" w:type="dxa"/>
            <w:vAlign w:val="center"/>
          </w:tcPr>
          <w:p>
            <w:pPr>
              <w:pStyle w:val="41"/>
              <w:rPr>
                <w:rFonts w:hint="default"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val="en-US" w:eastAsia="zh-CN"/>
              </w:rPr>
              <w:t>79.5万元</w:t>
            </w:r>
          </w:p>
        </w:tc>
        <w:tc>
          <w:tcPr>
            <w:tcW w:w="1149" w:type="dxa"/>
            <w:gridSpan w:val="2"/>
            <w:vAlign w:val="center"/>
          </w:tcPr>
          <w:p>
            <w:pPr>
              <w:pStyle w:val="41"/>
              <w:rPr>
                <w:rFonts w:hint="eastAsia" w:ascii="Times New Roman" w:hAnsi="Times New Roman" w:eastAsiaTheme="minorEastAsia"/>
                <w:kern w:val="2"/>
                <w:sz w:val="24"/>
                <w:szCs w:val="24"/>
              </w:rPr>
            </w:pPr>
            <w:r>
              <w:rPr>
                <w:rFonts w:hint="eastAsia" w:ascii="Times New Roman" w:hAnsi="Times New Roman" w:eastAsiaTheme="minorEastAsia"/>
                <w:kern w:val="2"/>
                <w:sz w:val="24"/>
                <w:szCs w:val="24"/>
              </w:rPr>
              <w:t>比例</w:t>
            </w:r>
          </w:p>
        </w:tc>
        <w:tc>
          <w:tcPr>
            <w:tcW w:w="1429" w:type="dxa"/>
            <w:vAlign w:val="center"/>
          </w:tcPr>
          <w:p>
            <w:pPr>
              <w:pStyle w:val="41"/>
              <w:rPr>
                <w:rFonts w:ascii="Times New Roman" w:hAnsi="Times New Roman" w:eastAsiaTheme="minorEastAsia"/>
                <w:kern w:val="2"/>
                <w:sz w:val="24"/>
                <w:szCs w:val="24"/>
              </w:rPr>
            </w:pPr>
            <w:r>
              <w:rPr>
                <w:rFonts w:hint="eastAsia" w:ascii="Times New Roman" w:hAnsi="Times New Roman" w:eastAsiaTheme="minorEastAsia"/>
                <w:kern w:val="2"/>
                <w:sz w:val="24"/>
                <w:szCs w:val="24"/>
                <w:lang w:val="en-US" w:eastAsia="zh-CN"/>
              </w:rPr>
              <w:t>7.95</w:t>
            </w:r>
            <w:r>
              <w:rPr>
                <w:rFonts w:hint="eastAsia" w:ascii="Times New Roman" w:hAnsi="Times New Roman" w:eastAsiaTheme="minorEastAsia"/>
                <w:kern w:val="2"/>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r>
              <w:rPr>
                <w:rFonts w:ascii="Times New Roman" w:hAnsi="Times New Roman" w:eastAsiaTheme="minorEastAsia"/>
                <w:kern w:val="2"/>
                <w:sz w:val="24"/>
                <w:szCs w:val="24"/>
              </w:rPr>
              <w:t>实际总投资</w:t>
            </w:r>
          </w:p>
        </w:tc>
        <w:tc>
          <w:tcPr>
            <w:tcW w:w="1500" w:type="dxa"/>
            <w:vAlign w:val="center"/>
          </w:tcPr>
          <w:p>
            <w:pPr>
              <w:pStyle w:val="41"/>
              <w:rPr>
                <w:rFonts w:hint="eastAsia" w:ascii="Times New Roman" w:hAnsi="Times New Roman" w:eastAsiaTheme="minorEastAsia"/>
                <w:kern w:val="2"/>
                <w:sz w:val="24"/>
                <w:szCs w:val="24"/>
              </w:rPr>
            </w:pPr>
            <w:r>
              <w:rPr>
                <w:rFonts w:hint="eastAsia" w:ascii="Times New Roman" w:hAnsi="Times New Roman" w:eastAsiaTheme="minorEastAsia"/>
                <w:kern w:val="2"/>
                <w:sz w:val="24"/>
                <w:szCs w:val="24"/>
                <w:lang w:val="en-US" w:eastAsia="zh-CN"/>
              </w:rPr>
              <w:t>1000</w:t>
            </w:r>
            <w:r>
              <w:rPr>
                <w:rFonts w:hint="eastAsia" w:ascii="Times New Roman" w:hAnsi="Times New Roman" w:eastAsiaTheme="minorEastAsia"/>
                <w:kern w:val="2"/>
                <w:sz w:val="24"/>
                <w:szCs w:val="24"/>
              </w:rPr>
              <w:t>万元</w:t>
            </w:r>
          </w:p>
        </w:tc>
        <w:tc>
          <w:tcPr>
            <w:tcW w:w="1786" w:type="dxa"/>
            <w:gridSpan w:val="3"/>
            <w:vAlign w:val="center"/>
          </w:tcPr>
          <w:p>
            <w:pPr>
              <w:pStyle w:val="41"/>
              <w:rPr>
                <w:rFonts w:hint="eastAsia" w:ascii="Times New Roman" w:hAnsi="Times New Roman" w:eastAsiaTheme="minorEastAsia"/>
                <w:kern w:val="2"/>
                <w:sz w:val="24"/>
                <w:szCs w:val="24"/>
              </w:rPr>
            </w:pPr>
            <w:r>
              <w:rPr>
                <w:rFonts w:hint="eastAsia" w:ascii="Times New Roman" w:hAnsi="Times New Roman" w:eastAsiaTheme="minorEastAsia"/>
                <w:kern w:val="2"/>
                <w:sz w:val="24"/>
                <w:szCs w:val="24"/>
              </w:rPr>
              <w:t>其中环保投资</w:t>
            </w:r>
          </w:p>
        </w:tc>
        <w:tc>
          <w:tcPr>
            <w:tcW w:w="1394" w:type="dxa"/>
            <w:vAlign w:val="center"/>
          </w:tcPr>
          <w:p>
            <w:pPr>
              <w:pStyle w:val="41"/>
              <w:rPr>
                <w:rFonts w:hint="default" w:ascii="Times New Roman" w:hAnsi="Times New Roman" w:eastAsiaTheme="minorEastAsia"/>
                <w:kern w:val="2"/>
                <w:sz w:val="24"/>
                <w:szCs w:val="24"/>
                <w:lang w:val="en-US" w:eastAsia="zh-CN"/>
              </w:rPr>
            </w:pPr>
            <w:r>
              <w:rPr>
                <w:rFonts w:hint="eastAsia" w:ascii="Times New Roman" w:hAnsi="Times New Roman" w:eastAsiaTheme="minorEastAsia"/>
                <w:kern w:val="2"/>
                <w:sz w:val="24"/>
                <w:szCs w:val="24"/>
                <w:lang w:val="en-US" w:eastAsia="zh-CN"/>
              </w:rPr>
              <w:t>85万元</w:t>
            </w:r>
          </w:p>
        </w:tc>
        <w:tc>
          <w:tcPr>
            <w:tcW w:w="1149" w:type="dxa"/>
            <w:gridSpan w:val="2"/>
            <w:vAlign w:val="center"/>
          </w:tcPr>
          <w:p>
            <w:pPr>
              <w:pStyle w:val="41"/>
              <w:rPr>
                <w:rFonts w:hint="eastAsia" w:ascii="Times New Roman" w:hAnsi="Times New Roman" w:eastAsiaTheme="minorEastAsia"/>
                <w:kern w:val="2"/>
                <w:sz w:val="24"/>
                <w:szCs w:val="24"/>
              </w:rPr>
            </w:pPr>
            <w:r>
              <w:rPr>
                <w:rFonts w:hint="eastAsia" w:ascii="Times New Roman" w:hAnsi="Times New Roman" w:eastAsiaTheme="minorEastAsia"/>
                <w:kern w:val="2"/>
                <w:sz w:val="24"/>
                <w:szCs w:val="24"/>
              </w:rPr>
              <w:t>比例</w:t>
            </w:r>
          </w:p>
        </w:tc>
        <w:tc>
          <w:tcPr>
            <w:tcW w:w="1429" w:type="dxa"/>
            <w:vAlign w:val="center"/>
          </w:tcPr>
          <w:p>
            <w:pPr>
              <w:pStyle w:val="41"/>
              <w:rPr>
                <w:rFonts w:ascii="Times New Roman" w:hAnsi="Times New Roman" w:eastAsiaTheme="minorEastAsia"/>
                <w:kern w:val="2"/>
                <w:sz w:val="24"/>
                <w:szCs w:val="24"/>
              </w:rPr>
            </w:pPr>
            <w:r>
              <w:rPr>
                <w:rFonts w:hint="eastAsia" w:ascii="Times New Roman" w:hAnsi="Times New Roman" w:eastAsiaTheme="minorEastAsia"/>
                <w:kern w:val="2"/>
                <w:sz w:val="24"/>
                <w:szCs w:val="24"/>
                <w:lang w:val="en-US" w:eastAsia="zh-CN"/>
              </w:rPr>
              <w:t>8.5</w:t>
            </w:r>
            <w:r>
              <w:rPr>
                <w:rFonts w:hint="eastAsia" w:ascii="Times New Roman" w:hAnsi="Times New Roman" w:eastAsiaTheme="minorEastAsia"/>
                <w:kern w:val="2"/>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4"/>
                <w:szCs w:val="24"/>
              </w:rPr>
            </w:pPr>
            <w:bookmarkStart w:id="1" w:name="_Toc6234419"/>
            <w:bookmarkStart w:id="2" w:name="_Toc2695"/>
            <w:r>
              <w:rPr>
                <w:rFonts w:hint="eastAsia" w:ascii="Times New Roman" w:hAnsi="Times New Roman" w:eastAsiaTheme="minorEastAsia"/>
                <w:kern w:val="2"/>
                <w:sz w:val="24"/>
                <w:szCs w:val="24"/>
              </w:rPr>
              <w:t>验收监测依据</w:t>
            </w:r>
          </w:p>
        </w:tc>
        <w:tc>
          <w:tcPr>
            <w:tcW w:w="7258" w:type="dxa"/>
            <w:gridSpan w:val="8"/>
            <w:vAlign w:val="center"/>
          </w:tcPr>
          <w:p>
            <w:pPr>
              <w:pStyle w:val="65"/>
              <w:widowControl w:val="0"/>
              <w:adjustRightInd/>
              <w:snapToGrid/>
              <w:spacing w:before="79" w:after="0" w:line="240" w:lineRule="auto"/>
              <w:ind w:left="108" w:right="0"/>
              <w:rPr>
                <w:rFonts w:hint="eastAsia" w:ascii="宋体" w:hAnsi="宋体" w:eastAsia="宋体" w:cs="宋体"/>
                <w:b/>
                <w:kern w:val="0"/>
                <w:sz w:val="24"/>
                <w:szCs w:val="24"/>
                <w:lang w:val="zh-CN" w:eastAsia="zh-CN" w:bidi="zh-CN"/>
              </w:rPr>
            </w:pPr>
            <w:r>
              <w:rPr>
                <w:rFonts w:hint="eastAsia" w:ascii="宋体" w:hAnsi="宋体" w:eastAsia="宋体" w:cs="宋体"/>
                <w:b/>
                <w:kern w:val="0"/>
                <w:sz w:val="24"/>
                <w:szCs w:val="24"/>
                <w:lang w:val="zh-CN" w:eastAsia="zh-CN" w:bidi="zh-CN"/>
              </w:rPr>
              <w:t>环境保护有关法规、政策</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（1）《中华人民共和国环境保护法》（2015年修订）；</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（2）《中华人民共和国环境影响评价法》（2018年修订）；</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（3）《中华人民共和国大气污染防治法》（2016年1月1日实施）；</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（4）《中华人民共和国水污染防治法》（2018年1月修订）；</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（5）《中华人民共和国固体废物污染环境防治法》（2020年9月1日实施）；</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（6）《中华人民共和国噪声污染防治法》（2022年）。</w:t>
            </w:r>
          </w:p>
          <w:p>
            <w:pPr>
              <w:pStyle w:val="65"/>
              <w:widowControl w:val="0"/>
              <w:adjustRightInd/>
              <w:snapToGrid/>
              <w:spacing w:before="79" w:after="0" w:line="240" w:lineRule="auto"/>
              <w:ind w:left="108" w:right="0"/>
              <w:rPr>
                <w:rFonts w:hint="eastAsia" w:ascii="宋体" w:hAnsi="宋体" w:eastAsia="宋体" w:cs="宋体"/>
                <w:b/>
                <w:kern w:val="0"/>
                <w:sz w:val="24"/>
                <w:szCs w:val="24"/>
                <w:lang w:val="zh-CN" w:eastAsia="zh-CN" w:bidi="zh-CN"/>
              </w:rPr>
            </w:pPr>
            <w:r>
              <w:rPr>
                <w:rFonts w:hint="eastAsia" w:ascii="宋体" w:hAnsi="宋体" w:eastAsia="宋体" w:cs="宋体"/>
                <w:b/>
                <w:kern w:val="0"/>
                <w:sz w:val="24"/>
                <w:szCs w:val="24"/>
                <w:lang w:val="zh-CN" w:eastAsia="zh-CN" w:bidi="zh-CN"/>
              </w:rPr>
              <w:t>建设项目竣工环境保护验收技术规范</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（1）《建设项目环境保护管理条例》（国务院令第682号）；</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（2）《建设项目竣工环境保护验收暂行办法》（国环规环评〔2017〕4号）；</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（3）《建设项目环境影响评价分类管理名录》（2021年版）；</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（4）《突发环境事件应急预案管理暂行办法》环发[2010]113号；</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（5）《国务院关于印发水污染防治行动计划的通知》（国发[2015]17号）；</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（6） 《建设项目竣工环境保护验收技术指南 污染影响类》（生态环境部公告2018年 第9号）。</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（7）重庆市人民代表大会常务委员会公告[2010]第22号《重庆市环境保护条例》（修正）；</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（8）重庆市人民政府第270号《重庆市环境噪声污染防治办法》。</w:t>
            </w:r>
          </w:p>
          <w:p>
            <w:pPr>
              <w:pStyle w:val="65"/>
              <w:widowControl w:val="0"/>
              <w:adjustRightInd/>
              <w:snapToGrid/>
              <w:spacing w:before="79" w:after="0" w:line="240" w:lineRule="auto"/>
              <w:ind w:left="108" w:right="0"/>
              <w:rPr>
                <w:rFonts w:hint="eastAsia" w:ascii="宋体" w:hAnsi="宋体" w:eastAsia="宋体" w:cs="宋体"/>
                <w:b/>
                <w:kern w:val="0"/>
                <w:sz w:val="24"/>
                <w:szCs w:val="24"/>
                <w:lang w:val="zh-CN" w:eastAsia="zh-CN" w:bidi="zh-CN"/>
              </w:rPr>
            </w:pPr>
            <w:r>
              <w:rPr>
                <w:rFonts w:hint="eastAsia" w:ascii="宋体" w:hAnsi="宋体" w:eastAsia="宋体" w:cs="宋体"/>
                <w:b/>
                <w:kern w:val="0"/>
                <w:sz w:val="24"/>
                <w:szCs w:val="24"/>
                <w:lang w:val="zh-CN" w:eastAsia="zh-CN" w:bidi="zh-CN"/>
              </w:rPr>
              <w:t>建设项目环境影响报告表及审批部门审批决定</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（1）《重庆美豪汽车玻璃有限公司年产30万片汽车挡风玻璃项目环境影响报告表》（重庆大学，2015年8月）；</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（2）《重庆市建设项目环境影响评价文件批准书》（渝（万）环准[2015] 276号，2015年08月31日）；</w:t>
            </w:r>
          </w:p>
          <w:p>
            <w:pPr>
              <w:pStyle w:val="65"/>
              <w:widowControl w:val="0"/>
              <w:adjustRightInd/>
              <w:snapToGrid/>
              <w:spacing w:before="170" w:after="0" w:line="240" w:lineRule="auto"/>
              <w:ind w:left="109" w:right="0"/>
              <w:jc w:val="both"/>
              <w:rPr>
                <w:rFonts w:hint="eastAsia" w:ascii="Times New Roman" w:hAnsi="宋体" w:eastAsia="宋体" w:cs="宋体"/>
                <w:kern w:val="0"/>
                <w:sz w:val="24"/>
                <w:szCs w:val="24"/>
                <w:lang w:val="en-US" w:eastAsia="zh-CN" w:bidi="zh-CN"/>
              </w:rPr>
            </w:pPr>
            <w:r>
              <w:rPr>
                <w:rFonts w:hint="eastAsia" w:ascii="Times New Roman" w:hAnsi="宋体" w:eastAsia="宋体" w:cs="宋体"/>
                <w:kern w:val="0"/>
                <w:sz w:val="24"/>
                <w:szCs w:val="24"/>
                <w:lang w:val="en-US" w:eastAsia="zh-CN" w:bidi="zh-CN"/>
              </w:rPr>
              <w:t>（3）建设单位提供的其他相关资料。</w:t>
            </w:r>
          </w:p>
          <w:p>
            <w:pPr>
              <w:pStyle w:val="41"/>
              <w:rPr>
                <w:rFonts w:hint="eastAsia" w:ascii="Times New Roman" w:hAnsi="Times New Roman" w:eastAsiaTheme="minorEastAsia"/>
                <w:kern w:val="2"/>
                <w:sz w:val="24"/>
                <w:szCs w:val="24"/>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1708" w:type="dxa"/>
            <w:vAlign w:val="center"/>
          </w:tcPr>
          <w:p>
            <w:pPr>
              <w:pStyle w:val="41"/>
              <w:rPr>
                <w:rFonts w:ascii="Times New Roman" w:hAnsi="Times New Roman" w:eastAsiaTheme="minorEastAsia"/>
                <w:kern w:val="2"/>
                <w:sz w:val="21"/>
                <w:szCs w:val="21"/>
              </w:rPr>
            </w:pPr>
            <w:r>
              <w:rPr>
                <w:rFonts w:hint="eastAsia" w:ascii="Times New Roman" w:hAnsi="Times New Roman" w:eastAsiaTheme="minorEastAsia"/>
                <w:kern w:val="2"/>
                <w:sz w:val="21"/>
                <w:szCs w:val="21"/>
              </w:rPr>
              <w:t>验收监测评价标准、标号、级别、限值</w:t>
            </w:r>
          </w:p>
        </w:tc>
        <w:tc>
          <w:tcPr>
            <w:tcW w:w="7258" w:type="dxa"/>
            <w:gridSpan w:val="8"/>
            <w:vAlign w:val="center"/>
          </w:tcPr>
          <w:p>
            <w:pPr>
              <w:pStyle w:val="65"/>
              <w:spacing w:before="170" w:line="360" w:lineRule="auto"/>
              <w:ind w:firstLine="480" w:firstLineChars="200"/>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根据《重庆美豪汽车玻璃有限公司年产30万片汽车挡风玻璃项目环境影响报告表》及渝（万）环准[2015] 276号文件验收标准如下：</w:t>
            </w:r>
          </w:p>
          <w:p>
            <w:pPr>
              <w:pStyle w:val="65"/>
              <w:widowControl w:val="0"/>
              <w:adjustRightInd/>
              <w:snapToGrid/>
              <w:spacing w:before="79" w:after="0" w:line="240" w:lineRule="auto"/>
              <w:ind w:left="108" w:right="0"/>
              <w:rPr>
                <w:rFonts w:hint="eastAsia" w:ascii="宋体" w:hAnsi="宋体" w:eastAsia="宋体" w:cs="宋体"/>
                <w:b/>
                <w:kern w:val="0"/>
                <w:sz w:val="24"/>
                <w:szCs w:val="24"/>
                <w:lang w:val="zh-CN" w:eastAsia="zh-CN" w:bidi="zh-CN"/>
              </w:rPr>
            </w:pPr>
            <w:r>
              <w:rPr>
                <w:rFonts w:hint="eastAsia" w:ascii="宋体" w:hAnsi="宋体" w:eastAsia="宋体" w:cs="宋体"/>
                <w:b/>
                <w:kern w:val="0"/>
                <w:sz w:val="24"/>
                <w:szCs w:val="24"/>
                <w:lang w:val="zh-CN" w:eastAsia="zh-CN" w:bidi="zh-CN"/>
              </w:rPr>
              <w:t>废水</w:t>
            </w:r>
          </w:p>
          <w:p>
            <w:pPr>
              <w:pStyle w:val="65"/>
              <w:spacing w:before="170" w:line="360" w:lineRule="auto"/>
              <w:ind w:firstLine="480" w:firstLineChars="200"/>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项目生生产废水不外排。外排废水为生活污水采用生化预处理达到万州化工园污水处理厂工业废水接管标准后排入化工园区污水管网，送化工园区污水处理厂进行深度处理后排入长江</w:t>
            </w:r>
            <w:r>
              <w:rPr>
                <w:rFonts w:hint="default" w:ascii="Times New Roman" w:hAnsi="宋体" w:eastAsia="宋体" w:cs="宋体"/>
                <w:sz w:val="24"/>
                <w:lang w:val="en-US" w:eastAsia="zh-CN"/>
              </w:rPr>
              <w:t>。具体标准见下表</w:t>
            </w:r>
            <w:r>
              <w:rPr>
                <w:rFonts w:hint="eastAsia" w:ascii="Times New Roman" w:hAnsi="宋体" w:eastAsia="宋体" w:cs="宋体"/>
                <w:sz w:val="24"/>
                <w:lang w:val="en-US" w:eastAsia="zh-CN"/>
              </w:rPr>
              <w:t>1.1-1。</w:t>
            </w:r>
          </w:p>
          <w:p>
            <w:pPr>
              <w:keepNext w:val="0"/>
              <w:keepLines w:val="0"/>
              <w:suppressLineNumbers w:val="0"/>
              <w:snapToGrid w:val="0"/>
              <w:spacing w:before="0" w:beforeAutospacing="0" w:after="0" w:afterAutospacing="0" w:line="240" w:lineRule="auto"/>
              <w:ind w:left="0" w:right="0" w:firstLine="310" w:firstLineChars="200"/>
              <w:jc w:val="center"/>
              <w:rPr>
                <w:rFonts w:hint="eastAsia"/>
                <w:lang w:val="en-US" w:eastAsia="zh-CN"/>
              </w:rPr>
            </w:pPr>
            <w:r>
              <w:rPr>
                <w:b/>
                <w:spacing w:val="-28"/>
                <w:sz w:val="21"/>
              </w:rPr>
              <w:t xml:space="preserve">表 </w:t>
            </w:r>
            <w:r>
              <w:rPr>
                <w:rFonts w:ascii="Times New Roman" w:eastAsia="Times New Roman"/>
                <w:b/>
                <w:sz w:val="21"/>
              </w:rPr>
              <w:t>1.</w:t>
            </w:r>
            <w:r>
              <w:rPr>
                <w:rFonts w:hint="eastAsia" w:ascii="Times New Roman" w:eastAsia="宋体"/>
                <w:b/>
                <w:sz w:val="21"/>
                <w:lang w:val="en-US" w:eastAsia="zh-CN"/>
              </w:rPr>
              <w:t>1</w:t>
            </w:r>
            <w:r>
              <w:rPr>
                <w:rFonts w:ascii="Times New Roman" w:eastAsia="Times New Roman"/>
                <w:b/>
                <w:sz w:val="21"/>
              </w:rPr>
              <w:t xml:space="preserve">-1 </w:t>
            </w:r>
            <w:r>
              <w:rPr>
                <w:rFonts w:hint="default"/>
                <w:b/>
                <w:bCs/>
                <w:color w:val="auto"/>
                <w:sz w:val="21"/>
                <w:szCs w:val="21"/>
              </w:rPr>
              <w:t xml:space="preserve">水污染物排放标准限值  </w:t>
            </w:r>
            <w:r>
              <w:rPr>
                <w:rFonts w:hint="eastAsia"/>
                <w:b/>
                <w:bCs/>
                <w:color w:val="auto"/>
                <w:sz w:val="21"/>
                <w:szCs w:val="21"/>
                <w:lang w:val="en-US" w:eastAsia="zh-CN"/>
              </w:rPr>
              <w:t xml:space="preserve">    单位：</w:t>
            </w:r>
            <w:r>
              <w:rPr>
                <w:rFonts w:hint="default"/>
                <w:b/>
                <w:bCs/>
                <w:color w:val="auto"/>
                <w:sz w:val="21"/>
                <w:szCs w:val="21"/>
              </w:rPr>
              <w:t>mg/L</w:t>
            </w:r>
          </w:p>
          <w:tbl>
            <w:tblPr>
              <w:tblStyle w:val="8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27"/>
              <w:gridCol w:w="1174"/>
              <w:gridCol w:w="1164"/>
              <w:gridCol w:w="1138"/>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1"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排放标准及标准号</w:t>
                  </w:r>
                </w:p>
              </w:tc>
              <w:tc>
                <w:tcPr>
                  <w:tcW w:w="83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污染因子</w:t>
                  </w:r>
                </w:p>
              </w:tc>
              <w:tc>
                <w:tcPr>
                  <w:tcW w:w="82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浓度限值</w:t>
                  </w:r>
                </w:p>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(mg/L)</w:t>
                  </w:r>
                </w:p>
              </w:tc>
              <w:tc>
                <w:tcPr>
                  <w:tcW w:w="809"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排放量</w:t>
                  </w:r>
                </w:p>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(t/a)</w:t>
                  </w:r>
                </w:p>
              </w:tc>
              <w:tc>
                <w:tcPr>
                  <w:tcW w:w="108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总量指标</w:t>
                  </w:r>
                </w:p>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1" w:type="pct"/>
                  <w:vMerge w:val="restart"/>
                  <w:tcBorders>
                    <w:bottom w:val="nil"/>
                  </w:tcBorders>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万州化工园污水处理</w:t>
                  </w:r>
                </w:p>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工业废水接管标准</w:t>
                  </w:r>
                </w:p>
              </w:tc>
              <w:tc>
                <w:tcPr>
                  <w:tcW w:w="83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SS</w:t>
                  </w:r>
                </w:p>
              </w:tc>
              <w:tc>
                <w:tcPr>
                  <w:tcW w:w="82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380</w:t>
                  </w:r>
                </w:p>
              </w:tc>
              <w:tc>
                <w:tcPr>
                  <w:tcW w:w="809"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1.050</w:t>
                  </w:r>
                </w:p>
              </w:tc>
              <w:tc>
                <w:tcPr>
                  <w:tcW w:w="108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1" w:type="pct"/>
                  <w:vMerge w:val="continue"/>
                  <w:tcBorders>
                    <w:top w:val="nil"/>
                    <w:bottom w:val="nil"/>
                  </w:tcBorders>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83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COD</w:t>
                  </w:r>
                </w:p>
              </w:tc>
              <w:tc>
                <w:tcPr>
                  <w:tcW w:w="82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480</w:t>
                  </w:r>
                </w:p>
              </w:tc>
              <w:tc>
                <w:tcPr>
                  <w:tcW w:w="809"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1.312</w:t>
                  </w:r>
                </w:p>
              </w:tc>
              <w:tc>
                <w:tcPr>
                  <w:tcW w:w="108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1" w:type="pct"/>
                  <w:vMerge w:val="continue"/>
                  <w:tcBorders>
                    <w:top w:val="nil"/>
                    <w:bottom w:val="nil"/>
                  </w:tcBorders>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83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BOD</w:t>
                  </w:r>
                  <w:r>
                    <w:rPr>
                      <w:rFonts w:hint="eastAsia" w:ascii="Times New Roman" w:hAnsi="Times New Roman" w:eastAsia="宋体" w:cs="Times New Roman"/>
                      <w:b w:val="0"/>
                      <w:bCs w:val="0"/>
                      <w:color w:val="auto"/>
                      <w:sz w:val="21"/>
                      <w:szCs w:val="21"/>
                      <w:vertAlign w:val="subscript"/>
                      <w:lang w:val="en-US" w:eastAsia="zh-CN"/>
                    </w:rPr>
                    <w:t>5</w:t>
                  </w:r>
                </w:p>
              </w:tc>
              <w:tc>
                <w:tcPr>
                  <w:tcW w:w="82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150</w:t>
                  </w:r>
                </w:p>
              </w:tc>
              <w:tc>
                <w:tcPr>
                  <w:tcW w:w="809"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1.050</w:t>
                  </w:r>
                </w:p>
              </w:tc>
              <w:tc>
                <w:tcPr>
                  <w:tcW w:w="108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1" w:type="pct"/>
                  <w:vMerge w:val="continue"/>
                  <w:tcBorders>
                    <w:top w:val="nil"/>
                    <w:bottom w:val="nil"/>
                  </w:tcBorders>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83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氨氮</w:t>
                  </w:r>
                </w:p>
              </w:tc>
              <w:tc>
                <w:tcPr>
                  <w:tcW w:w="82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809"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0.158</w:t>
                  </w:r>
                </w:p>
              </w:tc>
              <w:tc>
                <w:tcPr>
                  <w:tcW w:w="108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41" w:type="pct"/>
                  <w:vMerge w:val="continue"/>
                  <w:tcBorders>
                    <w:top w:val="nil"/>
                  </w:tcBorders>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p>
              </w:tc>
              <w:tc>
                <w:tcPr>
                  <w:tcW w:w="83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动植物油</w:t>
                  </w:r>
                </w:p>
              </w:tc>
              <w:tc>
                <w:tcPr>
                  <w:tcW w:w="82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w:t>
                  </w:r>
                </w:p>
              </w:tc>
              <w:tc>
                <w:tcPr>
                  <w:tcW w:w="809"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0.026</w:t>
                  </w:r>
                </w:p>
              </w:tc>
              <w:tc>
                <w:tcPr>
                  <w:tcW w:w="1085"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0.016</w:t>
                  </w:r>
                </w:p>
              </w:tc>
            </w:tr>
          </w:tbl>
          <w:p>
            <w:pPr>
              <w:keepNext w:val="0"/>
              <w:keepLines w:val="0"/>
              <w:suppressLineNumbers w:val="0"/>
              <w:snapToGrid w:val="0"/>
              <w:spacing w:before="0" w:beforeAutospacing="0" w:after="0" w:afterAutospacing="0" w:line="240" w:lineRule="auto"/>
              <w:ind w:left="0" w:right="0" w:firstLine="422" w:firstLineChars="200"/>
              <w:jc w:val="center"/>
              <w:rPr>
                <w:rFonts w:hint="default"/>
                <w:b/>
                <w:bCs/>
                <w:color w:val="auto"/>
                <w:sz w:val="21"/>
                <w:szCs w:val="21"/>
              </w:rPr>
            </w:pPr>
          </w:p>
          <w:p>
            <w:pPr>
              <w:pStyle w:val="65"/>
              <w:widowControl w:val="0"/>
              <w:adjustRightInd/>
              <w:snapToGrid/>
              <w:spacing w:before="79" w:after="0" w:line="240" w:lineRule="auto"/>
              <w:ind w:left="108" w:right="0"/>
              <w:rPr>
                <w:rFonts w:hint="eastAsia" w:ascii="宋体" w:hAnsi="宋体" w:eastAsia="宋体" w:cs="宋体"/>
                <w:b/>
                <w:kern w:val="0"/>
                <w:sz w:val="24"/>
                <w:szCs w:val="24"/>
                <w:lang w:val="en-US" w:eastAsia="zh-CN" w:bidi="zh-CN"/>
              </w:rPr>
            </w:pPr>
            <w:r>
              <w:rPr>
                <w:rFonts w:hint="eastAsia" w:ascii="宋体" w:hAnsi="宋体" w:eastAsia="宋体" w:cs="宋体"/>
                <w:b/>
                <w:kern w:val="0"/>
                <w:sz w:val="24"/>
                <w:szCs w:val="24"/>
                <w:lang w:val="en-US" w:eastAsia="zh-CN" w:bidi="zh-CN"/>
              </w:rPr>
              <w:t>噪声</w:t>
            </w:r>
          </w:p>
          <w:p>
            <w:pPr>
              <w:pStyle w:val="65"/>
              <w:spacing w:before="170" w:line="360" w:lineRule="auto"/>
              <w:ind w:firstLine="480" w:firstLineChars="200"/>
              <w:jc w:val="left"/>
              <w:rPr>
                <w:rFonts w:hint="default" w:ascii="Times New Roman" w:hAnsi="宋体" w:eastAsia="宋体" w:cs="宋体"/>
                <w:sz w:val="24"/>
                <w:lang w:val="en-US" w:eastAsia="zh-CN"/>
              </w:rPr>
            </w:pPr>
            <w:r>
              <w:rPr>
                <w:rFonts w:hint="eastAsia" w:ascii="Times New Roman" w:hAnsi="宋体" w:eastAsia="宋体" w:cs="宋体"/>
                <w:sz w:val="24"/>
                <w:lang w:val="en-US" w:eastAsia="zh-CN"/>
              </w:rPr>
              <w:t>项目所在区域为工业园区，划分为3类区域，执行《工业企业厂界环境噪声排放标准》（GB12348-2008）中3类标准。</w:t>
            </w:r>
            <w:r>
              <w:rPr>
                <w:rFonts w:hint="default" w:ascii="Times New Roman" w:hAnsi="宋体" w:eastAsia="宋体" w:cs="宋体"/>
                <w:sz w:val="24"/>
                <w:lang w:val="en-US" w:eastAsia="zh-CN"/>
              </w:rPr>
              <w:t>详见表 1.</w:t>
            </w:r>
            <w:r>
              <w:rPr>
                <w:rFonts w:hint="eastAsia" w:ascii="Times New Roman" w:hAnsi="宋体" w:eastAsia="宋体" w:cs="宋体"/>
                <w:sz w:val="24"/>
                <w:lang w:val="en-US" w:eastAsia="zh-CN"/>
              </w:rPr>
              <w:t>2</w:t>
            </w:r>
            <w:r>
              <w:rPr>
                <w:rFonts w:hint="default" w:ascii="Times New Roman" w:hAnsi="宋体" w:eastAsia="宋体" w:cs="宋体"/>
                <w:sz w:val="24"/>
                <w:lang w:val="en-US" w:eastAsia="zh-CN"/>
              </w:rPr>
              <w:t>-1。</w:t>
            </w:r>
          </w:p>
          <w:p>
            <w:pPr>
              <w:pStyle w:val="65"/>
              <w:spacing w:before="170" w:line="360" w:lineRule="auto"/>
              <w:ind w:left="109"/>
              <w:jc w:val="center"/>
              <w:rPr>
                <w:rFonts w:hint="eastAsia"/>
                <w:lang w:val="en-US" w:eastAsia="zh-CN"/>
              </w:rPr>
            </w:pPr>
            <w:r>
              <w:rPr>
                <w:rFonts w:hint="eastAsia" w:ascii="宋体" w:hAnsi="宋体" w:eastAsia="宋体" w:cs="宋体"/>
                <w:b/>
                <w:spacing w:val="0"/>
                <w:sz w:val="21"/>
                <w:szCs w:val="22"/>
                <w:lang w:val="en-US" w:eastAsia="zh-CN" w:bidi="zh-CN"/>
              </w:rPr>
              <w:t>表 1.2-1 《工业企业厂界环境噪声排放标准》（GB12348-2008）</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108" w:type="dxa"/>
              </w:tblCellMar>
            </w:tblPr>
            <w:tblGrid>
              <w:gridCol w:w="2885"/>
              <w:gridCol w:w="1062"/>
              <w:gridCol w:w="162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2807" w:type="pct"/>
                  <w:gridSpan w:val="2"/>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执行标准</w:t>
                  </w:r>
                </w:p>
              </w:tc>
              <w:tc>
                <w:tcPr>
                  <w:tcW w:w="115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昼间</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dB（A）</w:t>
                  </w:r>
                  <w:r>
                    <w:rPr>
                      <w:rFonts w:hint="eastAsia" w:ascii="Times New Roman" w:hAnsi="Times New Roman" w:eastAsia="宋体" w:cs="Times New Roman"/>
                      <w:b w:val="0"/>
                      <w:bCs w:val="0"/>
                      <w:color w:val="auto"/>
                      <w:sz w:val="21"/>
                      <w:szCs w:val="21"/>
                      <w:lang w:val="en-US" w:eastAsia="zh-CN"/>
                    </w:rPr>
                    <w:t>）</w:t>
                  </w:r>
                </w:p>
              </w:tc>
              <w:tc>
                <w:tcPr>
                  <w:tcW w:w="1034"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2052"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《工业企业厂界环境噪声排放标准》（GB12348-2008）</w:t>
                  </w:r>
                </w:p>
              </w:tc>
              <w:tc>
                <w:tcPr>
                  <w:tcW w:w="754"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3类</w:t>
                  </w:r>
                </w:p>
              </w:tc>
              <w:tc>
                <w:tcPr>
                  <w:tcW w:w="1158"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65</w:t>
                  </w:r>
                </w:p>
              </w:tc>
              <w:tc>
                <w:tcPr>
                  <w:tcW w:w="1034" w:type="pct"/>
                  <w:vAlign w:val="center"/>
                </w:tcPr>
                <w:p>
                  <w:pPr>
                    <w:keepNext w:val="0"/>
                    <w:keepLines w:val="0"/>
                    <w:widowControl/>
                    <w:suppressLineNumbers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55</w:t>
                  </w:r>
                </w:p>
              </w:tc>
            </w:tr>
          </w:tbl>
          <w:p>
            <w:pPr>
              <w:pStyle w:val="65"/>
              <w:widowControl w:val="0"/>
              <w:adjustRightInd/>
              <w:snapToGrid/>
              <w:spacing w:before="79" w:after="0" w:line="240" w:lineRule="auto"/>
              <w:ind w:left="108" w:right="0"/>
              <w:rPr>
                <w:rFonts w:hint="eastAsia" w:ascii="宋体" w:hAnsi="宋体" w:eastAsia="宋体" w:cs="宋体"/>
                <w:b/>
                <w:kern w:val="0"/>
                <w:sz w:val="24"/>
                <w:szCs w:val="24"/>
                <w:lang w:val="en-US" w:eastAsia="zh-CN" w:bidi="zh-CN"/>
              </w:rPr>
            </w:pPr>
          </w:p>
          <w:p>
            <w:pPr>
              <w:pStyle w:val="65"/>
              <w:widowControl w:val="0"/>
              <w:adjustRightInd/>
              <w:snapToGrid/>
              <w:spacing w:before="79" w:after="0" w:line="360" w:lineRule="auto"/>
              <w:ind w:left="108" w:right="0"/>
              <w:rPr>
                <w:rFonts w:hint="eastAsia" w:ascii="宋体" w:hAnsi="宋体" w:eastAsia="宋体" w:cs="宋体"/>
                <w:b/>
                <w:kern w:val="0"/>
                <w:sz w:val="24"/>
                <w:szCs w:val="24"/>
                <w:lang w:val="en-US" w:eastAsia="zh-CN" w:bidi="zh-CN"/>
              </w:rPr>
            </w:pPr>
            <w:r>
              <w:rPr>
                <w:rFonts w:hint="eastAsia" w:ascii="宋体" w:hAnsi="宋体" w:eastAsia="宋体" w:cs="宋体"/>
                <w:b/>
                <w:kern w:val="0"/>
                <w:sz w:val="24"/>
                <w:szCs w:val="24"/>
                <w:lang w:val="en-US" w:eastAsia="zh-CN" w:bidi="zh-CN"/>
              </w:rPr>
              <w:t>固体废物</w:t>
            </w: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r>
              <w:rPr>
                <w:rFonts w:hint="default" w:ascii="Times New Roman" w:hAnsi="宋体" w:eastAsia="宋体" w:cs="宋体"/>
                <w:kern w:val="0"/>
                <w:sz w:val="24"/>
                <w:szCs w:val="24"/>
                <w:lang w:val="en-US" w:eastAsia="zh-CN" w:bidi="ar-SA"/>
              </w:rPr>
              <w:t>根据环评及批复要求，一般工业固体废物执行《一般工业固体废物贮存和填埋污染控制标准》（GB18599-2020），采用库房、包装工具（罐、桶、包装袋等）贮存一般工业固体废物过程的污染控制，其贮存过程应满足相应防渗漏、防雨淋、防扬尘等环境保护要求。危险废物执行《危险废物贮存污染控制标准》（GB18597-2023）和《危险废物收集贮存运输技术规范》（HJ2025-2012）以及《危险废物转移联单管理办法》（国家环境保护总局令第5号）中相关规定。</w:t>
            </w: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default" w:ascii="Times New Roman" w:hAnsi="宋体" w:eastAsia="宋体" w:cs="宋体"/>
                <w:kern w:val="0"/>
                <w:sz w:val="24"/>
                <w:szCs w:val="24"/>
                <w:lang w:val="en-US" w:eastAsia="zh-CN" w:bidi="ar-SA"/>
              </w:rPr>
            </w:pPr>
          </w:p>
          <w:p>
            <w:pPr>
              <w:pStyle w:val="41"/>
              <w:spacing w:line="360" w:lineRule="auto"/>
              <w:jc w:val="left"/>
              <w:rPr>
                <w:rFonts w:hint="default" w:ascii="Times New Roman" w:hAnsi="宋体" w:eastAsia="宋体" w:cs="宋体"/>
                <w:kern w:val="0"/>
                <w:sz w:val="24"/>
                <w:szCs w:val="24"/>
                <w:lang w:val="en-US" w:eastAsia="zh-CN" w:bidi="ar-SA"/>
              </w:rPr>
            </w:pPr>
          </w:p>
          <w:p>
            <w:pPr>
              <w:pStyle w:val="41"/>
              <w:spacing w:line="360" w:lineRule="auto"/>
              <w:ind w:firstLine="480" w:firstLineChars="200"/>
              <w:jc w:val="left"/>
              <w:rPr>
                <w:rFonts w:hint="eastAsia" w:ascii="Times New Roman" w:hAnsi="宋体" w:eastAsia="宋体" w:cs="宋体"/>
                <w:kern w:val="0"/>
                <w:sz w:val="24"/>
                <w:szCs w:val="24"/>
                <w:lang w:val="en-US" w:eastAsia="zh-CN" w:bidi="ar-SA"/>
              </w:rPr>
            </w:pPr>
          </w:p>
        </w:tc>
      </w:tr>
      <w:bookmarkEnd w:id="0"/>
      <w:bookmarkEnd w:id="1"/>
      <w:bookmarkEnd w:id="2"/>
    </w:tbl>
    <w:p>
      <w:pPr>
        <w:widowControl w:val="0"/>
        <w:tabs>
          <w:tab w:val="left" w:pos="300"/>
          <w:tab w:val="left" w:pos="423"/>
          <w:tab w:val="left" w:pos="525"/>
        </w:tabs>
        <w:ind w:firstLine="520"/>
        <w:rPr>
          <w:rFonts w:cs="Times New Roman" w:eastAsiaTheme="minorEastAsia"/>
          <w:color w:val="000000" w:themeColor="text1"/>
          <w:szCs w:val="24"/>
          <w14:textFill>
            <w14:solidFill>
              <w14:schemeClr w14:val="tx1"/>
            </w14:solidFill>
          </w14:textFill>
        </w:rPr>
        <w:sectPr>
          <w:headerReference r:id="rId7" w:type="default"/>
          <w:footerReference r:id="rId8" w:type="default"/>
          <w:pgSz w:w="11906" w:h="16838"/>
          <w:pgMar w:top="1440" w:right="1531" w:bottom="1440" w:left="1531" w:header="851" w:footer="992" w:gutter="0"/>
          <w:pgBorders>
            <w:top w:val="none" w:sz="0" w:space="0"/>
            <w:left w:val="none" w:sz="0" w:space="0"/>
            <w:bottom w:val="none" w:sz="0" w:space="0"/>
            <w:right w:val="none" w:sz="0" w:space="0"/>
          </w:pgBorders>
          <w:cols w:space="720" w:num="1"/>
          <w:docGrid w:linePitch="312" w:charSpace="0"/>
        </w:sectPr>
      </w:pPr>
    </w:p>
    <w:p>
      <w:pPr>
        <w:pStyle w:val="3"/>
        <w:rPr>
          <w:rFonts w:hint="eastAsia"/>
        </w:rPr>
      </w:pPr>
      <w:bookmarkStart w:id="3" w:name="_Toc18387"/>
      <w:bookmarkStart w:id="4" w:name="_Toc497833569"/>
      <w:bookmarkStart w:id="5" w:name="_Toc367196750"/>
      <w:r>
        <w:rPr>
          <w:rFonts w:hint="eastAsia"/>
        </w:rPr>
        <w:t>表二</w:t>
      </w:r>
      <w:r>
        <w:rPr>
          <w:rFonts w:hint="eastAsia"/>
          <w:lang w:val="en-US" w:eastAsia="zh-CN"/>
        </w:rPr>
        <w:t xml:space="preserve"> </w:t>
      </w:r>
      <w:r>
        <w:rPr>
          <w:rFonts w:hint="eastAsia"/>
        </w:rPr>
        <w:tab/>
      </w:r>
      <w:r>
        <w:rPr>
          <w:rFonts w:hint="eastAsia"/>
        </w:rPr>
        <w:t>项目概况</w:t>
      </w:r>
      <w:bookmarkEnd w:id="3"/>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tcPr>
          <w:p>
            <w:pPr>
              <w:pStyle w:val="3"/>
              <w:widowControl w:val="0"/>
              <w:numPr>
                <w:ilvl w:val="1"/>
                <w:numId w:val="3"/>
              </w:numPr>
              <w:tabs>
                <w:tab w:val="left" w:pos="636"/>
                <w:tab w:val="clear" w:pos="541"/>
                <w:tab w:val="clear" w:pos="576"/>
              </w:tabs>
              <w:spacing w:before="223" w:after="0" w:line="240" w:lineRule="auto"/>
              <w:ind w:left="636" w:right="0" w:hanging="361"/>
              <w:jc w:val="left"/>
            </w:pPr>
            <w:r>
              <w:t>项目地理位置及平面布置</w:t>
            </w:r>
          </w:p>
          <w:p>
            <w:pPr>
              <w:pStyle w:val="62"/>
              <w:widowControl w:val="0"/>
              <w:numPr>
                <w:ilvl w:val="2"/>
                <w:numId w:val="3"/>
              </w:numPr>
              <w:tabs>
                <w:tab w:val="left" w:pos="824"/>
              </w:tabs>
              <w:spacing w:before="192" w:after="0" w:line="360" w:lineRule="auto"/>
              <w:ind w:left="823" w:right="0" w:hanging="549"/>
              <w:jc w:val="both"/>
              <w:rPr>
                <w:sz w:val="24"/>
              </w:rPr>
            </w:pPr>
            <w:r>
              <w:rPr>
                <w:sz w:val="24"/>
              </w:rPr>
              <w:t>地理位置</w:t>
            </w:r>
          </w:p>
          <w:p>
            <w:pPr>
              <w:widowControl w:val="0"/>
              <w:ind w:firstLine="480"/>
              <w:jc w:val="both"/>
              <w:rPr>
                <w:color w:val="000000"/>
              </w:rPr>
            </w:pPr>
            <w:r>
              <w:rPr>
                <w:color w:val="000000"/>
              </w:rPr>
              <w:t>重庆市万州区位于重庆市东部，三峡库区腹心地带。长江自西南向东北横贯该区，万州区东邻云阳县，西连忠县和梁平</w:t>
            </w:r>
            <w:r>
              <w:rPr>
                <w:rFonts w:hint="eastAsia"/>
                <w:color w:val="000000"/>
              </w:rPr>
              <w:t>区</w:t>
            </w:r>
            <w:r>
              <w:rPr>
                <w:color w:val="000000"/>
              </w:rPr>
              <w:t>，南靠石柱县和湖北省利川县，北依开江县和开</w:t>
            </w:r>
            <w:r>
              <w:rPr>
                <w:rFonts w:hint="eastAsia"/>
                <w:color w:val="000000"/>
              </w:rPr>
              <w:t>州区</w:t>
            </w:r>
            <w:r>
              <w:rPr>
                <w:color w:val="000000"/>
              </w:rPr>
              <w:t>。位于北纬30˚23ˊ～31˚20ˊ，东经107˚52ˊ～108˚53ˊ。万州区是长江上游和川东地区的交通枢纽，万州港是长江的十大港口之一，上距重庆327km，下至宜昌321km。</w:t>
            </w:r>
          </w:p>
          <w:p>
            <w:pPr>
              <w:widowControl w:val="0"/>
              <w:ind w:firstLine="520"/>
              <w:jc w:val="both"/>
              <w:rPr>
                <w:rFonts w:hint="eastAsia" w:cs="Times New Roman" w:eastAsiaTheme="minorEastAsia"/>
                <w:color w:val="000000" w:themeColor="text1"/>
                <w:szCs w:val="24"/>
                <w:lang w:val="en-US" w:eastAsia="zh-CN"/>
                <w14:textFill>
                  <w14:solidFill>
                    <w14:schemeClr w14:val="tx1"/>
                  </w14:solidFill>
                </w14:textFill>
              </w:rPr>
            </w:pPr>
            <w:r>
              <w:rPr>
                <w:rFonts w:hint="eastAsia" w:cs="Times New Roman" w:eastAsiaTheme="minorEastAsia"/>
                <w:color w:val="000000" w:themeColor="text1"/>
                <w:szCs w:val="24"/>
                <w:lang w:val="en-US" w:eastAsia="zh-CN"/>
                <w14:textFill>
                  <w14:solidFill>
                    <w14:schemeClr w14:val="tx1"/>
                  </w14:solidFill>
                </w14:textFill>
              </w:rPr>
              <w:t>本项目位于重庆市万州经济技术开发区九龙园（盐气化工园区），具体地理位置见附图1。</w:t>
            </w:r>
          </w:p>
          <w:p>
            <w:pPr>
              <w:pStyle w:val="62"/>
              <w:widowControl w:val="0"/>
              <w:numPr>
                <w:ilvl w:val="2"/>
                <w:numId w:val="3"/>
              </w:numPr>
              <w:tabs>
                <w:tab w:val="left" w:pos="824"/>
              </w:tabs>
              <w:spacing w:before="192" w:after="0" w:line="360" w:lineRule="auto"/>
              <w:ind w:left="823" w:right="0" w:hanging="549"/>
              <w:jc w:val="both"/>
              <w:rPr>
                <w:rFonts w:ascii="宋体" w:hAnsi="宋体" w:eastAsia="宋体" w:cs="宋体"/>
                <w:sz w:val="24"/>
              </w:rPr>
            </w:pPr>
            <w:r>
              <w:rPr>
                <w:rFonts w:ascii="宋体" w:hAnsi="宋体" w:eastAsia="宋体" w:cs="宋体"/>
                <w:sz w:val="24"/>
              </w:rPr>
              <w:t>平面布局</w:t>
            </w:r>
          </w:p>
          <w:p>
            <w:pPr>
              <w:widowControl w:val="0"/>
              <w:ind w:firstLine="480"/>
              <w:jc w:val="both"/>
              <w:rPr>
                <w:rFonts w:hint="eastAsia" w:ascii="Times New Roman" w:hAnsi="Times New Roman" w:eastAsia="宋体"/>
                <w:color w:val="000000"/>
                <w:lang w:val="en-US" w:eastAsia="zh-CN"/>
              </w:rPr>
            </w:pPr>
            <w:r>
              <w:rPr>
                <w:rFonts w:hint="eastAsia" w:ascii="Times New Roman" w:hAnsi="Times New Roman" w:eastAsia="宋体"/>
                <w:color w:val="000000"/>
                <w:lang w:val="en-US" w:eastAsia="zh-CN"/>
              </w:rPr>
              <w:t>项目用地呈规整长方形状，东西长约240m</w:t>
            </w:r>
            <w:r>
              <w:rPr>
                <w:rFonts w:hint="eastAsia"/>
                <w:color w:val="000000"/>
                <w:lang w:val="en-US" w:eastAsia="zh-CN"/>
              </w:rPr>
              <w:t>，</w:t>
            </w:r>
            <w:r>
              <w:rPr>
                <w:rFonts w:hint="eastAsia" w:ascii="Times New Roman" w:hAnsi="Times New Roman" w:eastAsia="宋体"/>
                <w:color w:val="000000"/>
                <w:lang w:val="en-US" w:eastAsia="zh-CN"/>
              </w:rPr>
              <w:t>南北宽约104m</w:t>
            </w:r>
            <w:r>
              <w:rPr>
                <w:rFonts w:hint="eastAsia"/>
                <w:color w:val="000000"/>
                <w:lang w:val="en-US" w:eastAsia="zh-CN"/>
              </w:rPr>
              <w:t>，</w:t>
            </w:r>
            <w:r>
              <w:rPr>
                <w:rFonts w:hint="eastAsia" w:ascii="Times New Roman" w:hAnsi="Times New Roman" w:eastAsia="宋体"/>
                <w:color w:val="000000"/>
                <w:lang w:val="en-US" w:eastAsia="zh-CN"/>
              </w:rPr>
              <w:t>厂区南面和西面临园区道路，主要入口布置在北面中部。项目由1 号生产车间2 号车间及丝印车间和综合楼组成，1号车间和2号车间平行布置在厂区中部，丝印车间位于厂区东部，综合楼位于厂区西部。项目总平面布置见附图2。</w:t>
            </w:r>
          </w:p>
          <w:p>
            <w:pPr>
              <w:pStyle w:val="62"/>
              <w:widowControl w:val="0"/>
              <w:numPr>
                <w:ilvl w:val="2"/>
                <w:numId w:val="3"/>
              </w:numPr>
              <w:tabs>
                <w:tab w:val="left" w:pos="824"/>
              </w:tabs>
              <w:spacing w:before="192" w:after="0" w:line="360" w:lineRule="auto"/>
              <w:ind w:left="823" w:right="0" w:hanging="549"/>
              <w:jc w:val="both"/>
              <w:rPr>
                <w:rFonts w:ascii="宋体" w:hAnsi="宋体" w:eastAsia="宋体" w:cs="宋体"/>
                <w:sz w:val="24"/>
              </w:rPr>
            </w:pPr>
            <w:r>
              <w:rPr>
                <w:rFonts w:ascii="宋体" w:hAnsi="宋体" w:eastAsia="宋体" w:cs="宋体"/>
                <w:sz w:val="24"/>
                <w:lang w:val="zh-CN" w:eastAsia="zh-CN"/>
              </w:rPr>
              <w:t>项目外环境及环境保护目标分布</w:t>
            </w:r>
          </w:p>
          <w:p>
            <w:pPr>
              <w:widowControl w:val="0"/>
              <w:ind w:firstLine="480"/>
              <w:jc w:val="both"/>
              <w:rPr>
                <w:rFonts w:hint="eastAsia" w:ascii="Times New Roman" w:hAnsi="Times New Roman" w:eastAsia="宋体"/>
                <w:color w:val="000000"/>
                <w:lang w:val="en-US" w:eastAsia="zh-CN"/>
              </w:rPr>
            </w:pPr>
            <w:r>
              <w:rPr>
                <w:rFonts w:hint="eastAsia" w:ascii="Times New Roman" w:hAnsi="Times New Roman" w:eastAsia="宋体"/>
                <w:color w:val="000000"/>
                <w:lang w:val="en-US" w:eastAsia="zh-CN"/>
              </w:rPr>
              <w:t>本项目位于重庆市万州经济技术开发区九龙园（盐气化工园区）</w:t>
            </w:r>
            <w:r>
              <w:rPr>
                <w:rFonts w:hint="eastAsia"/>
                <w:color w:val="000000"/>
                <w:lang w:val="en-US" w:eastAsia="zh-CN"/>
              </w:rPr>
              <w:t>，</w:t>
            </w:r>
            <w:r>
              <w:rPr>
                <w:rFonts w:hint="eastAsia" w:ascii="Times New Roman" w:hAnsi="Times New Roman" w:eastAsia="宋体"/>
                <w:color w:val="000000"/>
                <w:lang w:val="en-US" w:eastAsia="zh-CN"/>
              </w:rPr>
              <w:t>厂区周围分布为工业企业和空地。厂区周围敏感点如居民点、学校分布较远，主要为北面1150米处的火车站及居住片区，西北面1800米处的双河口片区，东北面2000米处的龙都街道片区。评价区域内无风景名胜区、自然保护区及重点文物保护单位，未发现珍稀动植物分布与出没。本次验收主要环境保护目标分布情况具体见表2-1。</w:t>
            </w:r>
          </w:p>
          <w:p>
            <w:pPr>
              <w:widowControl w:val="0"/>
              <w:adjustRightInd w:val="0"/>
              <w:snapToGrid w:val="0"/>
              <w:jc w:val="center"/>
              <w:rPr>
                <w:rFonts w:cs="Times New Roman" w:eastAsiaTheme="minorEastAsia"/>
                <w:b/>
                <w:bCs/>
                <w:sz w:val="21"/>
                <w:szCs w:val="21"/>
              </w:rPr>
            </w:pPr>
            <w:r>
              <w:rPr>
                <w:rFonts w:cs="Times New Roman" w:eastAsiaTheme="minorEastAsia"/>
                <w:b/>
                <w:bCs/>
                <w:sz w:val="21"/>
                <w:szCs w:val="21"/>
              </w:rPr>
              <w:t>表</w:t>
            </w:r>
            <w:r>
              <w:rPr>
                <w:rFonts w:hint="eastAsia" w:cs="Times New Roman" w:eastAsiaTheme="minorEastAsia"/>
                <w:b/>
                <w:bCs/>
                <w:sz w:val="21"/>
                <w:szCs w:val="21"/>
                <w:lang w:val="en-US" w:eastAsia="zh-CN"/>
              </w:rPr>
              <w:t>2</w:t>
            </w:r>
            <w:r>
              <w:rPr>
                <w:rFonts w:cs="Times New Roman" w:eastAsiaTheme="minorEastAsia"/>
                <w:b/>
                <w:bCs/>
                <w:sz w:val="21"/>
                <w:szCs w:val="21"/>
              </w:rPr>
              <w:t>-1 项目环境保护目标一览表</w:t>
            </w:r>
          </w:p>
          <w:tbl>
            <w:tblPr>
              <w:tblStyle w:val="87"/>
              <w:tblW w:w="50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4"/>
              <w:gridCol w:w="1948"/>
              <w:gridCol w:w="2053"/>
              <w:gridCol w:w="1104"/>
              <w:gridCol w:w="1809"/>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2"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环境要素</w:t>
                  </w:r>
                </w:p>
              </w:tc>
              <w:tc>
                <w:tcPr>
                  <w:tcW w:w="1075"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环境敏感点</w:t>
                  </w:r>
                </w:p>
              </w:tc>
              <w:tc>
                <w:tcPr>
                  <w:tcW w:w="1133"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环境敏感点性质</w:t>
                  </w:r>
                </w:p>
              </w:tc>
              <w:tc>
                <w:tcPr>
                  <w:tcW w:w="609"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距厂界方位</w:t>
                  </w:r>
                </w:p>
              </w:tc>
              <w:tc>
                <w:tcPr>
                  <w:tcW w:w="998"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最近直线距离（米）</w:t>
                  </w:r>
                </w:p>
              </w:tc>
              <w:tc>
                <w:tcPr>
                  <w:tcW w:w="650"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污染风向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2" w:type="pct"/>
                  <w:vMerge w:val="restart"/>
                  <w:tcBorders>
                    <w:bottom w:val="nil"/>
                  </w:tcBorders>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环境空气</w:t>
                  </w:r>
                </w:p>
              </w:tc>
              <w:tc>
                <w:tcPr>
                  <w:tcW w:w="1075"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龙都广场</w:t>
                  </w:r>
                </w:p>
              </w:tc>
              <w:tc>
                <w:tcPr>
                  <w:tcW w:w="1133"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居民、机关事业单位等</w:t>
                  </w:r>
                </w:p>
              </w:tc>
              <w:tc>
                <w:tcPr>
                  <w:tcW w:w="609"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东北</w:t>
                  </w:r>
                </w:p>
              </w:tc>
              <w:tc>
                <w:tcPr>
                  <w:tcW w:w="998"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1800</w:t>
                  </w:r>
                </w:p>
              </w:tc>
              <w:tc>
                <w:tcPr>
                  <w:tcW w:w="650"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西南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2" w:type="pct"/>
                  <w:vMerge w:val="continue"/>
                  <w:tcBorders>
                    <w:top w:val="nil"/>
                    <w:bottom w:val="nil"/>
                  </w:tcBorders>
                  <w:textDirection w:val="tbRlV"/>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1075"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三峡职业学院</w:t>
                  </w:r>
                </w:p>
              </w:tc>
              <w:tc>
                <w:tcPr>
                  <w:tcW w:w="1133"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学校</w:t>
                  </w:r>
                </w:p>
              </w:tc>
              <w:tc>
                <w:tcPr>
                  <w:tcW w:w="609"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北</w:t>
                  </w:r>
                </w:p>
              </w:tc>
              <w:tc>
                <w:tcPr>
                  <w:tcW w:w="998"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1150</w:t>
                  </w:r>
                </w:p>
              </w:tc>
              <w:tc>
                <w:tcPr>
                  <w:tcW w:w="650"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2" w:type="pct"/>
                  <w:vMerge w:val="continue"/>
                  <w:tcBorders>
                    <w:top w:val="nil"/>
                    <w:bottom w:val="nil"/>
                  </w:tcBorders>
                  <w:textDirection w:val="tbRlV"/>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1075"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万州火车站</w:t>
                  </w:r>
                </w:p>
              </w:tc>
              <w:tc>
                <w:tcPr>
                  <w:tcW w:w="1133"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旅客</w:t>
                  </w:r>
                </w:p>
              </w:tc>
              <w:tc>
                <w:tcPr>
                  <w:tcW w:w="609"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北</w:t>
                  </w:r>
                </w:p>
              </w:tc>
              <w:tc>
                <w:tcPr>
                  <w:tcW w:w="998"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1150</w:t>
                  </w:r>
                </w:p>
              </w:tc>
              <w:tc>
                <w:tcPr>
                  <w:tcW w:w="650"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2" w:type="pct"/>
                  <w:vMerge w:val="continue"/>
                  <w:tcBorders>
                    <w:top w:val="nil"/>
                    <w:bottom w:val="nil"/>
                  </w:tcBorders>
                  <w:textDirection w:val="tbRlV"/>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1075"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双河口组团</w:t>
                  </w:r>
                </w:p>
              </w:tc>
              <w:tc>
                <w:tcPr>
                  <w:tcW w:w="1133"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居民、机关事业单位等</w:t>
                  </w:r>
                </w:p>
              </w:tc>
              <w:tc>
                <w:tcPr>
                  <w:tcW w:w="609"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西北</w:t>
                  </w:r>
                </w:p>
              </w:tc>
              <w:tc>
                <w:tcPr>
                  <w:tcW w:w="998"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2000</w:t>
                  </w:r>
                </w:p>
              </w:tc>
              <w:tc>
                <w:tcPr>
                  <w:tcW w:w="650"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东南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2" w:type="pct"/>
                  <w:vMerge w:val="continue"/>
                  <w:tcBorders>
                    <w:top w:val="nil"/>
                  </w:tcBorders>
                  <w:textDirection w:val="tbRlV"/>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1075"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江北水厂</w:t>
                  </w:r>
                </w:p>
              </w:tc>
              <w:tc>
                <w:tcPr>
                  <w:tcW w:w="1133"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供水</w:t>
                  </w:r>
                </w:p>
              </w:tc>
              <w:tc>
                <w:tcPr>
                  <w:tcW w:w="609"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东南</w:t>
                  </w:r>
                </w:p>
              </w:tc>
              <w:tc>
                <w:tcPr>
                  <w:tcW w:w="998"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720</w:t>
                  </w:r>
                </w:p>
              </w:tc>
              <w:tc>
                <w:tcPr>
                  <w:tcW w:w="650"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西北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2"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地表水</w:t>
                  </w:r>
                </w:p>
              </w:tc>
              <w:tc>
                <w:tcPr>
                  <w:tcW w:w="1075"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长江万州段</w:t>
                  </w:r>
                </w:p>
              </w:tc>
              <w:tc>
                <w:tcPr>
                  <w:tcW w:w="1133"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w:t>
                  </w:r>
                </w:p>
              </w:tc>
              <w:tc>
                <w:tcPr>
                  <w:tcW w:w="609"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东</w:t>
                  </w:r>
                </w:p>
              </w:tc>
              <w:tc>
                <w:tcPr>
                  <w:tcW w:w="998"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2500</w:t>
                  </w:r>
                </w:p>
              </w:tc>
              <w:tc>
                <w:tcPr>
                  <w:tcW w:w="650" w:type="pct"/>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w:t>
                  </w:r>
                </w:p>
              </w:tc>
            </w:tr>
          </w:tbl>
          <w:p>
            <w:pPr>
              <w:pStyle w:val="3"/>
              <w:widowControl w:val="0"/>
              <w:numPr>
                <w:ilvl w:val="1"/>
                <w:numId w:val="3"/>
              </w:numPr>
              <w:tabs>
                <w:tab w:val="left" w:pos="636"/>
                <w:tab w:val="clear" w:pos="541"/>
                <w:tab w:val="clear" w:pos="576"/>
              </w:tabs>
              <w:spacing w:before="223" w:after="0" w:line="360" w:lineRule="auto"/>
              <w:ind w:left="636" w:right="0" w:hanging="361"/>
              <w:jc w:val="left"/>
              <w:rPr>
                <w:rFonts w:hint="eastAsia"/>
                <w:lang w:val="en-US" w:eastAsia="zh-CN"/>
              </w:rPr>
            </w:pPr>
            <w:bookmarkStart w:id="6" w:name="_Toc497833573"/>
            <w:bookmarkStart w:id="7" w:name="_Toc18256"/>
            <w:r>
              <w:rPr>
                <w:rFonts w:hint="eastAsia"/>
                <w:lang w:val="en-US" w:eastAsia="zh-CN"/>
              </w:rPr>
              <w:t xml:space="preserve"> 建设内容</w:t>
            </w:r>
            <w:bookmarkEnd w:id="6"/>
            <w:r>
              <w:rPr>
                <w:rFonts w:hint="eastAsia"/>
                <w:lang w:val="en-US" w:eastAsia="zh-CN"/>
              </w:rPr>
              <w:t>基本情况</w:t>
            </w:r>
            <w:bookmarkEnd w:id="7"/>
          </w:p>
          <w:p>
            <w:pPr>
              <w:widowControl w:val="0"/>
              <w:spacing w:line="360" w:lineRule="auto"/>
              <w:ind w:firstLine="480" w:firstLineChars="200"/>
              <w:jc w:val="both"/>
              <w:rPr>
                <w:rFonts w:cs="Times New Roman" w:eastAsiaTheme="minorEastAsia"/>
                <w:color w:val="000000" w:themeColor="text1"/>
                <w:szCs w:val="24"/>
                <w14:textFill>
                  <w14:solidFill>
                    <w14:schemeClr w14:val="tx1"/>
                  </w14:solidFill>
                </w14:textFill>
              </w:rPr>
            </w:pPr>
            <w:r>
              <w:rPr>
                <w:rFonts w:hint="eastAsia" w:cs="Times New Roman" w:eastAsiaTheme="minorEastAsia"/>
                <w:color w:val="000000" w:themeColor="text1"/>
                <w:szCs w:val="24"/>
                <w14:textFill>
                  <w14:solidFill>
                    <w14:schemeClr w14:val="tx1"/>
                  </w14:solidFill>
                </w14:textFill>
              </w:rPr>
              <w:t>（1）建设内容</w:t>
            </w:r>
          </w:p>
          <w:p>
            <w:pPr>
              <w:widowControl w:val="0"/>
              <w:ind w:firstLine="480" w:firstLineChars="200"/>
              <w:jc w:val="both"/>
              <w:rPr>
                <w:rFonts w:cs="Times New Roman" w:eastAsiaTheme="minorEastAsia"/>
                <w:color w:val="000000" w:themeColor="text1"/>
                <w:szCs w:val="24"/>
                <w14:textFill>
                  <w14:solidFill>
                    <w14:schemeClr w14:val="tx1"/>
                  </w14:solidFill>
                </w14:textFill>
              </w:rPr>
            </w:pPr>
            <w:r>
              <w:rPr>
                <w:rFonts w:hint="eastAsia" w:cs="Times New Roman"/>
                <w:b w:val="0"/>
                <w:bCs/>
                <w:color w:val="auto"/>
                <w:kern w:val="0"/>
                <w:sz w:val="24"/>
                <w:szCs w:val="24"/>
                <w:lang w:val="en-US" w:eastAsia="zh-CN" w:bidi="ar-SA"/>
              </w:rPr>
              <w:t>本项目位于重庆市万州经济技术开发区九龙园（盐气化工园区），建设</w:t>
            </w:r>
            <w:r>
              <w:rPr>
                <w:rFonts w:hint="eastAsia" w:cs="Times New Roman" w:eastAsiaTheme="minorEastAsia"/>
                <w:color w:val="000000" w:themeColor="text1"/>
                <w:szCs w:val="24"/>
                <w:lang w:eastAsia="zh-CN"/>
                <w14:textFill>
                  <w14:solidFill>
                    <w14:schemeClr w14:val="tx1"/>
                  </w14:solidFill>
                </w14:textFill>
              </w:rPr>
              <w:t>年产30万片汽车挡风玻璃</w:t>
            </w:r>
            <w:r>
              <w:rPr>
                <w:rFonts w:hint="eastAsia" w:cs="Times New Roman"/>
                <w:b w:val="0"/>
                <w:bCs/>
                <w:color w:val="auto"/>
                <w:kern w:val="0"/>
                <w:sz w:val="24"/>
                <w:szCs w:val="24"/>
                <w:lang w:val="en-US" w:eastAsia="zh-CN" w:bidi="ar-SA"/>
              </w:rPr>
              <w:t>生产线</w:t>
            </w:r>
            <w:r>
              <w:rPr>
                <w:rFonts w:hint="eastAsia" w:ascii="Times New Roman" w:hAnsi="Times New Roman" w:cs="Times New Roman"/>
                <w:bCs/>
                <w:color w:val="auto"/>
                <w:sz w:val="24"/>
              </w:rPr>
              <w:t>，并配备相应环保设施以及辅助工程等的建设。项目区内不设置食堂和宿舍，就餐依托周边餐馆，已接通市政给排水管网，供水、供电等状态良好。</w:t>
            </w:r>
            <w:r>
              <w:rPr>
                <w:rFonts w:hint="eastAsia" w:cs="Times New Roman" w:eastAsiaTheme="minorEastAsia"/>
                <w:color w:val="000000" w:themeColor="text1"/>
                <w:szCs w:val="24"/>
                <w:lang w:val="en-US" w:eastAsia="zh-CN"/>
                <w14:textFill>
                  <w14:solidFill>
                    <w14:schemeClr w14:val="tx1"/>
                  </w14:solidFill>
                </w14:textFill>
              </w:rPr>
              <w:t>项目建设内容包括主体工程、辅助工程、公用工程和环保工程</w:t>
            </w:r>
            <w:r>
              <w:rPr>
                <w:rFonts w:cs="Times New Roman" w:eastAsiaTheme="minorEastAsia"/>
                <w:color w:val="000000" w:themeColor="text1"/>
                <w:szCs w:val="24"/>
                <w14:textFill>
                  <w14:solidFill>
                    <w14:schemeClr w14:val="tx1"/>
                  </w14:solidFill>
                </w14:textFill>
              </w:rPr>
              <w:t>。项目建设内容见下表</w:t>
            </w:r>
            <w:r>
              <w:rPr>
                <w:rFonts w:hint="eastAsia" w:cs="Times New Roman" w:eastAsiaTheme="minorEastAsia"/>
                <w:color w:val="000000" w:themeColor="text1"/>
                <w:szCs w:val="24"/>
                <w:lang w:val="en-US" w:eastAsia="zh-CN"/>
                <w14:textFill>
                  <w14:solidFill>
                    <w14:schemeClr w14:val="tx1"/>
                  </w14:solidFill>
                </w14:textFill>
              </w:rPr>
              <w:t>2</w:t>
            </w:r>
            <w:r>
              <w:rPr>
                <w:rFonts w:cs="Times New Roman" w:eastAsiaTheme="minorEastAsia"/>
                <w:color w:val="000000" w:themeColor="text1"/>
                <w:szCs w:val="24"/>
                <w14:textFill>
                  <w14:solidFill>
                    <w14:schemeClr w14:val="tx1"/>
                  </w14:solidFill>
                </w14:textFill>
              </w:rPr>
              <w:t>-</w:t>
            </w:r>
            <w:r>
              <w:rPr>
                <w:rFonts w:hint="eastAsia" w:cs="Times New Roman" w:eastAsiaTheme="minorEastAsia"/>
                <w:color w:val="000000" w:themeColor="text1"/>
                <w:szCs w:val="24"/>
                <w14:textFill>
                  <w14:solidFill>
                    <w14:schemeClr w14:val="tx1"/>
                  </w14:solidFill>
                </w14:textFill>
              </w:rPr>
              <w:t>2</w:t>
            </w:r>
            <w:r>
              <w:rPr>
                <w:rFonts w:cs="Times New Roman" w:eastAsiaTheme="minorEastAsia"/>
                <w:color w:val="000000" w:themeColor="text1"/>
                <w:szCs w:val="24"/>
                <w14:textFill>
                  <w14:solidFill>
                    <w14:schemeClr w14:val="tx1"/>
                  </w14:solidFill>
                </w14:textFill>
              </w:rPr>
              <w:t>。</w:t>
            </w:r>
          </w:p>
          <w:p>
            <w:pPr>
              <w:pStyle w:val="12"/>
              <w:widowControl w:val="0"/>
              <w:jc w:val="center"/>
              <w:rPr>
                <w:rFonts w:cs="Times New Roman" w:eastAsiaTheme="minorEastAsia"/>
                <w:b/>
                <w:bCs/>
                <w:sz w:val="21"/>
                <w:szCs w:val="21"/>
              </w:rPr>
            </w:pPr>
            <w:r>
              <w:rPr>
                <w:rFonts w:cs="Times New Roman" w:eastAsiaTheme="minorEastAsia"/>
                <w:b/>
                <w:bCs/>
                <w:sz w:val="21"/>
                <w:szCs w:val="21"/>
              </w:rPr>
              <w:t>表</w:t>
            </w:r>
            <w:r>
              <w:rPr>
                <w:rFonts w:hint="eastAsia" w:cs="Times New Roman" w:eastAsiaTheme="minorEastAsia"/>
                <w:b/>
                <w:bCs/>
                <w:sz w:val="21"/>
                <w:szCs w:val="21"/>
                <w:lang w:val="en-US" w:eastAsia="zh-CN"/>
              </w:rPr>
              <w:t>2</w:t>
            </w:r>
            <w:r>
              <w:rPr>
                <w:rFonts w:cs="Times New Roman" w:eastAsiaTheme="minorEastAsia"/>
                <w:b/>
                <w:bCs/>
                <w:sz w:val="21"/>
                <w:szCs w:val="21"/>
              </w:rPr>
              <w:t>-2    项目组成及建设内容</w:t>
            </w:r>
          </w:p>
          <w:tbl>
            <w:tblPr>
              <w:tblStyle w:val="24"/>
              <w:tblW w:w="91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0"/>
              <w:gridCol w:w="687"/>
              <w:gridCol w:w="3933"/>
              <w:gridCol w:w="37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tcBorders>
                    <w:right w:val="single" w:color="auto" w:sz="4" w:space="0"/>
                  </w:tcBorders>
                  <w:noWrap w:val="0"/>
                  <w:vAlign w:val="center"/>
                </w:tcPr>
                <w:p>
                  <w:pPr>
                    <w:pStyle w:val="41"/>
                    <w:rPr>
                      <w:rFonts w:ascii="Times New Roman" w:hAnsi="Times New Roman" w:cs="Times New Roman" w:eastAsiaTheme="minorEastAsia"/>
                      <w:b/>
                      <w:bCs/>
                      <w:color w:val="000000" w:themeColor="text1"/>
                      <w:kern w:val="2"/>
                      <w14:textFill>
                        <w14:solidFill>
                          <w14:schemeClr w14:val="tx1"/>
                        </w14:solidFill>
                      </w14:textFill>
                    </w:rPr>
                  </w:pPr>
                  <w:r>
                    <w:rPr>
                      <w:rFonts w:ascii="Times New Roman" w:hAnsi="Times New Roman" w:cs="Times New Roman" w:eastAsiaTheme="minorEastAsia"/>
                      <w:b/>
                      <w:bCs/>
                      <w:color w:val="000000" w:themeColor="text1"/>
                      <w:kern w:val="2"/>
                      <w14:textFill>
                        <w14:solidFill>
                          <w14:schemeClr w14:val="tx1"/>
                        </w14:solidFill>
                      </w14:textFill>
                    </w:rPr>
                    <w:t>类别</w:t>
                  </w:r>
                </w:p>
              </w:tc>
              <w:tc>
                <w:tcPr>
                  <w:tcW w:w="376" w:type="pct"/>
                  <w:tcBorders>
                    <w:left w:val="single" w:color="auto" w:sz="4" w:space="0"/>
                    <w:right w:val="single" w:color="auto" w:sz="4" w:space="0"/>
                  </w:tcBorders>
                  <w:noWrap w:val="0"/>
                  <w:vAlign w:val="center"/>
                </w:tcPr>
                <w:p>
                  <w:pPr>
                    <w:pStyle w:val="41"/>
                    <w:rPr>
                      <w:rFonts w:ascii="Times New Roman" w:hAnsi="Times New Roman" w:cs="Times New Roman" w:eastAsiaTheme="minorEastAsia"/>
                      <w:b/>
                      <w:bCs/>
                      <w:color w:val="000000" w:themeColor="text1"/>
                      <w:kern w:val="2"/>
                      <w14:textFill>
                        <w14:solidFill>
                          <w14:schemeClr w14:val="tx1"/>
                        </w14:solidFill>
                      </w14:textFill>
                    </w:rPr>
                  </w:pPr>
                  <w:r>
                    <w:rPr>
                      <w:rFonts w:ascii="Times New Roman" w:hAnsi="Times New Roman" w:cs="Times New Roman" w:eastAsiaTheme="minorEastAsia"/>
                      <w:b/>
                      <w:bCs/>
                      <w:color w:val="000000" w:themeColor="text1"/>
                      <w:kern w:val="2"/>
                      <w14:textFill>
                        <w14:solidFill>
                          <w14:schemeClr w14:val="tx1"/>
                        </w14:solidFill>
                      </w14:textFill>
                    </w:rPr>
                    <w:t>项目</w:t>
                  </w:r>
                </w:p>
                <w:p>
                  <w:pPr>
                    <w:pStyle w:val="41"/>
                    <w:rPr>
                      <w:rFonts w:hint="eastAsia" w:ascii="Times New Roman" w:hAnsi="Times New Roman" w:cs="Times New Roman" w:eastAsiaTheme="minorEastAsia"/>
                      <w:b/>
                      <w:bCs/>
                      <w:color w:val="000000" w:themeColor="text1"/>
                      <w:kern w:val="2"/>
                      <w:lang w:eastAsia="zh-CN"/>
                      <w14:textFill>
                        <w14:solidFill>
                          <w14:schemeClr w14:val="tx1"/>
                        </w14:solidFill>
                      </w14:textFill>
                    </w:rPr>
                  </w:pPr>
                  <w:r>
                    <w:rPr>
                      <w:rFonts w:hint="eastAsia" w:ascii="Times New Roman" w:hAnsi="Times New Roman" w:cs="Times New Roman" w:eastAsiaTheme="minorEastAsia"/>
                      <w:b/>
                      <w:bCs/>
                      <w:color w:val="000000" w:themeColor="text1"/>
                      <w:kern w:val="2"/>
                      <w:lang w:eastAsia="zh-CN"/>
                      <w14:textFill>
                        <w14:solidFill>
                          <w14:schemeClr w14:val="tx1"/>
                        </w14:solidFill>
                      </w14:textFill>
                    </w:rPr>
                    <w:t>组成</w:t>
                  </w:r>
                </w:p>
              </w:tc>
              <w:tc>
                <w:tcPr>
                  <w:tcW w:w="2154" w:type="pct"/>
                  <w:tcBorders>
                    <w:top w:val="single" w:color="auto" w:sz="4" w:space="0"/>
                    <w:left w:val="single" w:color="auto" w:sz="4" w:space="0"/>
                  </w:tcBorders>
                  <w:noWrap w:val="0"/>
                  <w:vAlign w:val="center"/>
                </w:tcPr>
                <w:p>
                  <w:pPr>
                    <w:pStyle w:val="41"/>
                    <w:rPr>
                      <w:rFonts w:hint="eastAsia" w:ascii="Times New Roman" w:hAnsi="Times New Roman" w:cs="Times New Roman" w:eastAsiaTheme="minorEastAsia"/>
                      <w:b/>
                      <w:bCs/>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b/>
                      <w:bCs/>
                      <w:color w:val="000000" w:themeColor="text1"/>
                      <w:kern w:val="2"/>
                      <w:lang w:val="en-US" w:eastAsia="zh-CN"/>
                      <w14:textFill>
                        <w14:solidFill>
                          <w14:schemeClr w14:val="tx1"/>
                        </w14:solidFill>
                      </w14:textFill>
                    </w:rPr>
                    <w:t>主要建设</w:t>
                  </w:r>
                  <w:r>
                    <w:rPr>
                      <w:rFonts w:ascii="Times New Roman" w:hAnsi="Times New Roman" w:cs="Times New Roman" w:eastAsiaTheme="minorEastAsia"/>
                      <w:b/>
                      <w:bCs/>
                      <w:color w:val="000000" w:themeColor="text1"/>
                      <w:kern w:val="2"/>
                      <w14:textFill>
                        <w14:solidFill>
                          <w14:schemeClr w14:val="tx1"/>
                        </w14:solidFill>
                      </w14:textFill>
                    </w:rPr>
                    <w:t>规模与</w:t>
                  </w:r>
                  <w:r>
                    <w:rPr>
                      <w:rFonts w:hint="eastAsia" w:ascii="Times New Roman" w:hAnsi="Times New Roman" w:cs="Times New Roman" w:eastAsiaTheme="minorEastAsia"/>
                      <w:b/>
                      <w:bCs/>
                      <w:color w:val="000000" w:themeColor="text1"/>
                      <w:kern w:val="2"/>
                      <w:lang w:val="en-US" w:eastAsia="zh-CN"/>
                      <w14:textFill>
                        <w14:solidFill>
                          <w14:schemeClr w14:val="tx1"/>
                        </w14:solidFill>
                      </w14:textFill>
                    </w:rPr>
                    <w:t>内容</w:t>
                  </w:r>
                </w:p>
              </w:tc>
              <w:tc>
                <w:tcPr>
                  <w:tcW w:w="2068" w:type="pct"/>
                  <w:tcBorders>
                    <w:top w:val="single" w:color="auto" w:sz="4" w:space="0"/>
                    <w:left w:val="single" w:color="auto" w:sz="4" w:space="0"/>
                  </w:tcBorders>
                  <w:noWrap w:val="0"/>
                  <w:vAlign w:val="center"/>
                </w:tcPr>
                <w:p>
                  <w:pPr>
                    <w:pStyle w:val="41"/>
                    <w:rPr>
                      <w:rFonts w:hint="default" w:ascii="Times New Roman" w:hAnsi="Times New Roman" w:cs="Times New Roman" w:eastAsiaTheme="minorEastAsia"/>
                      <w:b/>
                      <w:bCs/>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b/>
                      <w:bCs/>
                      <w:color w:val="000000" w:themeColor="text1"/>
                      <w:kern w:val="2"/>
                      <w:lang w:val="en-US" w:eastAsia="zh-CN"/>
                      <w14:textFill>
                        <w14:solidFill>
                          <w14:schemeClr w14:val="tx1"/>
                        </w14:solidFill>
                      </w14:textFill>
                    </w:rPr>
                    <w:t>实际建设情况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restart"/>
                  <w:tcBorders>
                    <w:top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lang w:val="en-US" w:eastAsia="zh-CN"/>
                      <w14:textFill>
                        <w14:solidFill>
                          <w14:schemeClr w14:val="tx1"/>
                        </w14:solidFill>
                      </w14:textFill>
                    </w:rPr>
                    <w:t>主体工程</w:t>
                  </w:r>
                </w:p>
              </w:tc>
              <w:tc>
                <w:tcPr>
                  <w:tcW w:w="376"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生产用房</w:t>
                  </w:r>
                </w:p>
              </w:tc>
              <w:tc>
                <w:tcPr>
                  <w:tcW w:w="2154" w:type="pct"/>
                  <w:tcBorders>
                    <w:top w:val="single" w:color="auto" w:sz="4" w:space="0"/>
                    <w:bottom w:val="single" w:color="auto" w:sz="4" w:space="0"/>
                  </w:tcBorders>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建设厂房3座，1号车间和2号车间建筑面积均为6240平方米，丝网印刷车间建筑为1340平方米，为钢架结构，单层，层高8.5米，其中1号厂房内布置2条钢化玻璃生产线，2号厂房布置2条夹胶玻璃生产线。</w:t>
                  </w:r>
                </w:p>
              </w:tc>
              <w:tc>
                <w:tcPr>
                  <w:tcW w:w="2068" w:type="pct"/>
                  <w:tcBorders>
                    <w:top w:val="single" w:color="auto" w:sz="4" w:space="0"/>
                    <w:bottom w:val="single" w:color="auto" w:sz="4" w:space="0"/>
                  </w:tcBorders>
                  <w:noWrap w:val="0"/>
                  <w:vAlign w:val="center"/>
                </w:tcPr>
                <w:p>
                  <w:pPr>
                    <w:pStyle w:val="41"/>
                    <w:rPr>
                      <w:rFonts w:hint="default" w:ascii="Times New Roman" w:hAnsi="Times New Roman" w:cs="Times New Roman" w:eastAsiaTheme="minorEastAsia"/>
                      <w:color w:val="0000FF"/>
                      <w:kern w:val="2"/>
                      <w:lang w:val="en-US" w:eastAsia="zh-CN"/>
                    </w:rPr>
                  </w:pPr>
                  <w:r>
                    <w:rPr>
                      <w:rFonts w:hint="eastAsia" w:ascii="Times New Roman" w:hAnsi="Times New Roman" w:cs="Times New Roman" w:eastAsiaTheme="minorEastAsia"/>
                      <w:color w:val="0000FF"/>
                      <w:kern w:val="2"/>
                      <w:lang w:val="en-US" w:eastAsia="zh-CN"/>
                    </w:rPr>
                    <w:t>建设厂房3座，1号车间和2号车间建筑面积均为6240平方米，为钢架结构，单层，层高8.5米；1号厂房设置1条钢化玻璃生产线，其他生产线未建。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continue"/>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p>
              </w:tc>
              <w:tc>
                <w:tcPr>
                  <w:tcW w:w="376"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辅助用房</w:t>
                  </w:r>
                </w:p>
              </w:tc>
              <w:tc>
                <w:tcPr>
                  <w:tcW w:w="2154" w:type="pct"/>
                  <w:tcBorders>
                    <w:top w:val="single" w:color="auto" w:sz="4" w:space="0"/>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建设办公综合楼一栋，共4层，建筑面积4298.32平方米，内布置为办公室、会议室、倒班宿舍、卫生间及食堂。</w:t>
                  </w:r>
                </w:p>
              </w:tc>
              <w:tc>
                <w:tcPr>
                  <w:tcW w:w="2068" w:type="pct"/>
                  <w:tcBorders>
                    <w:top w:val="single" w:color="auto" w:sz="4" w:space="0"/>
                    <w:bottom w:val="single" w:color="auto" w:sz="4" w:space="0"/>
                  </w:tcBorders>
                  <w:noWrap w:val="0"/>
                  <w:vAlign w:val="center"/>
                </w:tcPr>
                <w:p>
                  <w:pPr>
                    <w:pStyle w:val="41"/>
                    <w:rPr>
                      <w:rFonts w:hint="default" w:ascii="Times New Roman" w:hAnsi="Times New Roman" w:cs="Times New Roman" w:eastAsiaTheme="minorEastAsia"/>
                      <w:color w:val="0000FF"/>
                      <w:kern w:val="2"/>
                      <w:lang w:val="en-US" w:eastAsia="zh-CN"/>
                    </w:rPr>
                  </w:pPr>
                  <w:r>
                    <w:rPr>
                      <w:rFonts w:hint="eastAsia" w:ascii="Times New Roman" w:hAnsi="Times New Roman" w:cs="Times New Roman" w:eastAsiaTheme="minorEastAsia"/>
                      <w:color w:val="0000FF"/>
                      <w:kern w:val="2"/>
                      <w:lang w:val="en-US" w:eastAsia="zh-CN"/>
                    </w:rPr>
                    <w:t>不设宿舍及食堂，建设办公综合楼一栋，共4层，建筑面积4298.32平方米，内布置为办公室、会议室及卫生间。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continue"/>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p>
              </w:tc>
              <w:tc>
                <w:tcPr>
                  <w:tcW w:w="376"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停车场</w:t>
                  </w:r>
                </w:p>
              </w:tc>
              <w:tc>
                <w:tcPr>
                  <w:tcW w:w="2154" w:type="pct"/>
                  <w:tcBorders>
                    <w:top w:val="single" w:color="auto" w:sz="4" w:space="0"/>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设计无专门停车场，停车位布置道路一侧，共布置有30个车位。</w:t>
                  </w:r>
                </w:p>
              </w:tc>
              <w:tc>
                <w:tcPr>
                  <w:tcW w:w="2068" w:type="pct"/>
                  <w:tcBorders>
                    <w:top w:val="single" w:color="auto" w:sz="4" w:space="0"/>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与环评一致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restart"/>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default" w:ascii="Times New Roman" w:hAnsi="Times New Roman" w:cs="Times New Roman" w:eastAsiaTheme="minorEastAsia"/>
                      <w:color w:val="000000" w:themeColor="text1"/>
                      <w:kern w:val="2"/>
                      <w:lang w:val="en-US" w:eastAsia="zh-CN"/>
                      <w14:textFill>
                        <w14:solidFill>
                          <w14:schemeClr w14:val="tx1"/>
                        </w14:solidFill>
                      </w14:textFill>
                    </w:rPr>
                    <w:t>公用工程</w:t>
                  </w:r>
                </w:p>
              </w:tc>
              <w:tc>
                <w:tcPr>
                  <w:tcW w:w="376"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给水</w:t>
                  </w:r>
                </w:p>
              </w:tc>
              <w:tc>
                <w:tcPr>
                  <w:tcW w:w="2154" w:type="pct"/>
                  <w:tcBorders>
                    <w:bottom w:val="single" w:color="auto" w:sz="4" w:space="0"/>
                  </w:tcBorders>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水源为园区自来水管网供给，生产用水为玻璃打磨、清洗用水，另外为生活用水。本项目最高日用水量25.5m</w:t>
                  </w:r>
                  <w:r>
                    <w:rPr>
                      <w:rFonts w:hint="eastAsia" w:ascii="Times New Roman" w:hAnsi="Times New Roman" w:cs="Times New Roman" w:eastAsiaTheme="minorEastAsia"/>
                      <w:color w:val="000000" w:themeColor="text1"/>
                      <w:kern w:val="2"/>
                      <w:vertAlign w:val="superscript"/>
                      <w:lang w:val="en-US" w:eastAsia="zh-CN"/>
                      <w14:textFill>
                        <w14:solidFill>
                          <w14:schemeClr w14:val="tx1"/>
                        </w14:solidFill>
                      </w14:textFill>
                    </w:rPr>
                    <w:t>3</w:t>
                  </w:r>
                </w:p>
              </w:tc>
              <w:tc>
                <w:tcPr>
                  <w:tcW w:w="2068"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与环评一致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continue"/>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376"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排水</w:t>
                  </w:r>
                </w:p>
              </w:tc>
              <w:tc>
                <w:tcPr>
                  <w:tcW w:w="2154" w:type="pct"/>
                  <w:tcBorders>
                    <w:bottom w:val="single" w:color="auto" w:sz="4" w:space="0"/>
                  </w:tcBorders>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生产废水经沉淀后回用，不排放；生活污水经生化池处理后排入园区污水管网进入园区污水处理厂集中处理。</w:t>
                  </w:r>
                </w:p>
              </w:tc>
              <w:tc>
                <w:tcPr>
                  <w:tcW w:w="2068"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与环评一致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continue"/>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376"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供电</w:t>
                  </w:r>
                </w:p>
              </w:tc>
              <w:tc>
                <w:tcPr>
                  <w:tcW w:w="2154" w:type="pct"/>
                  <w:tcBorders>
                    <w:bottom w:val="single" w:color="auto" w:sz="4" w:space="0"/>
                  </w:tcBorders>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由万州三峡水利电力集团供应。</w:t>
                  </w:r>
                </w:p>
              </w:tc>
              <w:tc>
                <w:tcPr>
                  <w:tcW w:w="2068" w:type="pct"/>
                  <w:tcBorders>
                    <w:bottom w:val="single" w:color="auto" w:sz="4" w:space="0"/>
                  </w:tcBorders>
                  <w:noWrap w:val="0"/>
                  <w:vAlign w:val="center"/>
                </w:tcPr>
                <w:p>
                  <w:pPr>
                    <w:pStyle w:val="41"/>
                    <w:rPr>
                      <w:rFonts w:hint="eastAsia" w:ascii="Times New Roman" w:hAnsi="Times New Roman" w:eastAsia="宋体" w:cs="Times New Roman"/>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与环评一致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restart"/>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附属</w:t>
                  </w:r>
                  <w:r>
                    <w:rPr>
                      <w:rFonts w:hint="default" w:ascii="Times New Roman" w:hAnsi="Times New Roman" w:cs="Times New Roman" w:eastAsiaTheme="minorEastAsia"/>
                      <w:color w:val="000000" w:themeColor="text1"/>
                      <w:kern w:val="2"/>
                      <w:lang w:val="en-US" w:eastAsia="zh-CN"/>
                      <w14:textFill>
                        <w14:solidFill>
                          <w14:schemeClr w14:val="tx1"/>
                        </w14:solidFill>
                      </w14:textFill>
                    </w:rPr>
                    <w:t>工程</w:t>
                  </w:r>
                </w:p>
              </w:tc>
              <w:tc>
                <w:tcPr>
                  <w:tcW w:w="376" w:type="pct"/>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道路消防</w:t>
                  </w:r>
                </w:p>
              </w:tc>
              <w:tc>
                <w:tcPr>
                  <w:tcW w:w="2154" w:type="pct"/>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厂区主干道沿着主体建筑物周围布置，次干道布置于各建筑物之间，主、次道路互相连通，形成环状分布；道路为混凝土路面，厂内主、次道路路宽分别为10米和6米；厂区所有道路转变半径均不小于12米，满足消防通道的要求。</w:t>
                  </w:r>
                </w:p>
              </w:tc>
              <w:tc>
                <w:tcPr>
                  <w:tcW w:w="2068" w:type="pct"/>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与环评一致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6" w:hRule="atLeast"/>
                <w:jc w:val="center"/>
              </w:trPr>
              <w:tc>
                <w:tcPr>
                  <w:tcW w:w="400" w:type="pct"/>
                  <w:vMerge w:val="continue"/>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376" w:type="pct"/>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环保工程</w:t>
                  </w:r>
                </w:p>
              </w:tc>
              <w:tc>
                <w:tcPr>
                  <w:tcW w:w="2154"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废气：印刷机上方安装集气罩收集印刷废气，经活性炭过滤处理由15高排气筒排放；</w:t>
                  </w:r>
                </w:p>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废水：三级沉淀池处理生产废水，处理回用，不外排。修建1座生化池处理生活污水，处理后排入园区市政污水管网；</w:t>
                  </w:r>
                </w:p>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噪声：采取基础减振等措施，建设隔音窗等；</w:t>
                  </w:r>
                </w:p>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固体废物：建设废玻璃堆场，四周围挡，设危险废物临时存放间，设置生活垃圾收集箱等。</w:t>
                  </w:r>
                </w:p>
              </w:tc>
              <w:tc>
                <w:tcPr>
                  <w:tcW w:w="2068" w:type="pct"/>
                  <w:tcBorders>
                    <w:bottom w:val="single" w:color="auto" w:sz="4" w:space="0"/>
                  </w:tcBorders>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项目未上丝网印刷、热弯成型工序，不产生印刷废气；项目未上清洗工序，不产生清洗废水。</w:t>
                  </w:r>
                  <w:r>
                    <w:rPr>
                      <w:rFonts w:hint="eastAsia"/>
                      <w:color w:val="0000FF"/>
                      <w:lang w:eastAsia="zh-CN"/>
                    </w:rPr>
                    <w:t>其他和环评一致。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0" w:type="pct"/>
                  <w:vMerge w:val="continue"/>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p>
              </w:tc>
              <w:tc>
                <w:tcPr>
                  <w:tcW w:w="376" w:type="pct"/>
                  <w:noWrap w:val="0"/>
                  <w:vAlign w:val="center"/>
                </w:tcPr>
                <w:p>
                  <w:pPr>
                    <w:pStyle w:val="41"/>
                    <w:rPr>
                      <w:rFonts w:hint="eastAsia"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绿化工程</w:t>
                  </w:r>
                </w:p>
              </w:tc>
              <w:tc>
                <w:tcPr>
                  <w:tcW w:w="2154" w:type="pct"/>
                  <w:tcBorders>
                    <w:top w:val="single" w:color="auto" w:sz="4" w:space="0"/>
                  </w:tcBorders>
                  <w:noWrap w:val="0"/>
                  <w:vAlign w:val="center"/>
                </w:tcPr>
                <w:p>
                  <w:pPr>
                    <w:pStyle w:val="41"/>
                    <w:rPr>
                      <w:rFonts w:hint="default" w:ascii="Times New Roman" w:hAnsi="Times New Roman" w:cs="Times New Roman" w:eastAsiaTheme="minorEastAsia"/>
                      <w:color w:val="000000" w:themeColor="text1"/>
                      <w:kern w:val="2"/>
                      <w:lang w:val="en-US" w:eastAsia="zh-CN"/>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厂区内绿化主要以布置绿化休闲块为主，以各建筑物之间绿化带为辅，个别重要地方突出绿化点，形成块、带、点相结合的绿化效果，达到绿色、环保、生态型生产企业，绿地率11%。</w:t>
                  </w:r>
                </w:p>
              </w:tc>
              <w:tc>
                <w:tcPr>
                  <w:tcW w:w="2068" w:type="pct"/>
                  <w:tcBorders>
                    <w:top w:val="single" w:color="auto" w:sz="4" w:space="0"/>
                  </w:tcBorders>
                  <w:noWrap w:val="0"/>
                  <w:vAlign w:val="center"/>
                </w:tcPr>
                <w:p>
                  <w:pPr>
                    <w:pStyle w:val="41"/>
                    <w:rPr>
                      <w:rFonts w:hint="default" w:ascii="Times New Roman" w:hAnsi="Times New Roman" w:cs="Times New Roman" w:eastAsiaTheme="minorEastAsia"/>
                      <w:color w:val="000000" w:themeColor="text1"/>
                      <w:kern w:val="2"/>
                      <w:lang w:val="en-US"/>
                      <w14:textFill>
                        <w14:solidFill>
                          <w14:schemeClr w14:val="tx1"/>
                        </w14:solidFill>
                      </w14:textFill>
                    </w:rPr>
                  </w:pPr>
                  <w:r>
                    <w:rPr>
                      <w:rFonts w:hint="eastAsia" w:ascii="Times New Roman" w:hAnsi="Times New Roman" w:cs="Times New Roman" w:eastAsiaTheme="minorEastAsia"/>
                      <w:color w:val="000000" w:themeColor="text1"/>
                      <w:kern w:val="2"/>
                      <w:lang w:val="en-US" w:eastAsia="zh-CN"/>
                      <w14:textFill>
                        <w14:solidFill>
                          <w14:schemeClr w14:val="tx1"/>
                        </w14:solidFill>
                      </w14:textFill>
                    </w:rPr>
                    <w:t>与环评一致</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eastAsia="宋体"/>
                <w:lang w:eastAsia="zh-CN"/>
              </w:rPr>
            </w:pPr>
            <w:bookmarkStart w:id="8" w:name="_Toc497833574"/>
            <w:r>
              <w:rPr>
                <w:rFonts w:hint="eastAsia"/>
              </w:rPr>
              <w:t>（</w:t>
            </w:r>
            <w:r>
              <w:rPr>
                <w:rFonts w:hint="eastAsia"/>
                <w:lang w:val="en-US" w:eastAsia="zh-CN"/>
              </w:rPr>
              <w:t>2</w:t>
            </w:r>
            <w:r>
              <w:rPr>
                <w:rFonts w:hint="eastAsia"/>
              </w:rPr>
              <w:t>）</w:t>
            </w:r>
            <w:r>
              <w:rPr>
                <w:rFonts w:hint="eastAsia"/>
                <w:lang w:eastAsia="zh-CN"/>
              </w:rPr>
              <w:t>产品方案</w:t>
            </w:r>
          </w:p>
          <w:p>
            <w:pPr>
              <w:widowControl w:val="0"/>
              <w:ind w:firstLine="480" w:firstLineChars="200"/>
              <w:jc w:val="both"/>
              <w:rPr>
                <w:rFonts w:hint="eastAsia"/>
                <w:color w:val="0000FF"/>
              </w:rPr>
            </w:pPr>
            <w:r>
              <w:rPr>
                <w:rFonts w:hint="eastAsia"/>
                <w:color w:val="0000FF"/>
              </w:rPr>
              <w:t>建成钢化玻璃生产线</w:t>
            </w:r>
            <w:r>
              <w:rPr>
                <w:rFonts w:hint="eastAsia"/>
                <w:color w:val="0000FF"/>
                <w:lang w:val="en-US" w:eastAsia="zh-CN"/>
              </w:rPr>
              <w:t>1条</w:t>
            </w:r>
            <w:r>
              <w:rPr>
                <w:rFonts w:hint="eastAsia"/>
                <w:color w:val="0000FF"/>
              </w:rPr>
              <w:t>，达产年年设计生产能力为</w:t>
            </w:r>
            <w:r>
              <w:rPr>
                <w:rFonts w:hint="eastAsia"/>
                <w:color w:val="0000FF"/>
                <w:lang w:val="en-US" w:eastAsia="zh-CN"/>
              </w:rPr>
              <w:t>1</w:t>
            </w:r>
            <w:r>
              <w:rPr>
                <w:rFonts w:hint="eastAsia"/>
                <w:color w:val="0000FF"/>
              </w:rPr>
              <w:t>0万片平板钢化玻璃</w:t>
            </w:r>
            <w:r>
              <w:rPr>
                <w:rFonts w:hint="eastAsia"/>
                <w:color w:val="0000FF"/>
                <w:lang w:eastAsia="zh-CN"/>
              </w:rPr>
              <w:t>。</w:t>
            </w:r>
            <w:r>
              <w:rPr>
                <w:rFonts w:hint="eastAsia"/>
                <w:color w:val="0000FF"/>
              </w:rPr>
              <w:t>产品具体方案见表</w:t>
            </w:r>
            <w:r>
              <w:rPr>
                <w:rFonts w:hint="eastAsia"/>
                <w:color w:val="0000FF"/>
                <w:lang w:val="en-US" w:eastAsia="zh-CN"/>
              </w:rPr>
              <w:t>2</w:t>
            </w:r>
            <w:r>
              <w:rPr>
                <w:rFonts w:hint="eastAsia"/>
                <w:color w:val="0000FF"/>
              </w:rPr>
              <w:t>-</w:t>
            </w:r>
            <w:r>
              <w:rPr>
                <w:rFonts w:hint="eastAsia"/>
                <w:color w:val="0000FF"/>
                <w:lang w:val="en-US" w:eastAsia="zh-CN"/>
              </w:rPr>
              <w:t>3</w:t>
            </w:r>
            <w:r>
              <w:rPr>
                <w:rFonts w:hint="eastAsia"/>
                <w:color w:val="0000FF"/>
              </w:rPr>
              <w:t>。</w:t>
            </w:r>
          </w:p>
          <w:p>
            <w:pPr>
              <w:widowControl w:val="0"/>
              <w:spacing w:line="240" w:lineRule="auto"/>
              <w:jc w:val="center"/>
              <w:rPr>
                <w:rFonts w:hint="eastAsia" w:cs="Times New Roman" w:eastAsiaTheme="minorEastAsia"/>
                <w:b/>
                <w:bCs/>
                <w:color w:val="000000" w:themeColor="text1"/>
                <w:sz w:val="21"/>
                <w:szCs w:val="21"/>
                <w14:textFill>
                  <w14:solidFill>
                    <w14:schemeClr w14:val="tx1"/>
                  </w14:solidFill>
                </w14:textFill>
              </w:rPr>
            </w:pPr>
            <w:r>
              <w:rPr>
                <w:rFonts w:hint="eastAsia" w:cs="Times New Roman" w:eastAsiaTheme="minorEastAsia"/>
                <w:b/>
                <w:bCs/>
                <w:color w:val="000000" w:themeColor="text1"/>
                <w:sz w:val="21"/>
                <w:szCs w:val="21"/>
                <w14:textFill>
                  <w14:solidFill>
                    <w14:schemeClr w14:val="tx1"/>
                  </w14:solidFill>
                </w14:textFill>
              </w:rPr>
              <w:t>表</w:t>
            </w:r>
            <w:r>
              <w:rPr>
                <w:rFonts w:hint="eastAsia" w:cs="Times New Roman" w:eastAsiaTheme="minorEastAsia"/>
                <w:b/>
                <w:bCs/>
                <w:color w:val="000000" w:themeColor="text1"/>
                <w:sz w:val="21"/>
                <w:szCs w:val="21"/>
                <w:lang w:val="en-US" w:eastAsia="zh-CN"/>
                <w14:textFill>
                  <w14:solidFill>
                    <w14:schemeClr w14:val="tx1"/>
                  </w14:solidFill>
                </w14:textFill>
              </w:rPr>
              <w:t>2</w:t>
            </w:r>
            <w:r>
              <w:rPr>
                <w:rFonts w:hint="eastAsia" w:cs="Times New Roman" w:eastAsiaTheme="minorEastAsia"/>
                <w:b/>
                <w:bCs/>
                <w:color w:val="000000" w:themeColor="text1"/>
                <w:sz w:val="21"/>
                <w:szCs w:val="21"/>
                <w14:textFill>
                  <w14:solidFill>
                    <w14:schemeClr w14:val="tx1"/>
                  </w14:solidFill>
                </w14:textFill>
              </w:rPr>
              <w:t>-</w:t>
            </w:r>
            <w:r>
              <w:rPr>
                <w:rFonts w:hint="eastAsia" w:cs="Times New Roman" w:eastAsiaTheme="minorEastAsia"/>
                <w:b/>
                <w:bCs/>
                <w:color w:val="000000" w:themeColor="text1"/>
                <w:sz w:val="21"/>
                <w:szCs w:val="21"/>
                <w:lang w:val="en-US" w:eastAsia="zh-CN"/>
                <w14:textFill>
                  <w14:solidFill>
                    <w14:schemeClr w14:val="tx1"/>
                  </w14:solidFill>
                </w14:textFill>
              </w:rPr>
              <w:t>3</w:t>
            </w:r>
            <w:r>
              <w:rPr>
                <w:rFonts w:hint="eastAsia" w:cs="Times New Roman" w:eastAsiaTheme="minorEastAsia"/>
                <w:b/>
                <w:bCs/>
                <w:color w:val="000000" w:themeColor="text1"/>
                <w:sz w:val="21"/>
                <w:szCs w:val="21"/>
                <w14:textFill>
                  <w14:solidFill>
                    <w14:schemeClr w14:val="tx1"/>
                  </w14:solidFill>
                </w14:textFill>
              </w:rPr>
              <w:t xml:space="preserve">  本项目产品方案一览表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4856"/>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pct"/>
                  <w:noWrap w:val="0"/>
                  <w:vAlign w:val="center"/>
                </w:tcPr>
                <w:p>
                  <w:pPr>
                    <w:pStyle w:val="41"/>
                    <w:rPr>
                      <w:rFonts w:hint="eastAsia" w:ascii="Times New Roman" w:hAnsi="Times New Roman" w:eastAsiaTheme="minorEastAsia"/>
                      <w:color w:val="000000" w:themeColor="text1"/>
                      <w:kern w:val="2"/>
                      <w:lang w:val="en-US" w:eastAsia="zh-CN"/>
                      <w14:textFill>
                        <w14:solidFill>
                          <w14:schemeClr w14:val="tx1"/>
                        </w14:solidFill>
                      </w14:textFill>
                    </w:rPr>
                  </w:pPr>
                  <w:r>
                    <w:rPr>
                      <w:rFonts w:hint="eastAsia" w:ascii="Times New Roman" w:hAnsi="Times New Roman" w:eastAsiaTheme="minorEastAsia"/>
                      <w:color w:val="000000" w:themeColor="text1"/>
                      <w:kern w:val="2"/>
                      <w:lang w:val="zh-CN" w:eastAsia="zh-CN"/>
                      <w14:textFill>
                        <w14:solidFill>
                          <w14:schemeClr w14:val="tx1"/>
                        </w14:solidFill>
                      </w14:textFill>
                    </w:rPr>
                    <w:t>序号</w:t>
                  </w:r>
                </w:p>
              </w:tc>
              <w:tc>
                <w:tcPr>
                  <w:tcW w:w="2694" w:type="pct"/>
                  <w:noWrap w:val="0"/>
                  <w:vAlign w:val="center"/>
                </w:tcPr>
                <w:p>
                  <w:pPr>
                    <w:pStyle w:val="41"/>
                    <w:rPr>
                      <w:rFonts w:hint="eastAsia" w:ascii="Times New Roman" w:hAnsi="Times New Roman" w:eastAsiaTheme="minorEastAsia"/>
                      <w:color w:val="000000" w:themeColor="text1"/>
                      <w:kern w:val="2"/>
                      <w:lang w:val="en-US" w:eastAsia="zh-CN"/>
                      <w14:textFill>
                        <w14:solidFill>
                          <w14:schemeClr w14:val="tx1"/>
                        </w14:solidFill>
                      </w14:textFill>
                    </w:rPr>
                  </w:pPr>
                  <w:r>
                    <w:rPr>
                      <w:rFonts w:hint="eastAsia" w:ascii="Times New Roman" w:hAnsi="Times New Roman" w:eastAsiaTheme="minorEastAsia"/>
                      <w:color w:val="000000" w:themeColor="text1"/>
                      <w:kern w:val="2"/>
                      <w:lang w:val="en-US" w:eastAsia="zh-CN"/>
                      <w14:textFill>
                        <w14:solidFill>
                          <w14:schemeClr w14:val="tx1"/>
                        </w14:solidFill>
                      </w14:textFill>
                    </w:rPr>
                    <w:t>产品名称</w:t>
                  </w:r>
                </w:p>
              </w:tc>
              <w:tc>
                <w:tcPr>
                  <w:tcW w:w="1629" w:type="pct"/>
                  <w:noWrap w:val="0"/>
                  <w:vAlign w:val="center"/>
                </w:tcPr>
                <w:p>
                  <w:pPr>
                    <w:pStyle w:val="41"/>
                    <w:rPr>
                      <w:rFonts w:hint="eastAsia" w:ascii="Times New Roman" w:hAnsi="Times New Roman" w:eastAsiaTheme="minorEastAsia"/>
                      <w:color w:val="000000" w:themeColor="text1"/>
                      <w:kern w:val="2"/>
                      <w:lang w:val="en-US" w:eastAsia="zh-CN"/>
                      <w14:textFill>
                        <w14:solidFill>
                          <w14:schemeClr w14:val="tx1"/>
                        </w14:solidFill>
                      </w14:textFill>
                    </w:rPr>
                  </w:pPr>
                  <w:r>
                    <w:rPr>
                      <w:rFonts w:hint="eastAsia" w:ascii="Times New Roman" w:hAnsi="Times New Roman" w:eastAsiaTheme="minorEastAsia"/>
                      <w:color w:val="000000" w:themeColor="text1"/>
                      <w:kern w:val="2"/>
                      <w:lang w:val="en-US" w:eastAsia="zh-CN"/>
                      <w14:textFill>
                        <w14:solidFill>
                          <w14:schemeClr w14:val="tx1"/>
                        </w14:solidFill>
                      </w14:textFill>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6" w:type="pct"/>
                  <w:noWrap w:val="0"/>
                  <w:vAlign w:val="center"/>
                </w:tcPr>
                <w:p>
                  <w:pPr>
                    <w:pStyle w:val="41"/>
                    <w:rPr>
                      <w:rFonts w:hint="eastAsia" w:ascii="Times New Roman" w:hAnsi="Times New Roman" w:eastAsiaTheme="minorEastAsia"/>
                      <w:color w:val="000000" w:themeColor="text1"/>
                      <w:kern w:val="2"/>
                      <w:lang w:val="en-US" w:eastAsia="zh-CN"/>
                      <w14:textFill>
                        <w14:solidFill>
                          <w14:schemeClr w14:val="tx1"/>
                        </w14:solidFill>
                      </w14:textFill>
                    </w:rPr>
                  </w:pPr>
                  <w:r>
                    <w:rPr>
                      <w:rFonts w:hint="eastAsia" w:ascii="Times New Roman" w:hAnsi="Times New Roman" w:eastAsiaTheme="minorEastAsia"/>
                      <w:color w:val="000000" w:themeColor="text1"/>
                      <w:kern w:val="2"/>
                      <w:lang w:val="en-US" w:eastAsia="zh-CN"/>
                      <w14:textFill>
                        <w14:solidFill>
                          <w14:schemeClr w14:val="tx1"/>
                        </w14:solidFill>
                      </w14:textFill>
                    </w:rPr>
                    <w:t>1</w:t>
                  </w:r>
                </w:p>
              </w:tc>
              <w:tc>
                <w:tcPr>
                  <w:tcW w:w="2694" w:type="pct"/>
                  <w:noWrap w:val="0"/>
                  <w:vAlign w:val="center"/>
                </w:tcPr>
                <w:p>
                  <w:pPr>
                    <w:pStyle w:val="41"/>
                    <w:rPr>
                      <w:rFonts w:hint="eastAsia" w:ascii="Times New Roman" w:hAnsi="Times New Roman" w:eastAsiaTheme="minorEastAsia"/>
                      <w:color w:val="000000" w:themeColor="text1"/>
                      <w:kern w:val="2"/>
                      <w:lang w:val="en-US" w:eastAsia="zh-CN"/>
                      <w14:textFill>
                        <w14:solidFill>
                          <w14:schemeClr w14:val="tx1"/>
                        </w14:solidFill>
                      </w14:textFill>
                    </w:rPr>
                  </w:pPr>
                  <w:r>
                    <w:rPr>
                      <w:rFonts w:hint="eastAsia" w:ascii="Times New Roman" w:hAnsi="Times New Roman" w:eastAsiaTheme="minorEastAsia"/>
                      <w:color w:val="000000" w:themeColor="text1"/>
                      <w:kern w:val="2"/>
                      <w:lang w:val="en-US" w:eastAsia="zh-CN"/>
                      <w14:textFill>
                        <w14:solidFill>
                          <w14:schemeClr w14:val="tx1"/>
                        </w14:solidFill>
                      </w14:textFill>
                    </w:rPr>
                    <w:t>平板钢化玻璃</w:t>
                  </w:r>
                </w:p>
              </w:tc>
              <w:tc>
                <w:tcPr>
                  <w:tcW w:w="1629" w:type="pct"/>
                  <w:noWrap w:val="0"/>
                  <w:vAlign w:val="center"/>
                </w:tcPr>
                <w:p>
                  <w:pPr>
                    <w:pStyle w:val="41"/>
                    <w:rPr>
                      <w:rFonts w:hint="eastAsia" w:ascii="Times New Roman" w:hAnsi="Times New Roman" w:eastAsiaTheme="minorEastAsia"/>
                      <w:color w:val="000000" w:themeColor="text1"/>
                      <w:kern w:val="2"/>
                      <w:lang w:val="en-US" w:eastAsia="zh-CN"/>
                      <w14:textFill>
                        <w14:solidFill>
                          <w14:schemeClr w14:val="tx1"/>
                        </w14:solidFill>
                      </w14:textFill>
                    </w:rPr>
                  </w:pPr>
                  <w:r>
                    <w:rPr>
                      <w:rFonts w:hint="eastAsia" w:ascii="Times New Roman" w:hAnsi="Times New Roman" w:eastAsiaTheme="minorEastAsia"/>
                      <w:color w:val="000000" w:themeColor="text1"/>
                      <w:kern w:val="2"/>
                      <w:lang w:val="en-US" w:eastAsia="zh-CN"/>
                      <w14:textFill>
                        <w14:solidFill>
                          <w14:schemeClr w14:val="tx1"/>
                        </w14:solidFill>
                      </w14:textFill>
                    </w:rPr>
                    <w:t>10万片</w:t>
                  </w:r>
                </w:p>
              </w:tc>
            </w:tr>
          </w:tbl>
          <w:p>
            <w:pPr>
              <w:pStyle w:val="22"/>
              <w:widowControl w:val="0"/>
              <w:spacing w:after="0" w:line="360" w:lineRule="auto"/>
              <w:ind w:left="0" w:leftChars="0" w:firstLine="0" w:firstLineChars="0"/>
              <w:jc w:val="both"/>
              <w:rPr>
                <w:rFonts w:hint="eastAsia" w:hAnsi="宋体" w:asciiTheme="minorHAnsi" w:eastAsiaTheme="minorEastAsia" w:cstheme="minorBidi"/>
                <w:b/>
                <w:bCs/>
                <w:kern w:val="2"/>
                <w:sz w:val="24"/>
                <w:szCs w:val="24"/>
                <w:lang w:val="en-US" w:eastAsia="zh-CN" w:bidi="ar-SA"/>
              </w:rPr>
            </w:pPr>
            <w:bookmarkStart w:id="9" w:name="_Toc14571"/>
            <w:r>
              <w:rPr>
                <w:rFonts w:hint="eastAsia" w:hAnsi="宋体" w:asciiTheme="minorHAnsi" w:eastAsiaTheme="minorEastAsia" w:cstheme="minorBidi"/>
                <w:b/>
                <w:bCs/>
                <w:kern w:val="2"/>
                <w:sz w:val="24"/>
                <w:szCs w:val="24"/>
                <w:lang w:val="en-US" w:eastAsia="zh-CN" w:bidi="ar-SA"/>
              </w:rPr>
              <w:t>建设内容及规模变更情况</w:t>
            </w:r>
          </w:p>
          <w:p>
            <w:pPr>
              <w:pStyle w:val="12"/>
              <w:widowControl w:val="0"/>
              <w:spacing w:line="360" w:lineRule="auto"/>
              <w:ind w:firstLine="472" w:firstLineChars="20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重庆美豪汽车玻璃有限公司</w:t>
            </w:r>
            <w:r>
              <w:rPr>
                <w:rFonts w:hint="default" w:ascii="Times New Roman" w:hAnsi="Times New Roman" w:eastAsia="宋体" w:cs="Times New Roman"/>
                <w:color w:val="auto"/>
                <w:sz w:val="24"/>
                <w:szCs w:val="24"/>
                <w:lang w:val="en-US" w:eastAsia="zh-CN"/>
              </w:rPr>
              <w:t>年产30万片汽车挡风玻璃项目建设内容及规模与环评和批复相比，</w:t>
            </w:r>
            <w:r>
              <w:rPr>
                <w:rFonts w:hint="eastAsia" w:ascii="Times New Roman" w:hAnsi="Times New Roman" w:eastAsia="宋体" w:cs="Times New Roman"/>
                <w:color w:val="auto"/>
                <w:sz w:val="24"/>
                <w:szCs w:val="24"/>
                <w:lang w:val="en-US" w:eastAsia="zh-CN"/>
              </w:rPr>
              <w:t>变化情况如下：</w:t>
            </w:r>
          </w:p>
          <w:p>
            <w:pPr>
              <w:pStyle w:val="12"/>
              <w:widowControl w:val="0"/>
              <w:numPr>
                <w:ilvl w:val="0"/>
                <w:numId w:val="4"/>
              </w:numPr>
              <w:ind w:firstLine="472" w:firstLineChars="200"/>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项目未上丝网印刷、热弯成型工序，不产生印刷废气；项目未上清洗工序，不产生清洗废水。</w:t>
            </w:r>
          </w:p>
          <w:p>
            <w:pPr>
              <w:pStyle w:val="12"/>
              <w:widowControl w:val="0"/>
              <w:numPr>
                <w:ilvl w:val="0"/>
                <w:numId w:val="4"/>
              </w:numPr>
              <w:ind w:firstLine="472" w:firstLineChars="200"/>
              <w:jc w:val="both"/>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由于市场原因，项目仅建成1条钢化玻璃生产线。其余生产线待建成后验收。</w:t>
            </w:r>
          </w:p>
          <w:p>
            <w:pPr>
              <w:pStyle w:val="12"/>
              <w:widowControl w:val="0"/>
              <w:numPr>
                <w:ilvl w:val="0"/>
                <w:numId w:val="4"/>
              </w:numPr>
              <w:ind w:firstLine="472" w:firstLineChars="200"/>
              <w:jc w:val="both"/>
              <w:rPr>
                <w:rFonts w:hint="default" w:ascii="Times New Roman" w:hAnsi="Times New Roman" w:eastAsia="宋体" w:cs="Times New Roman"/>
                <w:color w:val="0000FF"/>
                <w:sz w:val="24"/>
                <w:szCs w:val="24"/>
                <w:lang w:val="en-US" w:eastAsia="zh-CN"/>
              </w:rPr>
            </w:pPr>
            <w:r>
              <w:rPr>
                <w:rFonts w:hint="eastAsia"/>
                <w:color w:val="0000FF"/>
                <w:lang w:eastAsia="zh-CN"/>
              </w:rPr>
              <w:t>产品由汽车玻璃变为平板钢化玻璃。产品用途变更，但是工艺、原材料，产品的属性未变，不属于重大变更。</w:t>
            </w:r>
          </w:p>
          <w:p>
            <w:pPr>
              <w:pStyle w:val="12"/>
              <w:widowControl w:val="0"/>
              <w:ind w:firstLine="472"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关于印发《污染影响类建设项目重大变动清单（试行）》的通知，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pStyle w:val="12"/>
              <w:widowControl w:val="0"/>
              <w:ind w:firstLine="472" w:firstLineChars="200"/>
              <w:jc w:val="both"/>
              <w:rPr>
                <w:color w:val="auto"/>
              </w:rPr>
            </w:pPr>
            <w:r>
              <w:rPr>
                <w:rFonts w:hint="default" w:ascii="Times New Roman" w:hAnsi="Times New Roman" w:eastAsia="宋体" w:cs="Times New Roman"/>
                <w:color w:val="auto"/>
                <w:sz w:val="24"/>
                <w:szCs w:val="24"/>
                <w:lang w:val="en-US" w:eastAsia="zh-CN"/>
              </w:rPr>
              <w:t>本验收项目的性质、规模、地点、生产工艺和环境保护措施未发生重大变动，因此，本验收项目的变更内容不属于重大变动，可纳入竣工环境保护验收管理。</w:t>
            </w:r>
          </w:p>
          <w:p>
            <w:pPr>
              <w:pStyle w:val="3"/>
              <w:keepNext w:val="0"/>
              <w:keepLines w:val="0"/>
              <w:widowControl w:val="0"/>
              <w:numPr>
                <w:ilvl w:val="1"/>
                <w:numId w:val="3"/>
              </w:numPr>
              <w:tabs>
                <w:tab w:val="left" w:pos="636"/>
                <w:tab w:val="clear" w:pos="541"/>
                <w:tab w:val="clear" w:pos="576"/>
              </w:tabs>
              <w:autoSpaceDE w:val="0"/>
              <w:autoSpaceDN w:val="0"/>
              <w:adjustRightInd/>
              <w:snapToGrid/>
              <w:spacing w:before="223" w:after="0" w:line="360" w:lineRule="auto"/>
              <w:ind w:left="636" w:right="0" w:hanging="361"/>
              <w:jc w:val="left"/>
              <w:outlineLvl w:val="2"/>
              <w:rPr>
                <w:rFonts w:hint="default" w:ascii="宋体" w:hAnsi="宋体" w:eastAsia="宋体" w:cs="宋体"/>
                <w:bCs/>
                <w:sz w:val="24"/>
                <w:szCs w:val="24"/>
                <w:lang w:val="en-US" w:eastAsia="zh-CN" w:bidi="zh-CN"/>
              </w:rPr>
            </w:pPr>
            <w:r>
              <w:rPr>
                <w:rFonts w:hint="default" w:ascii="宋体" w:hAnsi="宋体" w:eastAsia="宋体" w:cs="宋体"/>
                <w:bCs/>
                <w:sz w:val="24"/>
                <w:szCs w:val="24"/>
                <w:lang w:val="en-US" w:eastAsia="zh-CN" w:bidi="zh-CN"/>
              </w:rPr>
              <w:t>主要原辅材料</w:t>
            </w:r>
            <w:bookmarkEnd w:id="8"/>
            <w:bookmarkEnd w:id="9"/>
          </w:p>
          <w:p>
            <w:pPr>
              <w:widowControl w:val="0"/>
              <w:spacing w:line="360" w:lineRule="auto"/>
              <w:ind w:firstLine="480" w:firstLineChars="200"/>
              <w:jc w:val="both"/>
            </w:pPr>
            <w:r>
              <w:rPr>
                <w:rFonts w:hint="eastAsia"/>
                <w:lang w:eastAsia="zh-CN"/>
              </w:rPr>
              <w:t>项目</w:t>
            </w:r>
            <w:r>
              <w:rPr>
                <w:rFonts w:hint="eastAsia"/>
              </w:rPr>
              <w:t>主要原材料为玻璃原片</w:t>
            </w:r>
            <w:r>
              <w:rPr>
                <w:rFonts w:hint="eastAsia"/>
                <w:lang w:eastAsia="zh-CN"/>
              </w:rPr>
              <w:t>，</w:t>
            </w:r>
            <w:r>
              <w:rPr>
                <w:rFonts w:hint="eastAsia"/>
              </w:rPr>
              <w:t>根据业主提供</w:t>
            </w:r>
            <w:r>
              <w:rPr>
                <w:rFonts w:hint="eastAsia"/>
                <w:lang w:val="en-US" w:eastAsia="zh-CN"/>
              </w:rPr>
              <w:t>该企业运营阶段时的</w:t>
            </w:r>
            <w:r>
              <w:rPr>
                <w:rFonts w:hint="eastAsia"/>
              </w:rPr>
              <w:t>原辅材料消耗情况，实际</w:t>
            </w:r>
            <w:r>
              <w:t>原辅材料消耗</w:t>
            </w:r>
            <w:r>
              <w:rPr>
                <w:rFonts w:hint="eastAsia"/>
              </w:rPr>
              <w:t>量见</w:t>
            </w:r>
            <w:r>
              <w:t>表</w:t>
            </w:r>
            <w:r>
              <w:rPr>
                <w:rFonts w:hint="eastAsia"/>
              </w:rPr>
              <w:t>3-</w:t>
            </w:r>
            <w:r>
              <w:rPr>
                <w:rFonts w:hint="eastAsia"/>
                <w:lang w:val="en-US" w:eastAsia="zh-CN"/>
              </w:rPr>
              <w:t>5</w:t>
            </w:r>
            <w:r>
              <w:t>。</w:t>
            </w:r>
          </w:p>
          <w:p>
            <w:pPr>
              <w:widowControl w:val="0"/>
              <w:jc w:val="both"/>
            </w:pPr>
            <w:r>
              <w:rPr>
                <w:rFonts w:cs="Times New Roman" w:eastAsiaTheme="minorEastAsia"/>
                <w:b/>
                <w:bCs/>
                <w:sz w:val="21"/>
                <w:szCs w:val="21"/>
              </w:rPr>
              <w:t>表3</w:t>
            </w:r>
            <w:r>
              <w:rPr>
                <w:rFonts w:hint="eastAsia" w:cs="Times New Roman" w:eastAsiaTheme="minorEastAsia"/>
                <w:b/>
                <w:bCs/>
                <w:sz w:val="21"/>
                <w:szCs w:val="21"/>
              </w:rPr>
              <w:t>-</w:t>
            </w:r>
            <w:r>
              <w:rPr>
                <w:rFonts w:hint="eastAsia" w:cs="Times New Roman" w:eastAsiaTheme="minorEastAsia"/>
                <w:b/>
                <w:bCs/>
                <w:sz w:val="21"/>
                <w:szCs w:val="21"/>
                <w:lang w:val="en-US" w:eastAsia="zh-CN"/>
              </w:rPr>
              <w:t>5</w:t>
            </w:r>
            <w:r>
              <w:rPr>
                <w:rFonts w:cs="Times New Roman" w:eastAsiaTheme="minorEastAsia"/>
                <w:b/>
                <w:bCs/>
                <w:sz w:val="21"/>
                <w:szCs w:val="21"/>
              </w:rPr>
              <w:t xml:space="preserve">    </w:t>
            </w:r>
            <w:r>
              <w:rPr>
                <w:rFonts w:hint="eastAsia" w:cs="Times New Roman" w:eastAsiaTheme="minorEastAsia"/>
                <w:b/>
                <w:bCs/>
                <w:sz w:val="21"/>
                <w:szCs w:val="21"/>
                <w:lang w:val="en-US" w:eastAsia="zh-CN"/>
              </w:rPr>
              <w:t>项目</w:t>
            </w:r>
            <w:r>
              <w:rPr>
                <w:rFonts w:cs="Times New Roman" w:eastAsiaTheme="minorEastAsia"/>
                <w:b/>
                <w:bCs/>
                <w:sz w:val="21"/>
                <w:szCs w:val="21"/>
              </w:rPr>
              <w:t>主要原辅材料消耗一览表</w:t>
            </w:r>
            <w:r>
              <w:rPr>
                <w:sz w:val="28"/>
                <w:szCs w:val="28"/>
              </w:rPr>
              <w:t>墨。</w:t>
            </w:r>
          </w:p>
          <w:tbl>
            <w:tblPr>
              <w:tblStyle w:val="87"/>
              <w:tblW w:w="500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7"/>
              <w:gridCol w:w="2940"/>
              <w:gridCol w:w="1019"/>
              <w:gridCol w:w="1037"/>
              <w:gridCol w:w="3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14" w:type="pct"/>
                  <w:tcBorders>
                    <w:top w:val="single" w:color="auto" w:sz="4" w:space="0"/>
                    <w:left w:val="single" w:color="auto" w:sz="0"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序号</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名称</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单位</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年消耗量</w:t>
                  </w:r>
                </w:p>
              </w:tc>
              <w:tc>
                <w:tcPr>
                  <w:tcW w:w="1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w:t>
                  </w:r>
                  <w:r>
                    <w:rPr>
                      <w:rFonts w:hint="eastAsia" w:ascii="Times New Roman" w:hAnsi="Times New Roman" w:eastAsia="宋体" w:cs="Times New Roman"/>
                      <w:b w:val="0"/>
                      <w:bCs w:val="0"/>
                      <w:color w:val="auto"/>
                      <w:kern w:val="0"/>
                      <w:sz w:val="21"/>
                      <w:szCs w:val="21"/>
                      <w:lang w:val="en-US" w:eastAsia="zh-CN"/>
                    </w:rPr>
                    <w:t>一</w:t>
                  </w:r>
                  <w:r>
                    <w:rPr>
                      <w:rFonts w:hint="eastAsia" w:cs="Times New Roman"/>
                      <w:b w:val="0"/>
                      <w:bCs w:val="0"/>
                      <w:color w:val="auto"/>
                      <w:kern w:val="0"/>
                      <w:sz w:val="21"/>
                      <w:szCs w:val="21"/>
                      <w:lang w:val="en-US" w:eastAsia="zh-CN"/>
                    </w:rPr>
                    <w:t>）</w:t>
                  </w:r>
                </w:p>
              </w:tc>
              <w:tc>
                <w:tcPr>
                  <w:tcW w:w="4485"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原材料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浮法玻璃原片</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万 m</w:t>
                  </w:r>
                  <w:r>
                    <w:rPr>
                      <w:rFonts w:hint="eastAsia" w:ascii="Times New Roman" w:hAnsi="Times New Roman" w:eastAsia="宋体" w:cs="Times New Roman"/>
                      <w:b w:val="0"/>
                      <w:bCs w:val="0"/>
                      <w:color w:val="auto"/>
                      <w:kern w:val="0"/>
                      <w:sz w:val="21"/>
                      <w:szCs w:val="21"/>
                      <w:vertAlign w:val="superscript"/>
                      <w:lang w:val="en-US" w:eastAsia="zh-CN"/>
                    </w:rPr>
                    <w:t>2</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w:t>
                  </w:r>
                  <w:r>
                    <w:rPr>
                      <w:rFonts w:hint="eastAsia" w:ascii="Times New Roman" w:hAnsi="Times New Roman" w:eastAsia="宋体" w:cs="Times New Roman"/>
                      <w:b w:val="0"/>
                      <w:bCs w:val="0"/>
                      <w:color w:val="auto"/>
                      <w:kern w:val="0"/>
                      <w:sz w:val="21"/>
                      <w:szCs w:val="21"/>
                      <w:lang w:val="en-US" w:eastAsia="zh-CN"/>
                    </w:rPr>
                    <w:t>0</w:t>
                  </w:r>
                </w:p>
              </w:tc>
              <w:tc>
                <w:tcPr>
                  <w:tcW w:w="1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来自福耀玻璃，为白 色，厚度为2mm、3.5mm、5mm,尺寸</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为2200×1650mm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包装物</w:t>
                  </w:r>
                  <w:r>
                    <w:rPr>
                      <w:rFonts w:hint="eastAsia" w:eastAsia="宋体" w:cs="Times New Roman"/>
                      <w:b w:val="0"/>
                      <w:bCs w:val="0"/>
                      <w:color w:val="auto"/>
                      <w:kern w:val="0"/>
                      <w:sz w:val="21"/>
                      <w:szCs w:val="21"/>
                      <w:lang w:val="en-US" w:eastAsia="zh-CN"/>
                    </w:rPr>
                    <w:t>（</w:t>
                  </w:r>
                  <w:r>
                    <w:rPr>
                      <w:rFonts w:hint="eastAsia" w:ascii="Times New Roman" w:hAnsi="Times New Roman" w:eastAsia="宋体" w:cs="Times New Roman"/>
                      <w:b w:val="0"/>
                      <w:bCs w:val="0"/>
                      <w:color w:val="auto"/>
                      <w:kern w:val="0"/>
                      <w:sz w:val="21"/>
                      <w:szCs w:val="21"/>
                      <w:lang w:val="en-US" w:eastAsia="zh-CN"/>
                    </w:rPr>
                    <w:t>木片架</w:t>
                  </w:r>
                  <w:r>
                    <w:rPr>
                      <w:rFonts w:hint="eastAsia" w:eastAsia="宋体" w:cs="Times New Roman"/>
                      <w:b w:val="0"/>
                      <w:bCs w:val="0"/>
                      <w:color w:val="auto"/>
                      <w:kern w:val="0"/>
                      <w:sz w:val="21"/>
                      <w:szCs w:val="21"/>
                      <w:lang w:val="en-US" w:eastAsia="zh-CN"/>
                    </w:rPr>
                    <w:t>）</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个</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w:t>
                  </w:r>
                  <w:r>
                    <w:rPr>
                      <w:rFonts w:hint="eastAsia" w:ascii="Times New Roman" w:hAnsi="Times New Roman" w:eastAsia="宋体" w:cs="Times New Roman"/>
                      <w:b w:val="0"/>
                      <w:bCs w:val="0"/>
                      <w:color w:val="auto"/>
                      <w:kern w:val="0"/>
                      <w:sz w:val="21"/>
                      <w:szCs w:val="21"/>
                      <w:lang w:val="en-US" w:eastAsia="zh-CN"/>
                    </w:rPr>
                    <w:t>0万个</w:t>
                  </w:r>
                </w:p>
              </w:tc>
              <w:tc>
                <w:tcPr>
                  <w:tcW w:w="1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w:t>
                  </w:r>
                  <w:r>
                    <w:rPr>
                      <w:rFonts w:hint="eastAsia" w:ascii="Times New Roman" w:hAnsi="Times New Roman" w:eastAsia="宋体" w:cs="Times New Roman"/>
                      <w:b w:val="0"/>
                      <w:bCs w:val="0"/>
                      <w:color w:val="auto"/>
                      <w:kern w:val="0"/>
                      <w:sz w:val="21"/>
                      <w:szCs w:val="21"/>
                      <w:lang w:val="en-US" w:eastAsia="zh-CN"/>
                    </w:rPr>
                    <w:t>二</w:t>
                  </w:r>
                  <w:r>
                    <w:rPr>
                      <w:rFonts w:hint="eastAsia" w:cs="Times New Roman"/>
                      <w:b w:val="0"/>
                      <w:bCs w:val="0"/>
                      <w:color w:val="auto"/>
                      <w:kern w:val="0"/>
                      <w:sz w:val="21"/>
                      <w:szCs w:val="21"/>
                      <w:lang w:val="en-US" w:eastAsia="zh-CN"/>
                    </w:rPr>
                    <w:t>）</w:t>
                  </w:r>
                </w:p>
              </w:tc>
              <w:tc>
                <w:tcPr>
                  <w:tcW w:w="4485"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舌片</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万片</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w:t>
                  </w:r>
                  <w:r>
                    <w:rPr>
                      <w:rFonts w:hint="eastAsia" w:ascii="Times New Roman" w:hAnsi="Times New Roman" w:eastAsia="宋体" w:cs="Times New Roman"/>
                      <w:b w:val="0"/>
                      <w:bCs w:val="0"/>
                      <w:color w:val="auto"/>
                      <w:kern w:val="0"/>
                      <w:sz w:val="21"/>
                      <w:szCs w:val="21"/>
                      <w:lang w:val="en-US" w:eastAsia="zh-CN"/>
                    </w:rPr>
                    <w:t>0</w:t>
                  </w:r>
                </w:p>
              </w:tc>
              <w:tc>
                <w:tcPr>
                  <w:tcW w:w="171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边窗玻璃附件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2</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底座</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万个</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4</w:t>
                  </w:r>
                </w:p>
              </w:tc>
              <w:tc>
                <w:tcPr>
                  <w:tcW w:w="171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3</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托架</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万个</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5</w:t>
                  </w:r>
                </w:p>
              </w:tc>
              <w:tc>
                <w:tcPr>
                  <w:tcW w:w="171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4</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包边条</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万m</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w:t>
                  </w:r>
                  <w:r>
                    <w:rPr>
                      <w:rFonts w:hint="eastAsia" w:ascii="Times New Roman" w:hAnsi="Times New Roman" w:eastAsia="宋体" w:cs="Times New Roman"/>
                      <w:b w:val="0"/>
                      <w:bCs w:val="0"/>
                      <w:color w:val="auto"/>
                      <w:kern w:val="0"/>
                      <w:sz w:val="21"/>
                      <w:szCs w:val="21"/>
                      <w:lang w:val="en-US" w:eastAsia="zh-CN"/>
                    </w:rPr>
                    <w:t>0</w:t>
                  </w:r>
                </w:p>
              </w:tc>
              <w:tc>
                <w:tcPr>
                  <w:tcW w:w="171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w:t>
                  </w:r>
                  <w:r>
                    <w:rPr>
                      <w:rFonts w:hint="eastAsia" w:ascii="Times New Roman" w:hAnsi="Times New Roman" w:eastAsia="宋体" w:cs="Times New Roman"/>
                      <w:b w:val="0"/>
                      <w:bCs w:val="0"/>
                      <w:color w:val="auto"/>
                      <w:kern w:val="0"/>
                      <w:sz w:val="21"/>
                      <w:szCs w:val="21"/>
                      <w:lang w:val="en-US" w:eastAsia="zh-CN"/>
                    </w:rPr>
                    <w:t>三</w:t>
                  </w:r>
                  <w:r>
                    <w:rPr>
                      <w:rFonts w:hint="eastAsia" w:cs="Times New Roman"/>
                      <w:b w:val="0"/>
                      <w:bCs w:val="0"/>
                      <w:color w:val="auto"/>
                      <w:kern w:val="0"/>
                      <w:sz w:val="21"/>
                      <w:szCs w:val="21"/>
                      <w:lang w:val="en-US" w:eastAsia="zh-CN"/>
                    </w:rPr>
                    <w:t>）</w:t>
                  </w:r>
                </w:p>
              </w:tc>
              <w:tc>
                <w:tcPr>
                  <w:tcW w:w="4485"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动能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水</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 xml:space="preserve"> m</w:t>
                  </w:r>
                  <w:r>
                    <w:rPr>
                      <w:rFonts w:hint="eastAsia" w:eastAsia="宋体" w:cs="Times New Roman"/>
                      <w:b w:val="0"/>
                      <w:bCs w:val="0"/>
                      <w:color w:val="auto"/>
                      <w:kern w:val="0"/>
                      <w:sz w:val="21"/>
                      <w:szCs w:val="21"/>
                      <w:vertAlign w:val="superscript"/>
                      <w:lang w:val="en-US" w:eastAsia="zh-CN"/>
                    </w:rPr>
                    <w:t>3</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1200</w:t>
                  </w:r>
                </w:p>
              </w:tc>
              <w:tc>
                <w:tcPr>
                  <w:tcW w:w="1718"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ordWrap/>
                    <w:topLinePunct w:val="0"/>
                    <w:bidi w:val="0"/>
                    <w:spacing w:beforeLines="0" w:afterLines="0" w:line="240" w:lineRule="auto"/>
                    <w:ind w:left="0" w:leftChars="0"/>
                    <w:jc w:val="center"/>
                    <w:rPr>
                      <w:rFonts w:hint="eastAsia"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color w:val="auto"/>
                      <w:sz w:val="21"/>
                      <w:szCs w:val="21"/>
                    </w:rPr>
                    <w:t>市政给水管网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2</w:t>
                  </w:r>
                </w:p>
              </w:tc>
              <w:tc>
                <w:tcPr>
                  <w:tcW w:w="16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电</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万kwh</w:t>
                  </w:r>
                </w:p>
              </w:tc>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w:t>
                  </w:r>
                </w:p>
              </w:tc>
              <w:tc>
                <w:tcPr>
                  <w:tcW w:w="1718"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ordWrap/>
                    <w:topLinePunct w:val="0"/>
                    <w:bidi w:val="0"/>
                    <w:spacing w:beforeLines="0" w:afterLines="0" w:line="240" w:lineRule="auto"/>
                    <w:ind w:left="0" w:leftChars="0"/>
                    <w:jc w:val="center"/>
                    <w:rPr>
                      <w:rFonts w:hint="eastAsia"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color w:val="auto"/>
                      <w:sz w:val="21"/>
                      <w:szCs w:val="21"/>
                    </w:rPr>
                    <w:t>市政电网</w:t>
                  </w:r>
                </w:p>
              </w:tc>
            </w:tr>
          </w:tbl>
          <w:p>
            <w:pPr>
              <w:pStyle w:val="3"/>
              <w:keepNext w:val="0"/>
              <w:keepLines w:val="0"/>
              <w:widowControl w:val="0"/>
              <w:numPr>
                <w:ilvl w:val="1"/>
                <w:numId w:val="3"/>
              </w:numPr>
              <w:tabs>
                <w:tab w:val="left" w:pos="636"/>
                <w:tab w:val="clear" w:pos="541"/>
                <w:tab w:val="clear" w:pos="576"/>
              </w:tabs>
              <w:autoSpaceDE w:val="0"/>
              <w:autoSpaceDN w:val="0"/>
              <w:adjustRightInd/>
              <w:snapToGrid/>
              <w:spacing w:before="223" w:after="0" w:line="360" w:lineRule="auto"/>
              <w:ind w:left="636" w:right="0" w:hanging="361"/>
              <w:jc w:val="left"/>
              <w:outlineLvl w:val="2"/>
              <w:rPr>
                <w:rFonts w:hint="default" w:ascii="宋体" w:hAnsi="宋体" w:eastAsia="宋体" w:cs="宋体"/>
                <w:bCs/>
                <w:sz w:val="24"/>
                <w:szCs w:val="24"/>
                <w:lang w:val="en-US" w:eastAsia="zh-CN" w:bidi="zh-CN"/>
              </w:rPr>
            </w:pPr>
            <w:bookmarkStart w:id="10" w:name="_Toc3418"/>
            <w:r>
              <w:rPr>
                <w:rFonts w:hint="default" w:ascii="宋体" w:hAnsi="宋体" w:eastAsia="宋体" w:cs="宋体"/>
                <w:bCs/>
                <w:sz w:val="24"/>
                <w:szCs w:val="24"/>
                <w:lang w:val="en-US" w:eastAsia="zh-CN" w:bidi="zh-CN"/>
              </w:rPr>
              <w:t>主要生产设备</w:t>
            </w:r>
            <w:bookmarkEnd w:id="10"/>
          </w:p>
          <w:p>
            <w:pPr>
              <w:widowControl w:val="0"/>
              <w:ind w:firstLine="480" w:firstLineChars="200"/>
              <w:jc w:val="both"/>
            </w:pPr>
            <w:bookmarkStart w:id="11" w:name="_Toc497833575"/>
            <w:r>
              <w:t>主要设备配置情况见表3</w:t>
            </w:r>
            <w:r>
              <w:rPr>
                <w:rFonts w:hint="eastAsia"/>
              </w:rPr>
              <w:t>-</w:t>
            </w:r>
            <w:r>
              <w:rPr>
                <w:rFonts w:hint="eastAsia"/>
                <w:lang w:val="en-US" w:eastAsia="zh-CN"/>
              </w:rPr>
              <w:t>6</w:t>
            </w:r>
            <w:r>
              <w:t>。</w:t>
            </w:r>
          </w:p>
          <w:p>
            <w:pPr>
              <w:widowControl w:val="0"/>
              <w:spacing w:line="240" w:lineRule="auto"/>
              <w:jc w:val="center"/>
              <w:rPr>
                <w:rFonts w:cs="Times New Roman" w:eastAsiaTheme="minorEastAsia"/>
                <w:b/>
                <w:bCs/>
                <w:color w:val="000000" w:themeColor="text1"/>
                <w:sz w:val="21"/>
                <w:szCs w:val="21"/>
                <w14:textFill>
                  <w14:solidFill>
                    <w14:schemeClr w14:val="tx1"/>
                  </w14:solidFill>
                </w14:textFill>
              </w:rPr>
            </w:pPr>
            <w:r>
              <w:rPr>
                <w:rFonts w:cs="Times New Roman" w:eastAsiaTheme="minorEastAsia"/>
                <w:b/>
                <w:bCs/>
                <w:color w:val="000000" w:themeColor="text1"/>
                <w:sz w:val="21"/>
                <w:szCs w:val="21"/>
                <w14:textFill>
                  <w14:solidFill>
                    <w14:schemeClr w14:val="tx1"/>
                  </w14:solidFill>
                </w14:textFill>
              </w:rPr>
              <w:t>表3</w:t>
            </w:r>
            <w:r>
              <w:rPr>
                <w:rFonts w:hint="eastAsia" w:cs="Times New Roman" w:eastAsiaTheme="minorEastAsia"/>
                <w:b/>
                <w:bCs/>
                <w:color w:val="000000" w:themeColor="text1"/>
                <w:sz w:val="21"/>
                <w:szCs w:val="21"/>
                <w14:textFill>
                  <w14:solidFill>
                    <w14:schemeClr w14:val="tx1"/>
                  </w14:solidFill>
                </w14:textFill>
              </w:rPr>
              <w:t>-</w:t>
            </w:r>
            <w:r>
              <w:rPr>
                <w:rFonts w:hint="eastAsia" w:cs="Times New Roman" w:eastAsiaTheme="minorEastAsia"/>
                <w:b/>
                <w:bCs/>
                <w:color w:val="000000" w:themeColor="text1"/>
                <w:sz w:val="21"/>
                <w:szCs w:val="21"/>
                <w:lang w:val="en-US" w:eastAsia="zh-CN"/>
                <w14:textFill>
                  <w14:solidFill>
                    <w14:schemeClr w14:val="tx1"/>
                  </w14:solidFill>
                </w14:textFill>
              </w:rPr>
              <w:t>6</w:t>
            </w:r>
            <w:r>
              <w:rPr>
                <w:rFonts w:cs="Times New Roman" w:eastAsiaTheme="minorEastAsia"/>
                <w:b/>
                <w:bCs/>
                <w:color w:val="000000" w:themeColor="text1"/>
                <w:sz w:val="21"/>
                <w:szCs w:val="21"/>
                <w14:textFill>
                  <w14:solidFill>
                    <w14:schemeClr w14:val="tx1"/>
                  </w14:solidFill>
                </w14:textFill>
              </w:rPr>
              <w:t xml:space="preserve">  项目主要设备表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535"/>
              <w:gridCol w:w="1781"/>
              <w:gridCol w:w="831"/>
              <w:gridCol w:w="1487"/>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heme="minorEastAsia"/>
                      <w:b/>
                      <w:bCs/>
                      <w:kern w:val="2"/>
                      <w:lang w:val="en-US" w:eastAsia="zh-CN"/>
                    </w:rPr>
                  </w:pPr>
                  <w:r>
                    <w:rPr>
                      <w:rFonts w:hint="default" w:ascii="Times New Roman" w:hAnsi="Times New Roman" w:eastAsia="宋体" w:cs="Times New Roman"/>
                      <w:b w:val="0"/>
                      <w:bCs w:val="0"/>
                      <w:color w:val="auto"/>
                      <w:kern w:val="0"/>
                      <w:sz w:val="21"/>
                      <w:szCs w:val="21"/>
                    </w:rPr>
                    <w:t>序 号</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heme="minorEastAsia"/>
                      <w:b/>
                      <w:bCs/>
                      <w:kern w:val="2"/>
                      <w:lang w:val="en-US" w:eastAsia="zh-CN"/>
                    </w:rPr>
                  </w:pPr>
                  <w:r>
                    <w:rPr>
                      <w:rFonts w:hint="default" w:ascii="Times New Roman" w:hAnsi="Times New Roman" w:eastAsia="宋体" w:cs="Times New Roman"/>
                      <w:b w:val="0"/>
                      <w:bCs w:val="0"/>
                      <w:color w:val="auto"/>
                      <w:kern w:val="0"/>
                      <w:sz w:val="21"/>
                      <w:szCs w:val="21"/>
                    </w:rPr>
                    <w:t>设备名称</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Theme="minorEastAsia"/>
                      <w:b/>
                      <w:bCs/>
                      <w:kern w:val="2"/>
                      <w:lang w:val="en-US" w:eastAsia="zh-CN"/>
                    </w:rPr>
                  </w:pPr>
                  <w:r>
                    <w:rPr>
                      <w:rFonts w:hint="default" w:ascii="Times New Roman" w:hAnsi="Times New Roman" w:eastAsia="宋体" w:cs="Times New Roman"/>
                      <w:b w:val="0"/>
                      <w:bCs w:val="0"/>
                      <w:color w:val="auto"/>
                      <w:kern w:val="0"/>
                      <w:sz w:val="21"/>
                      <w:szCs w:val="21"/>
                    </w:rPr>
                    <w:t>型号</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Theme="minorEastAsia"/>
                      <w:b/>
                      <w:bCs/>
                      <w:kern w:val="2"/>
                      <w:lang w:val="en-US" w:eastAsia="zh-CN"/>
                    </w:rPr>
                  </w:pPr>
                  <w:r>
                    <w:rPr>
                      <w:rFonts w:hint="default" w:ascii="Times New Roman" w:hAnsi="Times New Roman" w:eastAsia="宋体" w:cs="Times New Roman"/>
                      <w:b w:val="0"/>
                      <w:bCs w:val="0"/>
                      <w:color w:val="auto"/>
                      <w:kern w:val="0"/>
                      <w:sz w:val="21"/>
                      <w:szCs w:val="21"/>
                    </w:rPr>
                    <w:t>单位</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Theme="minorEastAsia"/>
                      <w:b/>
                      <w:bCs/>
                      <w:kern w:val="2"/>
                      <w:lang w:val="en-US" w:eastAsia="zh-CN"/>
                    </w:rPr>
                  </w:pPr>
                  <w:r>
                    <w:rPr>
                      <w:rFonts w:hint="eastAsia" w:ascii="Times New Roman" w:hAnsi="Times New Roman" w:eastAsia="宋体" w:cs="Times New Roman"/>
                      <w:b w:val="0"/>
                      <w:bCs w:val="0"/>
                      <w:color w:val="auto"/>
                      <w:kern w:val="0"/>
                      <w:sz w:val="21"/>
                      <w:szCs w:val="21"/>
                      <w:lang w:eastAsia="zh-CN"/>
                    </w:rPr>
                    <w:t>环评</w:t>
                  </w:r>
                  <w:r>
                    <w:rPr>
                      <w:rFonts w:hint="default" w:ascii="Times New Roman" w:hAnsi="Times New Roman" w:eastAsia="宋体" w:cs="Times New Roman"/>
                      <w:b w:val="0"/>
                      <w:bCs w:val="0"/>
                      <w:color w:val="auto"/>
                      <w:kern w:val="0"/>
                      <w:sz w:val="21"/>
                      <w:szCs w:val="21"/>
                    </w:rPr>
                    <w:t>数量</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Theme="minorEastAsia"/>
                      <w:b/>
                      <w:bCs/>
                      <w:kern w:val="2"/>
                    </w:rPr>
                  </w:pPr>
                  <w:r>
                    <w:rPr>
                      <w:rFonts w:hint="eastAsia" w:ascii="Times New Roman" w:hAnsi="Times New Roman" w:eastAsia="宋体" w:cs="Times New Roman"/>
                      <w:b w:val="0"/>
                      <w:bCs w:val="0"/>
                      <w:color w:val="auto"/>
                      <w:kern w:val="0"/>
                      <w:sz w:val="21"/>
                      <w:szCs w:val="21"/>
                      <w:lang w:eastAsia="zh-CN"/>
                    </w:rPr>
                    <w:t>验收数量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连续热弯炉设备</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S-3G25</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2</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玻璃数控切割机</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340BCS</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3</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磨边机</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FD21B</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1</w:t>
                  </w:r>
                  <w:r>
                    <w:rPr>
                      <w:rFonts w:hint="default" w:ascii="Times New Roman" w:hAnsi="Times New Roman" w:eastAsia="宋体" w:cs="Times New Roman"/>
                      <w:b w:val="0"/>
                      <w:bCs w:val="0"/>
                      <w:color w:val="auto"/>
                      <w:kern w:val="0"/>
                      <w:sz w:val="21"/>
                      <w:szCs w:val="21"/>
                    </w:rPr>
                    <w:t>2</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bCs/>
                      <w:color w:val="auto"/>
                      <w:kern w:val="0"/>
                      <w:sz w:val="21"/>
                      <w:szCs w:val="21"/>
                      <w:lang w:val="en-US" w:eastAsia="zh-CN"/>
                    </w:rPr>
                  </w:pPr>
                  <w:r>
                    <w:rPr>
                      <w:rFonts w:hint="eastAsia" w:cs="Times New Roman"/>
                      <w:b w:val="0"/>
                      <w:bCs w:val="0"/>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4</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丝网印刷机</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JS-GL203</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5</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套料钻孔机</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ZK2100</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6</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冲击试验机</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SGH-3/12M</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7</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组装机</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6</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8</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园边机</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6</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9</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透射比测定仪</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SGT-A</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10</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准直望远镜仪</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ZWJ-851</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11</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光畸变仪</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FGG-A</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12</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碎片曝光控制仪</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SGE-A</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3</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13</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叉车</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6</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Cs/>
                      <w:color w:val="auto"/>
                      <w:kern w:val="0"/>
                      <w:sz w:val="21"/>
                      <w:szCs w:val="21"/>
                      <w:lang w:val="en-US" w:eastAsia="zh-CN"/>
                    </w:rPr>
                  </w:pPr>
                  <w:r>
                    <w:rPr>
                      <w:rFonts w:hint="eastAsia" w:cs="Times New Roman"/>
                      <w:b w:val="0"/>
                      <w:bCs w:val="0"/>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b w:val="0"/>
                      <w:bCs w:val="0"/>
                      <w:color w:val="auto"/>
                      <w:kern w:val="0"/>
                      <w:sz w:val="21"/>
                      <w:szCs w:val="21"/>
                      <w:lang w:val="en-US" w:eastAsia="zh-CN"/>
                    </w:rPr>
                    <w:t>14</w:t>
                  </w:r>
                </w:p>
              </w:tc>
              <w:tc>
                <w:tcPr>
                  <w:tcW w:w="140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电加热钢化炉</w:t>
                  </w:r>
                </w:p>
              </w:tc>
              <w:tc>
                <w:tcPr>
                  <w:tcW w:w="9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Cs/>
                      <w:color w:val="auto"/>
                      <w:kern w:val="0"/>
                      <w:sz w:val="21"/>
                      <w:szCs w:val="21"/>
                      <w:lang w:val="en-US" w:eastAsia="zh-CN"/>
                    </w:rPr>
                  </w:pPr>
                  <w:r>
                    <w:rPr>
                      <w:rFonts w:hint="eastAsia" w:cs="Times New Roman"/>
                      <w:bCs/>
                      <w:color w:val="auto"/>
                      <w:kern w:val="0"/>
                      <w:sz w:val="21"/>
                      <w:szCs w:val="21"/>
                      <w:lang w:val="en-US" w:eastAsia="zh-CN"/>
                    </w:rPr>
                    <w:t>/</w:t>
                  </w:r>
                </w:p>
              </w:tc>
              <w:tc>
                <w:tcPr>
                  <w:tcW w:w="4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台</w:t>
                  </w:r>
                </w:p>
              </w:tc>
              <w:tc>
                <w:tcPr>
                  <w:tcW w:w="82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w:t>
                  </w:r>
                </w:p>
              </w:tc>
              <w:tc>
                <w:tcPr>
                  <w:tcW w:w="86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w:t>
                  </w:r>
                </w:p>
              </w:tc>
            </w:tr>
            <w:bookmarkEnd w:id="11"/>
          </w:tbl>
          <w:p>
            <w:pPr>
              <w:pStyle w:val="31"/>
              <w:jc w:val="both"/>
              <w:rPr>
                <w:rFonts w:hint="eastAsia"/>
                <w:vertAlign w:val="baseline"/>
                <w:lang w:val="en-US" w:eastAsia="zh-CN"/>
              </w:rPr>
            </w:pPr>
          </w:p>
          <w:p>
            <w:pPr>
              <w:pStyle w:val="31"/>
              <w:jc w:val="both"/>
              <w:rPr>
                <w:rFonts w:hint="eastAsia"/>
                <w:vertAlign w:val="baseline"/>
                <w:lang w:val="en-US" w:eastAsia="zh-CN"/>
              </w:rPr>
            </w:pPr>
          </w:p>
          <w:p>
            <w:pPr>
              <w:pStyle w:val="31"/>
              <w:jc w:val="both"/>
              <w:rPr>
                <w:rFonts w:hint="eastAsia"/>
                <w:vertAlign w:val="baseline"/>
                <w:lang w:val="en-US" w:eastAsia="zh-CN"/>
              </w:rPr>
            </w:pPr>
          </w:p>
          <w:p>
            <w:pPr>
              <w:pStyle w:val="31"/>
              <w:jc w:val="both"/>
              <w:rPr>
                <w:rFonts w:hint="eastAsia"/>
                <w:vertAlign w:val="baseline"/>
                <w:lang w:val="en-US" w:eastAsia="zh-CN"/>
              </w:rPr>
            </w:pPr>
          </w:p>
          <w:p>
            <w:pPr>
              <w:pStyle w:val="31"/>
              <w:jc w:val="both"/>
              <w:rPr>
                <w:rFonts w:hint="eastAsia"/>
                <w:vertAlign w:val="baseline"/>
                <w:lang w:val="en-US" w:eastAsia="zh-CN"/>
              </w:rPr>
            </w:pPr>
          </w:p>
          <w:p>
            <w:pPr>
              <w:pStyle w:val="31"/>
              <w:jc w:val="both"/>
              <w:rPr>
                <w:rFonts w:hint="eastAsia"/>
                <w:vertAlign w:val="baseline"/>
                <w:lang w:val="en-US" w:eastAsia="zh-CN"/>
              </w:rPr>
            </w:pPr>
          </w:p>
          <w:p>
            <w:pPr>
              <w:pStyle w:val="31"/>
              <w:jc w:val="both"/>
              <w:rPr>
                <w:rFonts w:hint="eastAsia"/>
                <w:vertAlign w:val="baseline"/>
                <w:lang w:val="en-US" w:eastAsia="zh-CN"/>
              </w:rPr>
            </w:pPr>
          </w:p>
          <w:p>
            <w:pPr>
              <w:pStyle w:val="31"/>
              <w:jc w:val="both"/>
              <w:rPr>
                <w:rFonts w:hint="default"/>
                <w:vertAlign w:val="baseline"/>
                <w:lang w:val="en-US" w:eastAsia="zh-CN"/>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9" w:hRule="atLeast"/>
        </w:trPr>
        <w:tc>
          <w:tcPr>
            <w:tcW w:w="9241" w:type="dxa"/>
          </w:tcPr>
          <w:p>
            <w:pPr>
              <w:pStyle w:val="3"/>
              <w:keepNext w:val="0"/>
              <w:keepLines w:val="0"/>
              <w:widowControl w:val="0"/>
              <w:numPr>
                <w:ilvl w:val="1"/>
                <w:numId w:val="3"/>
              </w:numPr>
              <w:tabs>
                <w:tab w:val="left" w:pos="636"/>
                <w:tab w:val="clear" w:pos="541"/>
                <w:tab w:val="clear" w:pos="576"/>
              </w:tabs>
              <w:autoSpaceDE w:val="0"/>
              <w:autoSpaceDN w:val="0"/>
              <w:adjustRightInd/>
              <w:snapToGrid/>
              <w:spacing w:before="223" w:after="0" w:line="360" w:lineRule="auto"/>
              <w:ind w:left="636" w:right="0" w:hanging="361"/>
              <w:jc w:val="left"/>
              <w:outlineLvl w:val="2"/>
              <w:rPr>
                <w:rFonts w:hint="eastAsia"/>
                <w:bCs/>
                <w:color w:val="auto"/>
                <w:sz w:val="24"/>
                <w:lang w:val="en-US" w:eastAsia="zh-CN"/>
              </w:rPr>
            </w:pPr>
            <w:bookmarkStart w:id="12" w:name="_Toc497833576"/>
            <w:bookmarkStart w:id="13" w:name="_Toc5450"/>
            <w:r>
              <w:rPr>
                <w:rFonts w:hint="default" w:ascii="宋体" w:hAnsi="宋体" w:eastAsia="宋体" w:cs="宋体"/>
                <w:bCs/>
                <w:sz w:val="24"/>
                <w:szCs w:val="24"/>
                <w:lang w:val="zh-CN" w:eastAsia="zh-CN" w:bidi="zh-CN"/>
              </w:rPr>
              <w:t>主要生产工艺及产排污流程（附示意图）</w:t>
            </w:r>
          </w:p>
          <w:p>
            <w:pPr>
              <w:pStyle w:val="12"/>
              <w:widowControl w:val="0"/>
              <w:ind w:firstLine="472" w:firstLineChars="200"/>
              <w:jc w:val="both"/>
              <w:rPr>
                <w:rFonts w:hint="default"/>
                <w:lang w:val="en-US" w:eastAsia="zh-CN"/>
              </w:rPr>
            </w:pPr>
            <w:r>
              <w:rPr>
                <w:rFonts w:hint="eastAsia"/>
                <w:bCs/>
                <w:color w:val="auto"/>
                <w:sz w:val="24"/>
                <w:lang w:val="en-US" w:eastAsia="zh-CN"/>
              </w:rPr>
              <w:t>建成钢化玻璃生产线1条，达产年生产能力为10万片平板钢化玻璃。本项目运营期工艺流</w:t>
            </w:r>
            <w:r>
              <w:rPr>
                <w:rFonts w:hint="eastAsia"/>
                <w:lang w:val="en-US" w:eastAsia="zh-CN"/>
              </w:rPr>
              <w:t>程及产污环节详见图项目生产工艺流程及产污环节详见图2.1。</w:t>
            </w:r>
          </w:p>
          <w:p>
            <w:pPr>
              <w:pStyle w:val="31"/>
              <w:jc w:val="center"/>
              <w:rPr>
                <w:rFonts w:hint="eastAsia" w:eastAsia="宋体"/>
                <w:lang w:eastAsia="zh-CN"/>
              </w:rPr>
            </w:pPr>
            <w:r>
              <w:rPr>
                <w:color w:val="000000" w:themeColor="text1"/>
                <w14:textFill>
                  <w14:solidFill>
                    <w14:schemeClr w14:val="tx1"/>
                  </w14:solidFill>
                </w14:textFill>
              </w:rPr>
              <mc:AlternateContent>
                <mc:Choice Requires="wpc">
                  <w:drawing>
                    <wp:inline distT="0" distB="0" distL="0" distR="0">
                      <wp:extent cx="5539740" cy="3987165"/>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矩形 241"/>
                              <wps:cNvSpPr/>
                              <wps:spPr>
                                <a:xfrm>
                                  <a:off x="2105025" y="788486"/>
                                  <a:ext cx="962025" cy="371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切割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70"/>
                              <wps:cNvSpPr/>
                              <wps:spPr>
                                <a:xfrm>
                                  <a:off x="1844675" y="195580"/>
                                  <a:ext cx="1487805" cy="3143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玻璃原片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72"/>
                              <wps:cNvCnPr>
                                <a:stCxn id="241" idx="3"/>
                              </wps:cNvCnPr>
                              <wps:spPr>
                                <a:xfrm>
                                  <a:off x="3067050" y="974224"/>
                                  <a:ext cx="438149"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0" name="矩形 73"/>
                              <wps:cNvSpPr/>
                              <wps:spPr>
                                <a:xfrm>
                                  <a:off x="3505200" y="864870"/>
                                  <a:ext cx="477520" cy="2476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宋体"/>
                                        <w:sz w:val="21"/>
                                        <w:szCs w:val="21"/>
                                        <w:lang w:eastAsia="zh-CN"/>
                                      </w:rPr>
                                    </w:pPr>
                                    <w:r>
                                      <w:rPr>
                                        <w:rFonts w:hint="eastAsia"/>
                                        <w:color w:val="000000" w:themeColor="text1"/>
                                        <w:sz w:val="21"/>
                                        <w:szCs w:val="21"/>
                                        <w:lang w:eastAsia="zh-CN"/>
                                        <w14:textFill>
                                          <w14:solidFill>
                                            <w14:schemeClr w14:val="tx1"/>
                                          </w14:solidFill>
                                        </w14:textFill>
                                      </w:rPr>
                                      <w:t>噪声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直接箭头连接符 74"/>
                              <wps:cNvCnPr/>
                              <wps:spPr>
                                <a:xfrm>
                                  <a:off x="2586038" y="1159961"/>
                                  <a:ext cx="2" cy="2402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 name="矩形 75"/>
                              <wps:cNvSpPr/>
                              <wps:spPr>
                                <a:xfrm>
                                  <a:off x="2105025" y="1400175"/>
                                  <a:ext cx="962025" cy="371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打磨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76"/>
                              <wps:cNvCnPr/>
                              <wps:spPr>
                                <a:xfrm>
                                  <a:off x="3067050" y="1576388"/>
                                  <a:ext cx="438149"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8" name="矩形 77"/>
                              <wps:cNvSpPr/>
                              <wps:spPr>
                                <a:xfrm>
                                  <a:off x="3505200" y="1447800"/>
                                  <a:ext cx="1037590" cy="2476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噪声、废水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直接箭头连接符 78"/>
                              <wps:cNvCnPr/>
                              <wps:spPr>
                                <a:xfrm>
                                  <a:off x="2586039" y="1771650"/>
                                  <a:ext cx="1" cy="3524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 name="矩形 79"/>
                              <wps:cNvSpPr/>
                              <wps:spPr>
                                <a:xfrm>
                                  <a:off x="2105025" y="2124075"/>
                                  <a:ext cx="962025" cy="371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eastAsia="宋体" w:cs="宋体"/>
                                        <w:color w:val="000000" w:themeColor="text1"/>
                                        <w:sz w:val="21"/>
                                        <w:lang w:eastAsia="zh-CN"/>
                                        <w14:textFill>
                                          <w14:solidFill>
                                            <w14:schemeClr w14:val="tx1"/>
                                          </w14:solidFill>
                                        </w14:textFill>
                                      </w:rPr>
                                      <w:t>钢化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直接箭头连接符 80"/>
                              <wps:cNvCnPr/>
                              <wps:spPr>
                                <a:xfrm>
                                  <a:off x="3133725" y="2929255"/>
                                  <a:ext cx="43815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1" name="矩形 81"/>
                              <wps:cNvSpPr/>
                              <wps:spPr>
                                <a:xfrm>
                                  <a:off x="3600450" y="2809875"/>
                                  <a:ext cx="514350" cy="2476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eastAsia="宋体"/>
                                        <w:lang w:eastAsia="zh-CN"/>
                                      </w:rPr>
                                    </w:pPr>
                                    <w:r>
                                      <w:rPr>
                                        <w:rFonts w:hint="eastAsia"/>
                                        <w:color w:val="000000" w:themeColor="text1"/>
                                        <w:sz w:val="21"/>
                                        <w:lang w:eastAsia="zh-CN"/>
                                        <w14:textFill>
                                          <w14:solidFill>
                                            <w14:schemeClr w14:val="tx1"/>
                                          </w14:solidFill>
                                        </w14:textFill>
                                      </w:rPr>
                                      <w:t>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83"/>
                              <wps:cNvSpPr/>
                              <wps:spPr>
                                <a:xfrm>
                                  <a:off x="2124075" y="2743200"/>
                                  <a:ext cx="962025" cy="371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检验</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88"/>
                              <wps:cNvCnPr/>
                              <wps:spPr>
                                <a:xfrm>
                                  <a:off x="2600331" y="2495550"/>
                                  <a:ext cx="2" cy="2402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 name="肘形连接符 243"/>
                              <wps:cNvCnPr>
                                <a:stCxn id="70" idx="2"/>
                                <a:endCxn id="241" idx="0"/>
                              </wps:cNvCnPr>
                              <wps:spPr>
                                <a:xfrm rot="5400000">
                                  <a:off x="2448243" y="648018"/>
                                  <a:ext cx="278765" cy="2540"/>
                                </a:xfrm>
                                <a:prstGeom prst="bentConnector3">
                                  <a:avLst>
                                    <a:gd name="adj1" fmla="val 50000"/>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 name="直接箭头连接符 88"/>
                              <wps:cNvCnPr/>
                              <wps:spPr>
                                <a:xfrm>
                                  <a:off x="2580005" y="3141980"/>
                                  <a:ext cx="0" cy="2400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 name="矩形 70"/>
                              <wps:cNvSpPr/>
                              <wps:spPr>
                                <a:xfrm>
                                  <a:off x="1865630" y="3389630"/>
                                  <a:ext cx="1487805" cy="3143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成品入库</w:t>
                                    </w:r>
                                  </w:p>
                                  <w:p>
                                    <w:pPr>
                                      <w:jc w:val="center"/>
                                      <w:rPr>
                                        <w:rFonts w:hint="default" w:ascii="Times New Roman" w:hAnsi="Times New Roman" w:eastAsia="宋体" w:cs="Times New Roman"/>
                                        <w:color w:val="000000" w:themeColor="text1"/>
                                        <w:sz w:val="2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13.95pt;width:436.2pt;" coordsize="5539740,3987165" editas="canvas" o:gfxdata="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ohMkstgAAAAFAQAADwAAAAAAAAABACAAAAAiAAAAZHJzL2Rvd25yZXYueG1sUEsBAhQAFAAA&#10;AAgAh07iQCqbywNjBgAArC8AAA4AAAAAAAAAAQAgAAAAJwEAAGRycy9lMm9Eb2MueG1sUEsFBgAA&#10;AAAGAAYAWQEAAPwJAAAAAA==&#10;">
                      <o:lock v:ext="edit" aspectratio="f"/>
                      <v:shape id="_x0000_s1026" o:spid="_x0000_s1026" style="position:absolute;left:0;top:0;height:3987165;width:5539740;" filled="f" stroked="f" coordsize="21600,21600" o:gfxdata="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">
                        <v:fill on="f" focussize="0,0"/>
                        <v:stroke on="f"/>
                        <v:imagedata o:title=""/>
                        <o:lock v:ext="edit" aspectratio="t"/>
                      </v:shape>
                      <v:rect id="矩形 241" o:spid="_x0000_s1026" o:spt="1" style="position:absolute;left:2105025;top:788486;height:371475;width:962025;v-text-anchor:middle;" filled="f" stroked="t" coordsize="21600,21600" o:gfxdata="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aSapNUAAAAFAQAADwAAAAAAAAABACAAAAAiAAAAZHJz&#10;L2Rvd25yZXYueG1sUEsBAhQAFAAAAAgAh07iQCEITo55AgAA4wQAAA4AAAAAAAAAAQAgAAAAJAEA&#10;AGRycy9lMm9Eb2MueG1sUEsFBgAAAAAGAAYAWQEAAA8GA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切割</w:t>
                              </w:r>
                            </w:p>
                          </w:txbxContent>
                        </v:textbox>
                      </v:rect>
                      <v:rect id="矩形 70" o:spid="_x0000_s1026" o:spt="1" style="position:absolute;left:1844675;top:195580;height:314325;width:1487805;v-text-anchor:middle;" filled="f" stroked="f" coordsize="21600,21600" o:gfxdata="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60QfvUAAAABQEAAA8AAAAAAAAAAQAgAAAAIgAAAGRycy9kb3ducmV2LnhtbFBLAQIU&#10;ABQAAAAIAIdO4kBT3CpgaQIAALoEAAAOAAAAAAAAAAEAIAAAACMBAABkcnMvZTJvRG9jLnhtbFBL&#10;BQYAAAAABgAGAFkBAAD+BQAAAAA=&#10;">
                        <v:fill on="f" focussize="0,0"/>
                        <v:stroke on="f" weight="1pt" miterlimit="8" joinstyle="miter"/>
                        <v:imagedata o:title=""/>
                        <o:lock v:ext="edit" aspectratio="f"/>
                        <v:textbox>
                          <w:txbxContent>
                            <w:p>
                              <w:pPr>
                                <w:jc w:val="center"/>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cs="Times New Roman"/>
                                  <w:color w:val="000000" w:themeColor="text1"/>
                                  <w:sz w:val="21"/>
                                  <w:lang w:val="en-US" w:eastAsia="zh-CN"/>
                                  <w14:textFill>
                                    <w14:solidFill>
                                      <w14:schemeClr w14:val="tx1"/>
                                    </w14:solidFill>
                                  </w14:textFill>
                                </w:rPr>
                                <w:t>玻璃原片</w:t>
                              </w:r>
                            </w:p>
                          </w:txbxContent>
                        </v:textbox>
                      </v:rect>
                      <v:shape id="直接箭头连接符 72" o:spid="_x0000_s1026" o:spt="32" type="#_x0000_t32" style="position:absolute;left:3067050;top:974224;height:0;width:438149;" filled="f" stroked="t" coordsize="21600,21600" o:gfxdata="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ZW&#10;IJPYAAAABQEAAA8AAAAAAAAAAQAgAAAAIgAAAGRycy9kb3ducmV2LnhtbFBLAQIUABQAAAAIAIdO&#10;4kAdspGqIwIAABEEAAAOAAAAAAAAAAEAIAAAACcBAABkcnMvZTJvRG9jLnhtbFBLBQYAAAAABgAG&#10;AFkBAAC8BQAAAAA=&#10;">
                        <v:fill on="f" focussize="0,0"/>
                        <v:stroke weight="0.5pt" color="#000000 [3213]" miterlimit="8" joinstyle="miter" dashstyle="dash" endarrow="open"/>
                        <v:imagedata o:title=""/>
                        <o:lock v:ext="edit" aspectratio="f"/>
                      </v:shape>
                      <v:rect id="矩形 73" o:spid="_x0000_s1026" o:spt="1" style="position:absolute;left:3505200;top:864870;height:247650;width:477520;v-text-anchor:middle;" filled="f" stroked="f" coordsize="21600,21600" o:gfxdata="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OtEH71AAAAAUBAAAPAAAAAAAAAAEAIAAAACIAAABkcnMvZG93bnJldi54bWxQSwEC&#10;FAAUAAAACACHTuJAl6w0n2oCAAC5BAAADgAAAAAAAAABACAAAAAjAQAAZHJzL2Uyb0RvYy54bWxQ&#10;SwUGAAAAAAYABgBZAQAA/wUAAAAA&#10;">
                        <v:fill on="f" focussize="0,0"/>
                        <v:stroke on="f" weight="1pt" miterlimit="8" joinstyle="miter"/>
                        <v:imagedata o:title=""/>
                        <o:lock v:ext="edit" aspectratio="f"/>
                        <v:textbox>
                          <w:txbxContent>
                            <w:p>
                              <w:pPr>
                                <w:rPr>
                                  <w:rFonts w:hint="eastAsia" w:eastAsia="宋体"/>
                                  <w:sz w:val="21"/>
                                  <w:szCs w:val="21"/>
                                  <w:lang w:eastAsia="zh-CN"/>
                                </w:rPr>
                              </w:pPr>
                              <w:r>
                                <w:rPr>
                                  <w:rFonts w:hint="eastAsia"/>
                                  <w:color w:val="000000" w:themeColor="text1"/>
                                  <w:sz w:val="21"/>
                                  <w:szCs w:val="21"/>
                                  <w:lang w:eastAsia="zh-CN"/>
                                  <w14:textFill>
                                    <w14:solidFill>
                                      <w14:schemeClr w14:val="tx1"/>
                                    </w14:solidFill>
                                  </w14:textFill>
                                </w:rPr>
                                <w:t>噪声</w:t>
                              </w:r>
                            </w:p>
                          </w:txbxContent>
                        </v:textbox>
                      </v:rect>
                      <v:shape id="直接箭头连接符 74" o:spid="_x0000_s1026" o:spt="32" type="#_x0000_t32" style="position:absolute;left:2586038;top:1159961;height:240214;width:2;" filled="f" stroked="t" coordsize="21600,21600" o:gfxdata="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kqB0DVAAAABQEAAA8AAAAAAAAAAQAgAAAAIgAAAGRycy9kb3ducmV2LnhtbFBLAQIUABQAAAAI&#10;AIdO4kCu762uKQIAACoEAAAOAAAAAAAAAAEAIAAAACQBAABkcnMvZTJvRG9jLnhtbFBLBQYAAAAA&#10;BgAGAFkBAAC/BQAAAAA=&#10;">
                        <v:fill on="f" focussize="0,0"/>
                        <v:stroke weight="0.5pt" color="#000000 [3213]" miterlimit="8" joinstyle="miter" endarrow="block"/>
                        <v:imagedata o:title=""/>
                        <o:lock v:ext="edit" aspectratio="f"/>
                      </v:shape>
                      <v:rect id="矩形 75" o:spid="_x0000_s1026" o:spt="1" style="position:absolute;left:2105025;top:1400175;height:371475;width:962025;v-text-anchor:middle;" filled="f" stroked="t" coordsize="21600,21600" o:gfxdata="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aSapNUAAAAFAQAADwAAAAAAAAABACAAAAAiAAAAZHJz&#10;L2Rvd25yZXYueG1sUEsBAhQAFAAAAAgAh07iQOlOrhh5AgAA4wQAAA4AAAAAAAAAAQAgAAAAJAEA&#10;AGRycy9lMm9Eb2MueG1sUEsFBgAAAAAGAAYAWQEAAA8GA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打磨</w:t>
                              </w:r>
                            </w:p>
                          </w:txbxContent>
                        </v:textbox>
                      </v:rect>
                      <v:shape id="直接箭头连接符 76" o:spid="_x0000_s1026" o:spt="32" type="#_x0000_t32" style="position:absolute;left:3067050;top:1576388;height:0;width:438149;" filled="f" stroked="t" coordsize="21600,21600" o:gfxdata="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ZWIJPYAAAABQEAAA8AAAAA&#10;AAAAAQAgAAAAIgAAAGRycy9kb3ducmV2LnhtbFBLAQIUABQAAAAIAIdO4kDxLBeMFAIAAOoDAAAO&#10;AAAAAAAAAAEAIAAAACcBAABkcnMvZTJvRG9jLnhtbFBLBQYAAAAABgAGAFkBAACtBQAAAAA=&#10;">
                        <v:fill on="f" focussize="0,0"/>
                        <v:stroke weight="0.5pt" color="#000000 [3213]" miterlimit="8" joinstyle="miter" dashstyle="dash" endarrow="open"/>
                        <v:imagedata o:title=""/>
                        <o:lock v:ext="edit" aspectratio="f"/>
                      </v:shape>
                      <v:rect id="矩形 77" o:spid="_x0000_s1026" o:spt="1" style="position:absolute;left:3505200;top:1447800;height:247650;width:1037590;v-text-anchor:middle;" filled="f" stroked="f" coordsize="21600,21600" o:gfxdata="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OtEH71AAAAAUBAAAPAAAAAAAAAAEAIAAAACIAAABkcnMvZG93bnJldi54bWxQSwEC&#10;FAAUAAAACACHTuJA/fJ642oCAAC7BAAADgAAAAAAAAABACAAAAAjAQAAZHJzL2Uyb0RvYy54bWxQ&#10;SwUGAAAAAAYABgBZAQAA/wUAAAAA&#10;">
                        <v:fill on="f" focussize="0,0"/>
                        <v:stroke on="f" weight="1pt" miterlimit="8" joinstyle="miter"/>
                        <v:imagedata o:title=""/>
                        <o:lock v:ext="edit" aspectratio="f"/>
                        <v:textbox>
                          <w:txbxContent>
                            <w:p>
                              <w:pPr>
                                <w:jc w:val="center"/>
                                <w:rPr>
                                  <w:rFonts w:hint="eastAsia" w:eastAsia="宋体"/>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噪声、废水</w:t>
                              </w:r>
                            </w:p>
                          </w:txbxContent>
                        </v:textbox>
                      </v:rect>
                      <v:shape id="直接箭头连接符 78" o:spid="_x0000_s1026" o:spt="32" type="#_x0000_t32" style="position:absolute;left:2586039;top:1771650;height:352425;width:1;" filled="f" stroked="t" coordsize="21600,21600" o:gfxdata="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kqB0DVAAAABQEAAA8AAAAAAAAAAQAgAAAAIgAAAGRycy9kb3ducmV2LnhtbFBLAQIUABQAAAAI&#10;AIdO4kB+UVWHKQIAACoEAAAOAAAAAAAAAAEAIAAAACQBAABkcnMvZTJvRG9jLnhtbFBLBQYAAAAA&#10;BgAGAFkBAAC/BQAAAAA=&#10;">
                        <v:fill on="f" focussize="0,0"/>
                        <v:stroke weight="0.5pt" color="#000000 [3213]" miterlimit="8" joinstyle="miter" endarrow="block"/>
                        <v:imagedata o:title=""/>
                        <o:lock v:ext="edit" aspectratio="f"/>
                      </v:shape>
                      <v:rect id="矩形 79" o:spid="_x0000_s1026" o:spt="1" style="position:absolute;left:2105025;top:2124075;height:371475;width:962025;v-text-anchor:middle;" filled="f" stroked="t" coordsize="21600,21600" o:gfxdata="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2kmqTVAAAABQEAAA8AAAAAAAAAAQAgAAAAIgAAAGRy&#10;cy9kb3ducmV2LnhtbFBLAQIUABQAAAAIAIdO4kDyz4wregIAAOMEAAAOAAAAAAAAAAEAIAAAACQB&#10;AABkcnMvZTJvRG9jLnhtbFBLBQYAAAAABgAGAFkBAAAQBg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eastAsia="宋体" w:cs="宋体"/>
                                  <w:color w:val="000000" w:themeColor="text1"/>
                                  <w:sz w:val="21"/>
                                  <w:lang w:eastAsia="zh-CN"/>
                                  <w14:textFill>
                                    <w14:solidFill>
                                      <w14:schemeClr w14:val="tx1"/>
                                    </w14:solidFill>
                                  </w14:textFill>
                                </w:rPr>
                                <w:t>钢化</w:t>
                              </w:r>
                            </w:p>
                          </w:txbxContent>
                        </v:textbox>
                      </v:rect>
                      <v:shape id="直接箭头连接符 80" o:spid="_x0000_s1026" o:spt="32" type="#_x0000_t32" style="position:absolute;left:3133725;top:2929255;height:0;width:438150;" filled="f" stroked="t" coordsize="21600,21600" o:gfxdata="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lYgk9gAAAAFAQAADwAAAAAAAAAB&#10;ACAAAAAiAAAAZHJzL2Rvd25yZXYueG1sUEsBAhQAFAAAAAgAh07iQK2la9UQAgAA6gMAAA4AAAAA&#10;AAAAAQAgAAAAJwEAAGRycy9lMm9Eb2MueG1sUEsFBgAAAAAGAAYAWQEAAKkFAAAAAA==&#10;">
                        <v:fill on="f" focussize="0,0"/>
                        <v:stroke weight="0.5pt" color="#000000 [3213]" miterlimit="8" joinstyle="miter" dashstyle="dash" endarrow="open"/>
                        <v:imagedata o:title=""/>
                        <o:lock v:ext="edit" aspectratio="f"/>
                      </v:shape>
                      <v:rect id="矩形 81" o:spid="_x0000_s1026" o:spt="1" style="position:absolute;left:3600450;top:2809875;height:247650;width:514350;v-text-anchor:middle;" filled="f" stroked="f" coordsize="21600,21600" o:gfxdata="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rRB+9QAAAAFAQAADwAAAAAAAAABACAAAAAiAAAAZHJzL2Rvd25yZXYueG1sUEsB&#10;AhQAFAAAAAgAh07iQEWdp0FrAgAAugQAAA4AAAAAAAAAAQAgAAAAIwEAAGRycy9lMm9Eb2MueG1s&#10;UEsFBgAAAAAGAAYAWQEAAAAGAAAAAA==&#10;">
                        <v:fill on="f" focussize="0,0"/>
                        <v:stroke on="f" weight="1pt" miterlimit="8" joinstyle="miter"/>
                        <v:imagedata o:title=""/>
                        <o:lock v:ext="edit" aspectratio="f"/>
                        <v:textbox>
                          <w:txbxContent>
                            <w:p>
                              <w:pPr>
                                <w:rPr>
                                  <w:rFonts w:hint="eastAsia" w:eastAsia="宋体"/>
                                  <w:lang w:eastAsia="zh-CN"/>
                                </w:rPr>
                              </w:pPr>
                              <w:r>
                                <w:rPr>
                                  <w:rFonts w:hint="eastAsia"/>
                                  <w:color w:val="000000" w:themeColor="text1"/>
                                  <w:sz w:val="21"/>
                                  <w:lang w:eastAsia="zh-CN"/>
                                  <w14:textFill>
                                    <w14:solidFill>
                                      <w14:schemeClr w14:val="tx1"/>
                                    </w14:solidFill>
                                  </w14:textFill>
                                </w:rPr>
                                <w:t>固废</w:t>
                              </w:r>
                            </w:p>
                          </w:txbxContent>
                        </v:textbox>
                      </v:rect>
                      <v:rect id="矩形 83" o:spid="_x0000_s1026" o:spt="1" style="position:absolute;left:2124075;top:2743200;height:371475;width:962025;v-text-anchor:middle;" filled="f" stroked="t" coordsize="21600,21600" o:gfxdata="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&#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2kmqTVAAAABQEAAA8AAAAAAAAAAQAgAAAAIgAAAGRy&#10;cy9kb3ducmV2LnhtbFBLAQIUABQAAAAIAIdO4kDpSauXegIAAOMEAAAOAAAAAAAAAAEAIAAAACQB&#10;AABkcnMvZTJvRG9jLnhtbFBLBQYAAAAABgAGAFkBAAAQBg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检验</w:t>
                              </w:r>
                            </w:p>
                            <w:p>
                              <w:pPr>
                                <w:rPr>
                                  <w:rFonts w:hint="eastAsia"/>
                                  <w:lang w:eastAsia="zh-CN"/>
                                </w:rPr>
                              </w:pPr>
                            </w:p>
                          </w:txbxContent>
                        </v:textbox>
                      </v:rect>
                      <v:shape id="直接箭头连接符 88" o:spid="_x0000_s1026" o:spt="32" type="#_x0000_t32" style="position:absolute;left:2600331;top:2495550;height:240214;width:2;" filled="f" stroked="t" coordsize="21600,21600" o:gfxdata="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kq&#10;B0DVAAAABQEAAA8AAAAAAAAAAQAgAAAAIgAAAGRycy9kb3ducmV2LnhtbFBLAQIUABQAAAAIAIdO&#10;4kCpm4uCJgIAACoEAAAOAAAAAAAAAAEAIAAAACQBAABkcnMvZTJvRG9jLnhtbFBLBQYAAAAABgAG&#10;AFkBAAC8BQAAAAA=&#10;">
                        <v:fill on="f" focussize="0,0"/>
                        <v:stroke weight="0.5pt" color="#000000 [3213]" miterlimit="8" joinstyle="miter" endarrow="block"/>
                        <v:imagedata o:title=""/>
                        <o:lock v:ext="edit" aspectratio="f"/>
                      </v:shape>
                      <v:shape id="肘形连接符 243" o:spid="_x0000_s1026" o:spt="34" type="#_x0000_t34" style="position:absolute;left:2448243;top:648018;height:2540;width:278765;rotation:5898240f;" filled="f" stroked="t" coordsize="21600,21600" o:gfxdata="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dl220&#10;1AAAAAUBAAAPAAAAAAAAAAEAIAAAACIAAABkcnMvZG93bnJldi54bWxQSwECFAAUAAAACACHTuJA&#10;pgv/9V4CAAChBAAADgAAAAAAAAABACAAAAAjAQAAZHJzL2Uyb0RvYy54bWxQSwUGAAAAAAYABgBZ&#10;AQAA8wUAAAAA&#10;" adj="10800">
                        <v:fill on="f" focussize="0,0"/>
                        <v:stroke weight="0.5pt" color="#000000 [3213]" miterlimit="8" joinstyle="miter" endarrow="block"/>
                        <v:imagedata o:title=""/>
                        <o:lock v:ext="edit" aspectratio="f"/>
                      </v:shape>
                      <v:shape id="直接箭头连接符 88" o:spid="_x0000_s1026" o:spt="32" type="#_x0000_t32" style="position:absolute;left:2580005;top:3141980;height:240030;width:0;" filled="f" stroked="t" coordsize="21600,21600" o:gfxdata="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JKgdA1QAAAAUBAAAPAAAAAAAAAAEAIAAAACIAAABkcnMvZG93bnJldi54bWxQSwECFAAUAAAA&#10;CACHTuJAn9ibmyoCAAApBAAADgAAAAAAAAABACAAAAAkAQAAZHJzL2Uyb0RvYy54bWxQSwUGAAAA&#10;AAYABgBZAQAAwAUAAAAA&#10;">
                        <v:fill on="f" focussize="0,0"/>
                        <v:stroke weight="0.5pt" color="#000000 [3213]" miterlimit="8" joinstyle="miter" endarrow="block"/>
                        <v:imagedata o:title=""/>
                        <o:lock v:ext="edit" aspectratio="f"/>
                      </v:shape>
                      <v:rect id="矩形 70" o:spid="_x0000_s1026" o:spt="1" style="position:absolute;left:1865630;top:3389630;height:314325;width:1487805;v-text-anchor:middle;" filled="f" stroked="f" coordsize="21600,21600" o:gfxdata="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60QfvUAAAABQEAAA8AAAAAAAAAAQAgAAAAIgAAAGRycy9kb3ducmV2LnhtbFBLAQIU&#10;ABQAAAAIAIdO4kDjcpdLaQIAALoEAAAOAAAAAAAAAAEAIAAAACMBAABkcnMvZTJvRG9jLnhtbFBL&#10;BQYAAAAABgAGAFkBAAD+BQAAAAA=&#10;">
                        <v:fill on="f" focussize="0,0"/>
                        <v:stroke on="f" weight="1pt" miterlimit="8" joinstyle="miter"/>
                        <v:imagedata o:title=""/>
                        <o:lock v:ext="edit" aspectratio="f"/>
                        <v:textbox>
                          <w:txbxContent>
                            <w:p>
                              <w:pPr>
                                <w:jc w:val="center"/>
                                <w:rPr>
                                  <w:rFonts w:hint="eastAsia" w:ascii="宋体" w:hAnsi="宋体" w:eastAsia="宋体" w:cs="宋体"/>
                                  <w:color w:val="000000" w:themeColor="text1"/>
                                  <w:sz w:val="21"/>
                                  <w:lang w:eastAsia="zh-CN"/>
                                  <w14:textFill>
                                    <w14:solidFill>
                                      <w14:schemeClr w14:val="tx1"/>
                                    </w14:solidFill>
                                  </w14:textFill>
                                </w:rPr>
                              </w:pPr>
                              <w:r>
                                <w:rPr>
                                  <w:rFonts w:hint="eastAsia" w:ascii="宋体" w:hAnsi="宋体" w:cs="宋体"/>
                                  <w:color w:val="000000" w:themeColor="text1"/>
                                  <w:sz w:val="21"/>
                                  <w:lang w:eastAsia="zh-CN"/>
                                  <w14:textFill>
                                    <w14:solidFill>
                                      <w14:schemeClr w14:val="tx1"/>
                                    </w14:solidFill>
                                  </w14:textFill>
                                </w:rPr>
                                <w:t>成品入库</w:t>
                              </w:r>
                            </w:p>
                            <w:p>
                              <w:pPr>
                                <w:jc w:val="center"/>
                                <w:rPr>
                                  <w:rFonts w:hint="default" w:ascii="Times New Roman" w:hAnsi="Times New Roman" w:eastAsia="宋体" w:cs="Times New Roman"/>
                                  <w:color w:val="000000" w:themeColor="text1"/>
                                  <w:sz w:val="21"/>
                                  <w:lang w:val="en-US" w:eastAsia="zh-CN"/>
                                  <w14:textFill>
                                    <w14:solidFill>
                                      <w14:schemeClr w14:val="tx1"/>
                                    </w14:solidFill>
                                  </w14:textFill>
                                </w:rPr>
                              </w:pPr>
                            </w:p>
                          </w:txbxContent>
                        </v:textbox>
                      </v:rect>
                      <w10:wrap type="none"/>
                      <w10:anchorlock/>
                    </v:group>
                  </w:pict>
                </mc:Fallback>
              </mc:AlternateContent>
            </w:r>
          </w:p>
          <w:p>
            <w:pPr>
              <w:pStyle w:val="31"/>
              <w:jc w:val="center"/>
              <w:rPr>
                <w:rFonts w:hint="eastAsia"/>
                <w:b/>
                <w:bCs/>
                <w:sz w:val="28"/>
                <w:szCs w:val="28"/>
                <w:lang w:val="en-US" w:eastAsia="zh-CN"/>
              </w:rPr>
            </w:pPr>
            <w:r>
              <w:rPr>
                <w:rFonts w:hint="eastAsia" w:ascii="Times New Roman" w:hAnsi="Times New Roman" w:eastAsia="宋体" w:cstheme="minorBidi"/>
                <w:b/>
                <w:bCs/>
                <w:sz w:val="21"/>
                <w:szCs w:val="21"/>
                <w:lang w:val="en-US" w:eastAsia="zh-CN" w:bidi="ar-SA"/>
              </w:rPr>
              <w:t>图</w:t>
            </w:r>
            <w:r>
              <w:rPr>
                <w:rFonts w:hint="eastAsia" w:cstheme="minorBidi"/>
                <w:b/>
                <w:bCs/>
                <w:sz w:val="21"/>
                <w:szCs w:val="21"/>
                <w:lang w:val="en-US" w:eastAsia="zh-CN" w:bidi="ar-SA"/>
              </w:rPr>
              <w:t>2</w:t>
            </w:r>
            <w:r>
              <w:rPr>
                <w:rFonts w:hint="eastAsia" w:ascii="Times New Roman" w:hAnsi="Times New Roman" w:eastAsia="宋体" w:cstheme="minorBidi"/>
                <w:b/>
                <w:bCs/>
                <w:sz w:val="21"/>
                <w:szCs w:val="21"/>
                <w:lang w:val="en-US" w:eastAsia="zh-CN" w:bidi="ar-SA"/>
              </w:rPr>
              <w:t>.</w:t>
            </w:r>
            <w:r>
              <w:rPr>
                <w:rFonts w:hint="eastAsia" w:cstheme="minorBidi"/>
                <w:b/>
                <w:bCs/>
                <w:sz w:val="21"/>
                <w:szCs w:val="21"/>
                <w:lang w:val="en-US" w:eastAsia="zh-CN" w:bidi="ar-SA"/>
              </w:rPr>
              <w:t>1</w:t>
            </w:r>
            <w:r>
              <w:rPr>
                <w:rFonts w:hint="eastAsia" w:ascii="Times New Roman" w:hAnsi="Times New Roman" w:eastAsia="宋体" w:cstheme="minorBidi"/>
                <w:b/>
                <w:bCs/>
                <w:sz w:val="21"/>
                <w:szCs w:val="21"/>
                <w:lang w:val="en-US" w:eastAsia="zh-CN" w:bidi="ar-SA"/>
              </w:rPr>
              <w:t xml:space="preserve">   生产工艺及产污环节图</w:t>
            </w:r>
          </w:p>
          <w:p>
            <w:pPr>
              <w:pStyle w:val="12"/>
              <w:widowControl w:val="0"/>
              <w:ind w:firstLine="474" w:firstLineChars="200"/>
              <w:jc w:val="both"/>
              <w:rPr>
                <w:rFonts w:hint="eastAsia"/>
                <w:b/>
                <w:bCs/>
                <w:lang w:val="en-US" w:eastAsia="zh-CN"/>
              </w:rPr>
            </w:pPr>
            <w:r>
              <w:rPr>
                <w:rFonts w:hint="eastAsia"/>
                <w:b/>
                <w:bCs/>
                <w:lang w:val="en-US" w:eastAsia="zh-CN"/>
              </w:rPr>
              <w:t>工艺流程简述：</w:t>
            </w:r>
          </w:p>
          <w:p>
            <w:pPr>
              <w:pStyle w:val="12"/>
              <w:widowControl w:val="0"/>
              <w:ind w:firstLine="472" w:firstLineChars="200"/>
              <w:jc w:val="both"/>
              <w:rPr>
                <w:rFonts w:hint="eastAsia"/>
                <w:bCs/>
                <w:color w:val="auto"/>
                <w:sz w:val="24"/>
                <w:lang w:val="en-US" w:eastAsia="zh-CN"/>
              </w:rPr>
            </w:pPr>
            <w:r>
              <w:rPr>
                <w:rFonts w:hint="eastAsia"/>
                <w:bCs/>
                <w:color w:val="auto"/>
                <w:sz w:val="24"/>
                <w:lang w:val="en-US" w:eastAsia="zh-CN"/>
              </w:rPr>
              <w:t>（1）原片选择：根据所需要生产的钢化玻璃型号，参考工艺卡，正确选择玻璃的原片规格。</w:t>
            </w:r>
          </w:p>
          <w:p>
            <w:pPr>
              <w:pStyle w:val="12"/>
              <w:widowControl w:val="0"/>
              <w:ind w:firstLine="472" w:firstLineChars="200"/>
              <w:jc w:val="both"/>
              <w:rPr>
                <w:rFonts w:hint="eastAsia"/>
                <w:bCs/>
                <w:color w:val="auto"/>
                <w:sz w:val="24"/>
                <w:lang w:val="en-US" w:eastAsia="zh-CN"/>
              </w:rPr>
            </w:pPr>
            <w:r>
              <w:rPr>
                <w:rFonts w:hint="eastAsia"/>
                <w:bCs/>
                <w:color w:val="auto"/>
                <w:sz w:val="24"/>
                <w:lang w:val="en-US" w:eastAsia="zh-CN"/>
              </w:rPr>
              <w:t>（2）切割：玻璃被固定吸附后传输至切割平台上，由实现输入的根据玻璃形状CAD图形而变质的切割数控程序进行数控切割。</w:t>
            </w:r>
          </w:p>
          <w:p>
            <w:pPr>
              <w:pStyle w:val="12"/>
              <w:widowControl w:val="0"/>
              <w:ind w:firstLine="472" w:firstLineChars="200"/>
              <w:jc w:val="both"/>
              <w:rPr>
                <w:rFonts w:hint="eastAsia"/>
                <w:bCs/>
                <w:color w:val="auto"/>
                <w:sz w:val="24"/>
                <w:lang w:val="en-US" w:eastAsia="zh-CN"/>
              </w:rPr>
            </w:pPr>
            <w:r>
              <w:rPr>
                <w:rFonts w:hint="eastAsia"/>
                <w:bCs/>
                <w:color w:val="auto"/>
                <w:sz w:val="24"/>
                <w:lang w:val="en-US" w:eastAsia="zh-CN"/>
              </w:rPr>
              <w:t>（3）打磨：将切割后的玻璃切割边和角磨光，以至于不造成伤害，以便于安装等。在磨边机磨边的同时，在砂轮与玻璃接触部位喷头冲水，降低砂轮温度，同时可以避免产生玻璃粉尘，冲洗水进入集水池，静置沉淀后，上层清液循环回用，玻璃粉末作为固废收集。</w:t>
            </w:r>
          </w:p>
          <w:p>
            <w:pPr>
              <w:pStyle w:val="12"/>
              <w:widowControl w:val="0"/>
              <w:ind w:firstLine="472" w:firstLineChars="200"/>
              <w:jc w:val="both"/>
              <w:rPr>
                <w:rFonts w:hint="default"/>
                <w:bCs/>
                <w:color w:val="auto"/>
                <w:sz w:val="24"/>
                <w:lang w:val="en-US" w:eastAsia="zh-CN"/>
              </w:rPr>
            </w:pPr>
            <w:r>
              <w:rPr>
                <w:rFonts w:hint="eastAsia"/>
                <w:bCs/>
                <w:color w:val="auto"/>
                <w:sz w:val="24"/>
                <w:lang w:val="en-US" w:eastAsia="zh-CN"/>
              </w:rPr>
              <w:t>（4）钢化：</w:t>
            </w:r>
            <w:r>
              <w:rPr>
                <w:rFonts w:hint="default"/>
                <w:bCs/>
                <w:color w:val="auto"/>
                <w:sz w:val="24"/>
                <w:lang w:val="en-US" w:eastAsia="zh-CN"/>
              </w:rPr>
              <w:t>通过切割、打磨后玻璃匀速通过电加热钢化炉，根据玻璃厚度控制通过速度，一般加热时间在15-30分钟之间，加热温度600℃左右，刚好到玻璃软化点，然后出炉经多头喷嘴向两面喷吹空气，使之迅速地、均匀地冷却，当冷却至室温时，就形成了高强度的钢化玻璃。冷却后的钢化玻璃需检验合格后，即成品为边窗玻璃，包装待售。若检验不合格，则拆卸后重新制作。</w:t>
            </w:r>
          </w:p>
          <w:p>
            <w:pPr>
              <w:pStyle w:val="12"/>
              <w:widowControl w:val="0"/>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w:t>
            </w:r>
            <w:r>
              <w:rPr>
                <w:rFonts w:hint="eastAsia"/>
                <w:bCs/>
                <w:color w:val="auto"/>
                <w:sz w:val="24"/>
                <w:lang w:val="en-US" w:eastAsia="zh-CN"/>
              </w:rPr>
              <w:t>5</w:t>
            </w:r>
            <w:r>
              <w:rPr>
                <w:rFonts w:hint="eastAsia" w:ascii="Times New Roman" w:hAnsi="Times New Roman" w:eastAsia="宋体"/>
                <w:bCs/>
                <w:color w:val="auto"/>
                <w:sz w:val="24"/>
                <w:lang w:val="en-US" w:eastAsia="zh-CN"/>
              </w:rPr>
              <w:t>）检验：检验合格后，即成品，包装待售，若检验不合格，则拆卸后重新制作。采用木架包装，每片玻璃单独包装再打捆。</w:t>
            </w:r>
          </w:p>
          <w:p>
            <w:pPr>
              <w:pStyle w:val="3"/>
              <w:keepNext w:val="0"/>
              <w:keepLines w:val="0"/>
              <w:widowControl w:val="0"/>
              <w:numPr>
                <w:ilvl w:val="1"/>
                <w:numId w:val="3"/>
              </w:numPr>
              <w:tabs>
                <w:tab w:val="left" w:pos="636"/>
                <w:tab w:val="clear" w:pos="541"/>
                <w:tab w:val="clear" w:pos="576"/>
              </w:tabs>
              <w:autoSpaceDE w:val="0"/>
              <w:autoSpaceDN w:val="0"/>
              <w:adjustRightInd/>
              <w:snapToGrid/>
              <w:spacing w:before="223" w:after="0" w:line="360" w:lineRule="auto"/>
              <w:ind w:left="636" w:right="0" w:hanging="361"/>
              <w:jc w:val="left"/>
              <w:outlineLvl w:val="2"/>
              <w:rPr>
                <w:rFonts w:hint="default" w:ascii="宋体" w:hAnsi="宋体" w:eastAsia="宋体" w:cs="宋体"/>
                <w:bCs/>
                <w:sz w:val="24"/>
                <w:szCs w:val="24"/>
                <w:lang w:val="zh-CN" w:eastAsia="zh-CN" w:bidi="zh-CN"/>
              </w:rPr>
            </w:pPr>
            <w:r>
              <w:rPr>
                <w:rFonts w:hint="default" w:ascii="宋体" w:hAnsi="宋体" w:eastAsia="宋体" w:cs="宋体"/>
                <w:bCs/>
                <w:sz w:val="24"/>
                <w:szCs w:val="24"/>
                <w:lang w:val="zh-CN" w:eastAsia="zh-CN" w:bidi="zh-CN"/>
              </w:rPr>
              <w:t>主要污染源、污染物、治理措施及排放</w:t>
            </w:r>
          </w:p>
          <w:p>
            <w:pPr>
              <w:pStyle w:val="62"/>
              <w:widowControl w:val="0"/>
              <w:numPr>
                <w:ilvl w:val="2"/>
                <w:numId w:val="5"/>
              </w:numPr>
              <w:tabs>
                <w:tab w:val="left" w:pos="819"/>
              </w:tabs>
              <w:spacing w:before="158" w:after="0" w:line="360" w:lineRule="auto"/>
              <w:ind w:left="818" w:right="0" w:hanging="544"/>
              <w:jc w:val="left"/>
              <w:rPr>
                <w:rFonts w:hint="default" w:ascii="Times New Roman" w:hAnsi="Times New Roman" w:cs="Times New Roman"/>
                <w:b w:val="0"/>
                <w:bCs w:val="0"/>
                <w:color w:val="auto"/>
                <w:sz w:val="24"/>
                <w:szCs w:val="24"/>
                <w:lang w:val="en-US" w:eastAsia="zh-CN"/>
              </w:rPr>
            </w:pPr>
            <w:r>
              <w:rPr>
                <w:b/>
                <w:sz w:val="24"/>
              </w:rPr>
              <w:t>废</w:t>
            </w:r>
            <w:r>
              <w:rPr>
                <w:rFonts w:hint="eastAsia"/>
                <w:b/>
                <w:sz w:val="24"/>
                <w:lang w:eastAsia="zh-CN"/>
              </w:rPr>
              <w:t>水</w:t>
            </w:r>
          </w:p>
          <w:p>
            <w:pPr>
              <w:pStyle w:val="12"/>
              <w:widowControl w:val="0"/>
              <w:spacing w:line="360" w:lineRule="auto"/>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生产废水：打磨阶段的生产过程中切割后的玻璃还需对边角进行磨光，在磨边机磨边的同时，在砂轮与玻璃接触部位冲水，以免产生玻璃粉尘。打磨冲洗水静置沉淀后，上层清液循环回用于打磨工序。所产生生产废水不外排。</w:t>
            </w:r>
          </w:p>
          <w:p>
            <w:pPr>
              <w:pStyle w:val="12"/>
              <w:widowControl w:val="0"/>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生活污水采用生化预处理达到万州化工园污水处理厂工业废水接管标准后排入化工园区污水管网，送化工园区污水处理厂进行深度处理后排入长江。</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7"/>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pStyle w:val="12"/>
                    <w:widowControl w:val="0"/>
                    <w:jc w:val="both"/>
                    <w:rPr>
                      <w:rFonts w:hint="eastAsia" w:ascii="Times New Roman" w:hAnsi="Times New Roman" w:eastAsia="宋体"/>
                      <w:bCs/>
                      <w:color w:val="auto"/>
                      <w:sz w:val="24"/>
                      <w:vertAlign w:val="baseline"/>
                      <w:lang w:val="en-US" w:eastAsia="zh-CN"/>
                    </w:rPr>
                  </w:pPr>
                  <w:r>
                    <w:rPr>
                      <w:rFonts w:hint="eastAsia" w:ascii="Times New Roman" w:hAnsi="Times New Roman" w:eastAsia="宋体"/>
                      <w:bCs/>
                      <w:color w:val="auto"/>
                      <w:sz w:val="24"/>
                      <w:vertAlign w:val="baseline"/>
                      <w:lang w:val="en-US" w:eastAsia="zh-CN"/>
                    </w:rPr>
                    <w:drawing>
                      <wp:inline distT="0" distB="0" distL="114300" distR="114300">
                        <wp:extent cx="2705100" cy="2028825"/>
                        <wp:effectExtent l="0" t="0" r="0" b="9525"/>
                        <wp:docPr id="69" name="图片 69" descr="0ae4ab1634ec969c22ca98917e7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0ae4ab1634ec969c22ca98917e75270"/>
                                <pic:cNvPicPr>
                                  <a:picLocks noChangeAspect="1"/>
                                </pic:cNvPicPr>
                              </pic:nvPicPr>
                              <pic:blipFill>
                                <a:blip r:embed="rId11"/>
                                <a:stretch>
                                  <a:fillRect/>
                                </a:stretch>
                              </pic:blipFill>
                              <pic:spPr>
                                <a:xfrm>
                                  <a:off x="0" y="0"/>
                                  <a:ext cx="2705100" cy="2028825"/>
                                </a:xfrm>
                                <a:prstGeom prst="rect">
                                  <a:avLst/>
                                </a:prstGeom>
                              </pic:spPr>
                            </pic:pic>
                          </a:graphicData>
                        </a:graphic>
                      </wp:inline>
                    </w:drawing>
                  </w:r>
                </w:p>
              </w:tc>
              <w:tc>
                <w:tcPr>
                  <w:tcW w:w="4507" w:type="dxa"/>
                </w:tcPr>
                <w:p>
                  <w:pPr>
                    <w:pStyle w:val="12"/>
                    <w:widowControl w:val="0"/>
                    <w:jc w:val="both"/>
                    <w:rPr>
                      <w:rFonts w:hint="eastAsia" w:ascii="Times New Roman" w:hAnsi="Times New Roman" w:eastAsia="宋体"/>
                      <w:bCs/>
                      <w:color w:val="auto"/>
                      <w:sz w:val="24"/>
                      <w:vertAlign w:val="baseline"/>
                      <w:lang w:val="en-US" w:eastAsia="zh-CN"/>
                    </w:rPr>
                  </w:pPr>
                  <w:r>
                    <w:rPr>
                      <w:rFonts w:hint="eastAsia" w:ascii="Times New Roman" w:hAnsi="Times New Roman" w:eastAsia="宋体"/>
                      <w:bCs/>
                      <w:color w:val="auto"/>
                      <w:sz w:val="24"/>
                      <w:vertAlign w:val="baseline"/>
                      <w:lang w:val="en-US" w:eastAsia="zh-CN"/>
                    </w:rPr>
                    <w:drawing>
                      <wp:inline distT="0" distB="0" distL="114300" distR="114300">
                        <wp:extent cx="2705100" cy="2028825"/>
                        <wp:effectExtent l="0" t="0" r="0" b="9525"/>
                        <wp:docPr id="82" name="图片 82" descr="a362dda5a7e25467c9f1ad573437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a362dda5a7e25467c9f1ad57343760e"/>
                                <pic:cNvPicPr>
                                  <a:picLocks noChangeAspect="1"/>
                                </pic:cNvPicPr>
                              </pic:nvPicPr>
                              <pic:blipFill>
                                <a:blip r:embed="rId12"/>
                                <a:stretch>
                                  <a:fillRect/>
                                </a:stretch>
                              </pic:blipFill>
                              <pic:spPr>
                                <a:xfrm>
                                  <a:off x="0" y="0"/>
                                  <a:ext cx="2705100" cy="20288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7" w:type="dxa"/>
                </w:tcPr>
                <w:p>
                  <w:pPr>
                    <w:pStyle w:val="12"/>
                    <w:widowControl w:val="0"/>
                    <w:jc w:val="center"/>
                    <w:rPr>
                      <w:rFonts w:hint="eastAsia" w:ascii="Times New Roman" w:hAnsi="Times New Roman" w:eastAsia="宋体"/>
                      <w:bCs/>
                      <w:color w:val="auto"/>
                      <w:sz w:val="21"/>
                      <w:szCs w:val="21"/>
                      <w:vertAlign w:val="baseline"/>
                      <w:lang w:val="en-US" w:eastAsia="zh-CN"/>
                    </w:rPr>
                  </w:pPr>
                  <w:r>
                    <w:rPr>
                      <w:rFonts w:hint="eastAsia" w:ascii="Times New Roman" w:hAnsi="Times New Roman" w:eastAsia="宋体"/>
                      <w:bCs/>
                      <w:color w:val="auto"/>
                      <w:sz w:val="21"/>
                      <w:szCs w:val="21"/>
                      <w:vertAlign w:val="baseline"/>
                      <w:lang w:val="en-US" w:eastAsia="zh-CN"/>
                    </w:rPr>
                    <w:t>生化池</w:t>
                  </w:r>
                </w:p>
              </w:tc>
              <w:tc>
                <w:tcPr>
                  <w:tcW w:w="4507" w:type="dxa"/>
                </w:tcPr>
                <w:p>
                  <w:pPr>
                    <w:pStyle w:val="12"/>
                    <w:widowControl w:val="0"/>
                    <w:jc w:val="center"/>
                    <w:rPr>
                      <w:rFonts w:hint="eastAsia" w:ascii="Times New Roman" w:hAnsi="Times New Roman" w:eastAsia="宋体"/>
                      <w:bCs/>
                      <w:color w:val="auto"/>
                      <w:sz w:val="21"/>
                      <w:szCs w:val="21"/>
                      <w:vertAlign w:val="baseline"/>
                      <w:lang w:val="en-US" w:eastAsia="zh-CN"/>
                    </w:rPr>
                  </w:pPr>
                  <w:r>
                    <w:rPr>
                      <w:rFonts w:hint="eastAsia" w:ascii="Times New Roman" w:hAnsi="Times New Roman" w:eastAsia="宋体"/>
                      <w:bCs/>
                      <w:color w:val="auto"/>
                      <w:sz w:val="21"/>
                      <w:szCs w:val="21"/>
                      <w:vertAlign w:val="baseline"/>
                      <w:lang w:val="en-US" w:eastAsia="zh-CN"/>
                    </w:rPr>
                    <w:t>打磨冲洗水</w:t>
                  </w:r>
                </w:p>
              </w:tc>
            </w:tr>
          </w:tbl>
          <w:p>
            <w:pPr>
              <w:pStyle w:val="12"/>
              <w:widowControl w:val="0"/>
              <w:ind w:firstLine="414" w:firstLineChars="200"/>
              <w:jc w:val="center"/>
              <w:rPr>
                <w:b/>
                <w:sz w:val="21"/>
              </w:rPr>
            </w:pPr>
            <w:r>
              <w:rPr>
                <w:b/>
                <w:sz w:val="21"/>
              </w:rPr>
              <w:t xml:space="preserve">图 </w:t>
            </w:r>
            <w:r>
              <w:rPr>
                <w:rFonts w:ascii="Times New Roman" w:eastAsia="Times New Roman"/>
                <w:b/>
                <w:sz w:val="21"/>
              </w:rPr>
              <w:t>2.6-</w:t>
            </w:r>
            <w:r>
              <w:rPr>
                <w:rFonts w:hint="eastAsia" w:ascii="Times New Roman" w:eastAsia="宋体"/>
                <w:b/>
                <w:sz w:val="21"/>
                <w:lang w:val="en-US" w:eastAsia="zh-CN"/>
              </w:rPr>
              <w:t>1</w:t>
            </w:r>
            <w:r>
              <w:rPr>
                <w:rFonts w:ascii="Times New Roman" w:eastAsia="Times New Roman"/>
                <w:b/>
                <w:sz w:val="21"/>
              </w:rPr>
              <w:t xml:space="preserve"> </w:t>
            </w:r>
            <w:r>
              <w:rPr>
                <w:rFonts w:hint="eastAsia" w:ascii="Times New Roman" w:eastAsia="宋体"/>
                <w:b/>
                <w:sz w:val="21"/>
                <w:lang w:eastAsia="zh-CN"/>
              </w:rPr>
              <w:t>污水处理</w:t>
            </w:r>
            <w:r>
              <w:rPr>
                <w:b/>
                <w:sz w:val="21"/>
              </w:rPr>
              <w:t>现场图</w:t>
            </w:r>
          </w:p>
          <w:p>
            <w:pPr>
              <w:pStyle w:val="62"/>
              <w:widowControl w:val="0"/>
              <w:numPr>
                <w:ilvl w:val="2"/>
                <w:numId w:val="5"/>
              </w:numPr>
              <w:tabs>
                <w:tab w:val="left" w:pos="819"/>
              </w:tabs>
              <w:spacing w:before="158" w:after="0" w:line="240" w:lineRule="auto"/>
              <w:ind w:left="818" w:right="0" w:hanging="544"/>
              <w:jc w:val="left"/>
              <w:rPr>
                <w:rFonts w:hint="eastAsia" w:ascii="宋体" w:hAnsi="宋体" w:eastAsia="宋体" w:cs="宋体"/>
                <w:b/>
                <w:sz w:val="24"/>
                <w:lang w:val="en-US" w:eastAsia="zh-CN"/>
              </w:rPr>
            </w:pPr>
            <w:r>
              <w:rPr>
                <w:rFonts w:hint="eastAsia" w:ascii="宋体" w:hAnsi="宋体" w:eastAsia="宋体" w:cs="宋体"/>
                <w:b/>
                <w:sz w:val="24"/>
                <w:lang w:eastAsia="zh-CN"/>
              </w:rPr>
              <w:t>噪声</w:t>
            </w:r>
          </w:p>
          <w:p>
            <w:pPr>
              <w:pStyle w:val="3"/>
              <w:widowControl w:val="0"/>
              <w:ind w:firstLine="472" w:firstLineChars="200"/>
              <w:jc w:val="both"/>
              <w:rPr>
                <w:rFonts w:hint="eastAsia" w:ascii="Times New Roman" w:hAnsi="Times New Roman" w:eastAsia="宋体" w:cstheme="minorBidi"/>
                <w:b w:val="0"/>
                <w:bCs/>
                <w:color w:val="auto"/>
                <w:spacing w:val="-2"/>
                <w:sz w:val="24"/>
                <w:szCs w:val="22"/>
                <w:lang w:val="en-US" w:eastAsia="zh-CN" w:bidi="ar-SA"/>
              </w:rPr>
            </w:pPr>
            <w:r>
              <w:rPr>
                <w:rFonts w:hint="eastAsia" w:ascii="Times New Roman" w:hAnsi="Times New Roman" w:eastAsia="宋体" w:cstheme="minorBidi"/>
                <w:b w:val="0"/>
                <w:bCs/>
                <w:color w:val="auto"/>
                <w:spacing w:val="-2"/>
                <w:sz w:val="24"/>
                <w:szCs w:val="22"/>
                <w:lang w:val="en-US" w:eastAsia="zh-CN" w:bidi="ar-SA"/>
              </w:rPr>
              <w:t>项目噪声主要来自于切割机、打磨机、空压机等各种生产设备运行产生的噪声，其声级值为70～90dB(A)。项目选用低噪声设备，经过合理布局、进行隔声、减震处理。</w:t>
            </w:r>
          </w:p>
          <w:p>
            <w:pPr>
              <w:pStyle w:val="62"/>
              <w:widowControl w:val="0"/>
              <w:numPr>
                <w:ilvl w:val="2"/>
                <w:numId w:val="5"/>
              </w:numPr>
              <w:tabs>
                <w:tab w:val="left" w:pos="819"/>
              </w:tabs>
              <w:spacing w:before="158" w:after="0" w:line="360" w:lineRule="auto"/>
              <w:ind w:left="818" w:right="0" w:hanging="544"/>
              <w:jc w:val="left"/>
              <w:rPr>
                <w:rFonts w:hint="eastAsia" w:ascii="宋体" w:hAnsi="宋体" w:eastAsia="宋体" w:cs="宋体"/>
                <w:b/>
                <w:sz w:val="24"/>
                <w:lang w:val="en-US" w:eastAsia="zh-CN"/>
              </w:rPr>
            </w:pPr>
            <w:r>
              <w:rPr>
                <w:rFonts w:hint="eastAsia" w:ascii="宋体" w:hAnsi="宋体" w:eastAsia="宋体" w:cs="宋体"/>
                <w:b/>
                <w:sz w:val="24"/>
                <w:lang w:val="en-US" w:eastAsia="zh-CN"/>
              </w:rPr>
              <w:t>固体废物</w:t>
            </w:r>
          </w:p>
          <w:p>
            <w:pPr>
              <w:pStyle w:val="12"/>
              <w:widowControl w:val="0"/>
              <w:spacing w:line="360" w:lineRule="auto"/>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本项目生产过程中产生的固体废物为一般工业固废、危险固废、生活垃圾。</w:t>
            </w:r>
          </w:p>
          <w:p>
            <w:pPr>
              <w:pStyle w:val="12"/>
              <w:widowControl w:val="0"/>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（1）一般固体废物</w:t>
            </w:r>
          </w:p>
          <w:p>
            <w:pPr>
              <w:pStyle w:val="12"/>
              <w:widowControl w:val="0"/>
              <w:ind w:firstLine="472" w:firstLineChars="200"/>
              <w:jc w:val="both"/>
              <w:rPr>
                <w:rFonts w:hint="eastAsia" w:ascii="Times New Roman" w:hAnsi="Times New Roman" w:eastAsia="宋体"/>
                <w:bCs/>
                <w:color w:val="5B9BD5" w:themeColor="accent1"/>
                <w:sz w:val="24"/>
                <w:lang w:val="en-US" w:eastAsia="zh-CN"/>
                <w14:textFill>
                  <w14:solidFill>
                    <w14:schemeClr w14:val="accent1"/>
                  </w14:solidFill>
                </w14:textFill>
              </w:rPr>
            </w:pPr>
            <w:r>
              <w:rPr>
                <w:rFonts w:hint="eastAsia" w:ascii="Times New Roman" w:hAnsi="Times New Roman" w:eastAsia="宋体"/>
                <w:bCs/>
                <w:color w:val="auto"/>
                <w:sz w:val="24"/>
                <w:lang w:val="en-US" w:eastAsia="zh-CN"/>
              </w:rPr>
              <w:t>废玻璃、玻璃磨边粉末交由玻璃原片供应厂回收利用处理。废包装主要是废弃的玻璃支撑木架等，外售废品回收站。</w:t>
            </w:r>
          </w:p>
          <w:p>
            <w:pPr>
              <w:pStyle w:val="12"/>
              <w:widowControl w:val="0"/>
              <w:numPr>
                <w:ilvl w:val="0"/>
                <w:numId w:val="6"/>
              </w:numPr>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危险废物</w:t>
            </w:r>
          </w:p>
          <w:p>
            <w:pPr>
              <w:pStyle w:val="12"/>
              <w:widowControl w:val="0"/>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在机修过程中会产生含油废棉纱、废机油、废油墨桶及废丝网布等。在车间设置危险废物暂存间，集中收集暂存，委托有资质单位进行收集处置。</w:t>
            </w:r>
          </w:p>
          <w:p>
            <w:pPr>
              <w:pStyle w:val="12"/>
              <w:widowControl w:val="0"/>
              <w:ind w:firstLine="472" w:firstLineChars="200"/>
              <w:jc w:val="both"/>
              <w:rPr>
                <w:rFonts w:hint="eastAsia" w:ascii="Times New Roman" w:hAnsi="Times New Roman" w:eastAsia="宋体"/>
                <w:bCs/>
                <w:color w:val="auto"/>
                <w:sz w:val="24"/>
                <w:lang w:val="en-US" w:eastAsia="zh-CN"/>
              </w:rPr>
            </w:pPr>
            <w:r>
              <w:rPr>
                <w:rFonts w:hint="eastAsia" w:ascii="Times New Roman" w:hAnsi="Times New Roman" w:eastAsia="宋体"/>
                <w:bCs/>
                <w:color w:val="auto"/>
                <w:sz w:val="24"/>
                <w:lang w:val="en-US" w:eastAsia="zh-CN"/>
              </w:rPr>
              <w:t>（3）生活垃圾：收集后交由环卫部门处理。</w:t>
            </w:r>
          </w:p>
          <w:p>
            <w:pPr>
              <w:widowControl w:val="0"/>
              <w:jc w:val="both"/>
            </w:pPr>
          </w:p>
        </w:tc>
      </w:tr>
      <w:bookmarkEnd w:id="5"/>
      <w:bookmarkEnd w:id="12"/>
      <w:bookmarkEnd w:id="13"/>
    </w:tbl>
    <w:p>
      <w:pPr>
        <w:sectPr>
          <w:pgSz w:w="11905" w:h="16838"/>
          <w:pgMar w:top="1083" w:right="1440" w:bottom="1083" w:left="1440" w:header="737" w:footer="510" w:gutter="0"/>
          <w:pgBorders>
            <w:top w:val="none" w:sz="0" w:space="0"/>
            <w:left w:val="none" w:sz="0" w:space="0"/>
            <w:bottom w:val="none" w:sz="0" w:space="0"/>
            <w:right w:val="none" w:sz="0" w:space="0"/>
          </w:pgBorders>
          <w:cols w:space="0" w:num="1"/>
          <w:docGrid w:type="lines" w:linePitch="322" w:charSpace="0"/>
        </w:sectPr>
      </w:pPr>
    </w:p>
    <w:p>
      <w:pPr>
        <w:pStyle w:val="3"/>
        <w:rPr>
          <w:rFonts w:hint="eastAsia" w:ascii="Times New Roman" w:hAnsi="Times New Roman" w:eastAsia="宋体"/>
        </w:rPr>
      </w:pPr>
      <w:bookmarkStart w:id="14" w:name="_Toc17100877"/>
      <w:bookmarkStart w:id="15" w:name="_Toc27817"/>
      <w:bookmarkStart w:id="16" w:name="_Toc16519460"/>
      <w:r>
        <w:rPr>
          <w:rFonts w:hint="eastAsia" w:ascii="Times New Roman" w:hAnsi="Times New Roman" w:eastAsia="宋体"/>
        </w:rPr>
        <w:t>表三</w:t>
      </w:r>
      <w:r>
        <w:rPr>
          <w:rFonts w:hint="eastAsia" w:ascii="Times New Roman" w:hAnsi="Times New Roman" w:eastAsia="宋体"/>
        </w:rPr>
        <w:tab/>
      </w:r>
      <w:r>
        <w:rPr>
          <w:rFonts w:hint="eastAsia" w:ascii="Times New Roman" w:hAnsi="Times New Roman" w:eastAsia="宋体"/>
          <w:lang w:val="en-US" w:eastAsia="zh-CN"/>
        </w:rPr>
        <w:t xml:space="preserve">  </w:t>
      </w:r>
      <w:r>
        <w:rPr>
          <w:rFonts w:hint="eastAsia" w:ascii="Times New Roman" w:hAnsi="Times New Roman" w:eastAsia="宋体"/>
        </w:rPr>
        <w:t>环境影响评价回顾</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3"/>
              <w:keepNext w:val="0"/>
              <w:keepLines w:val="0"/>
              <w:widowControl w:val="0"/>
              <w:autoSpaceDE w:val="0"/>
              <w:autoSpaceDN w:val="0"/>
              <w:adjustRightInd/>
              <w:snapToGrid/>
              <w:spacing w:before="223" w:after="0" w:line="240" w:lineRule="auto"/>
              <w:ind w:left="275" w:right="0" w:firstLine="0"/>
              <w:jc w:val="left"/>
              <w:outlineLvl w:val="2"/>
              <w:rPr>
                <w:rFonts w:ascii="宋体" w:hAnsi="宋体" w:eastAsia="宋体" w:cs="宋体"/>
                <w:bCs/>
                <w:sz w:val="24"/>
                <w:szCs w:val="24"/>
                <w:lang w:val="zh-CN" w:bidi="zh-CN"/>
              </w:rPr>
            </w:pPr>
            <w:r>
              <w:rPr>
                <w:rFonts w:ascii="宋体" w:hAnsi="宋体" w:eastAsia="宋体" w:cs="宋体"/>
                <w:bCs/>
                <w:sz w:val="24"/>
                <w:szCs w:val="24"/>
                <w:lang w:val="zh-CN" w:bidi="zh-CN"/>
              </w:rPr>
              <w:t>环境影响评价的主要结论及建议</w:t>
            </w:r>
          </w:p>
          <w:p>
            <w:pPr>
              <w:pStyle w:val="62"/>
              <w:keepNext w:val="0"/>
              <w:keepLines w:val="0"/>
              <w:pageBreakBefore w:val="0"/>
              <w:widowControl w:val="0"/>
              <w:numPr>
                <w:ilvl w:val="1"/>
                <w:numId w:val="7"/>
              </w:numPr>
              <w:tabs>
                <w:tab w:val="left" w:pos="636"/>
              </w:tabs>
              <w:kinsoku/>
              <w:wordWrap/>
              <w:overflowPunct/>
              <w:topLinePunct w:val="0"/>
              <w:autoSpaceDE w:val="0"/>
              <w:autoSpaceDN w:val="0"/>
              <w:bidi w:val="0"/>
              <w:adjustRightInd/>
              <w:snapToGrid/>
              <w:spacing w:before="159" w:after="0" w:line="240" w:lineRule="auto"/>
              <w:ind w:left="603" w:leftChars="100" w:right="0" w:hanging="363" w:firstLineChars="0"/>
              <w:jc w:val="left"/>
              <w:textAlignment w:val="auto"/>
              <w:rPr>
                <w:rFonts w:ascii="宋体" w:hAnsi="宋体" w:eastAsia="宋体" w:cs="宋体"/>
                <w:b/>
                <w:sz w:val="24"/>
              </w:rPr>
            </w:pPr>
            <w:bookmarkStart w:id="17" w:name="_Toc240167715"/>
            <w:bookmarkStart w:id="18" w:name="_Toc427855253"/>
            <w:bookmarkStart w:id="19" w:name="_Toc408406364"/>
            <w:bookmarkStart w:id="20" w:name="_Toc402788538"/>
            <w:bookmarkStart w:id="21" w:name="_Toc239752863"/>
            <w:bookmarkStart w:id="22" w:name="_Toc427855152"/>
            <w:bookmarkStart w:id="23" w:name="_Toc240167870"/>
            <w:bookmarkStart w:id="24" w:name="_Toc497833597"/>
            <w:bookmarkStart w:id="25" w:name="_Toc3752"/>
            <w:r>
              <w:rPr>
                <w:rFonts w:ascii="宋体" w:hAnsi="宋体" w:eastAsia="宋体" w:cs="宋体"/>
                <w:b/>
                <w:sz w:val="24"/>
              </w:rPr>
              <w:t>建设项目环评报告书</w:t>
            </w:r>
            <w:r>
              <w:rPr>
                <w:rFonts w:hint="eastAsia" w:ascii="宋体" w:hAnsi="宋体" w:eastAsia="宋体" w:cs="宋体"/>
                <w:b/>
                <w:sz w:val="24"/>
                <w:lang w:eastAsia="zh-CN"/>
              </w:rPr>
              <w:t>（表）</w:t>
            </w:r>
            <w:r>
              <w:rPr>
                <w:rFonts w:ascii="宋体" w:hAnsi="宋体" w:eastAsia="宋体" w:cs="宋体"/>
                <w:b/>
                <w:sz w:val="24"/>
              </w:rPr>
              <w:t>的主要结论</w:t>
            </w:r>
            <w:bookmarkEnd w:id="17"/>
            <w:bookmarkEnd w:id="18"/>
            <w:bookmarkEnd w:id="19"/>
            <w:bookmarkEnd w:id="20"/>
            <w:bookmarkEnd w:id="21"/>
            <w:bookmarkEnd w:id="22"/>
            <w:bookmarkEnd w:id="23"/>
            <w:r>
              <w:rPr>
                <w:rFonts w:ascii="宋体" w:hAnsi="宋体" w:eastAsia="宋体" w:cs="宋体"/>
                <w:b/>
                <w:sz w:val="24"/>
              </w:rPr>
              <w:t>与建议</w:t>
            </w:r>
            <w:bookmarkEnd w:id="24"/>
            <w:bookmarkEnd w:id="25"/>
          </w:p>
          <w:p>
            <w:pPr>
              <w:pStyle w:val="62"/>
              <w:widowControl w:val="0"/>
              <w:numPr>
                <w:ilvl w:val="2"/>
                <w:numId w:val="7"/>
              </w:numPr>
              <w:tabs>
                <w:tab w:val="left" w:pos="819"/>
              </w:tabs>
              <w:autoSpaceDE w:val="0"/>
              <w:autoSpaceDN w:val="0"/>
              <w:adjustRightInd/>
              <w:snapToGrid/>
              <w:spacing w:before="162" w:after="0" w:line="360" w:lineRule="auto"/>
              <w:ind w:left="818" w:right="0" w:hanging="544"/>
              <w:jc w:val="left"/>
              <w:rPr>
                <w:rFonts w:ascii="宋体" w:hAnsi="宋体" w:eastAsia="宋体" w:cs="宋体"/>
                <w:sz w:val="24"/>
              </w:rPr>
            </w:pPr>
            <w:bookmarkStart w:id="26" w:name="_Toc427855254"/>
            <w:bookmarkStart w:id="27" w:name="_Toc427855153"/>
            <w:bookmarkStart w:id="28" w:name="_Toc497833598"/>
            <w:r>
              <w:rPr>
                <w:rFonts w:ascii="宋体" w:hAnsi="宋体" w:eastAsia="宋体" w:cs="宋体"/>
                <w:sz w:val="24"/>
              </w:rPr>
              <w:t xml:space="preserve"> 项目概况</w:t>
            </w:r>
          </w:p>
          <w:p>
            <w:pPr>
              <w:widowControl w:val="0"/>
              <w:spacing w:line="360" w:lineRule="auto"/>
              <w:ind w:firstLine="480" w:firstLineChars="200"/>
              <w:jc w:val="both"/>
              <w:rPr>
                <w:rFonts w:hint="eastAsia" w:ascii="Times New Roman" w:hAnsi="Times New Roman" w:eastAsia="宋体" w:cs="Times New Roman"/>
                <w:bCs/>
                <w:color w:val="auto"/>
                <w:sz w:val="24"/>
                <w:lang w:val="en-US" w:eastAsia="zh-CN"/>
              </w:rPr>
            </w:pPr>
            <w:r>
              <w:rPr>
                <w:rFonts w:hint="eastAsia"/>
                <w:lang w:eastAsia="zh-CN"/>
              </w:rPr>
              <w:t>重庆美豪汽车玻璃有限公司拟在重庆市万州经济技术开发区九龙园（原盐气化工园区）建设“年产30万片汽车挡风玻璃项目”，该项目总投资1000万元，新征土地24991.7平方米，新建厂房和配套设施18118.32平方米，包括3座厂房和1栋综合楼，同时配套建设供水、供电等公用工程，建成后形成年产30万片汽车玻璃的生产能力。</w:t>
            </w:r>
          </w:p>
          <w:p>
            <w:pPr>
              <w:pStyle w:val="62"/>
              <w:widowControl w:val="0"/>
              <w:numPr>
                <w:ilvl w:val="2"/>
                <w:numId w:val="7"/>
              </w:numPr>
              <w:tabs>
                <w:tab w:val="left" w:pos="819"/>
              </w:tabs>
              <w:autoSpaceDE w:val="0"/>
              <w:autoSpaceDN w:val="0"/>
              <w:adjustRightInd/>
              <w:snapToGrid/>
              <w:spacing w:before="162" w:after="0" w:line="360" w:lineRule="auto"/>
              <w:ind w:left="818" w:right="0" w:hanging="544"/>
              <w:jc w:val="left"/>
              <w:rPr>
                <w:rFonts w:ascii="宋体" w:hAnsi="宋体" w:eastAsia="宋体" w:cs="宋体"/>
                <w:sz w:val="24"/>
              </w:rPr>
            </w:pPr>
            <w:r>
              <w:rPr>
                <w:rFonts w:ascii="宋体" w:hAnsi="宋体" w:eastAsia="宋体" w:cs="宋体"/>
                <w:sz w:val="24"/>
              </w:rPr>
              <w:t xml:space="preserve"> 产业政策及选址符合性</w:t>
            </w:r>
          </w:p>
          <w:p>
            <w:pPr>
              <w:widowControl w:val="0"/>
              <w:snapToGrid w:val="0"/>
              <w:spacing w:line="360" w:lineRule="auto"/>
              <w:ind w:firstLine="480" w:firstLineChars="200"/>
              <w:jc w:val="both"/>
              <w:rPr>
                <w:rFonts w:hint="eastAsia"/>
              </w:rPr>
            </w:pPr>
            <w:r>
              <w:rPr>
                <w:rFonts w:hint="eastAsia"/>
              </w:rPr>
              <w:t>拟建项目不属于《产业结构调整指导目录</w:t>
            </w:r>
            <w:r>
              <w:rPr>
                <w:rFonts w:hint="eastAsia"/>
                <w:lang w:eastAsia="zh-CN"/>
              </w:rPr>
              <w:t>（</w:t>
            </w:r>
            <w:r>
              <w:rPr>
                <w:rFonts w:hint="eastAsia"/>
              </w:rPr>
              <w:t>2011年本</w:t>
            </w:r>
            <w:r>
              <w:rPr>
                <w:rFonts w:hint="eastAsia"/>
                <w:lang w:eastAsia="zh-CN"/>
              </w:rPr>
              <w:t>）</w:t>
            </w:r>
            <w:r>
              <w:rPr>
                <w:rFonts w:hint="eastAsia"/>
              </w:rPr>
              <w:t>》</w:t>
            </w:r>
            <w:r>
              <w:rPr>
                <w:rFonts w:hint="eastAsia"/>
                <w:lang w:eastAsia="zh-CN"/>
              </w:rPr>
              <w:t>（</w:t>
            </w:r>
            <w:r>
              <w:rPr>
                <w:rFonts w:hint="eastAsia"/>
              </w:rPr>
              <w:t>修正</w:t>
            </w:r>
            <w:r>
              <w:rPr>
                <w:rFonts w:hint="eastAsia"/>
                <w:lang w:eastAsia="zh-CN"/>
              </w:rPr>
              <w:t>）</w:t>
            </w:r>
            <w:r>
              <w:rPr>
                <w:rFonts w:hint="eastAsia"/>
              </w:rPr>
              <w:t>中的鼓励类、淘汰类和限制类项目，属于允许类，符合国家产业政策的要求，同时也满足《重庆市工业项目环境准入规定》</w:t>
            </w:r>
            <w:r>
              <w:rPr>
                <w:rFonts w:hint="eastAsia"/>
                <w:lang w:eastAsia="zh-CN"/>
              </w:rPr>
              <w:t>（</w:t>
            </w:r>
            <w:r>
              <w:rPr>
                <w:rFonts w:hint="eastAsia"/>
              </w:rPr>
              <w:t>渝办发[2012]142号</w:t>
            </w:r>
            <w:r>
              <w:rPr>
                <w:rFonts w:hint="eastAsia"/>
                <w:lang w:eastAsia="zh-CN"/>
              </w:rPr>
              <w:t>）</w:t>
            </w:r>
            <w:r>
              <w:rPr>
                <w:rFonts w:hint="eastAsia"/>
              </w:rPr>
              <w:t>的要求。</w:t>
            </w:r>
          </w:p>
          <w:p>
            <w:pPr>
              <w:widowControl w:val="0"/>
              <w:snapToGrid w:val="0"/>
              <w:spacing w:line="360" w:lineRule="auto"/>
              <w:ind w:firstLine="480" w:firstLineChars="200"/>
              <w:jc w:val="both"/>
              <w:rPr>
                <w:rFonts w:hint="eastAsia"/>
              </w:rPr>
            </w:pPr>
            <w:r>
              <w:rPr>
                <w:rFonts w:hint="eastAsia"/>
              </w:rPr>
              <w:t>本项目位于万州经开区九龙园</w:t>
            </w:r>
            <w:r>
              <w:rPr>
                <w:rFonts w:hint="eastAsia"/>
                <w:lang w:eastAsia="zh-CN"/>
              </w:rPr>
              <w:t>（原盐气化工园区）</w:t>
            </w:r>
            <w:r>
              <w:rPr>
                <w:rFonts w:hint="eastAsia"/>
              </w:rPr>
              <w:t>内，交通方便，基础设施完善，且项目不属于化工园区禁止和限制引进产业，区域环境有一定的容量，选址合理可行。</w:t>
            </w:r>
          </w:p>
          <w:p>
            <w:pPr>
              <w:pStyle w:val="62"/>
              <w:widowControl w:val="0"/>
              <w:numPr>
                <w:ilvl w:val="2"/>
                <w:numId w:val="7"/>
              </w:numPr>
              <w:tabs>
                <w:tab w:val="left" w:pos="819"/>
              </w:tabs>
              <w:autoSpaceDE w:val="0"/>
              <w:autoSpaceDN w:val="0"/>
              <w:adjustRightInd/>
              <w:snapToGrid/>
              <w:spacing w:before="162" w:after="0" w:line="360" w:lineRule="auto"/>
              <w:ind w:left="818" w:right="0" w:hanging="544"/>
              <w:jc w:val="left"/>
              <w:rPr>
                <w:rFonts w:ascii="宋体" w:hAnsi="宋体" w:eastAsia="宋体" w:cs="宋体"/>
                <w:sz w:val="24"/>
              </w:rPr>
            </w:pPr>
            <w:r>
              <w:rPr>
                <w:rFonts w:ascii="宋体" w:hAnsi="宋体" w:eastAsia="宋体" w:cs="宋体"/>
                <w:sz w:val="24"/>
              </w:rPr>
              <w:t xml:space="preserve"> 工程所在地环境功能区划、环境质量现状</w:t>
            </w:r>
          </w:p>
          <w:p>
            <w:pPr>
              <w:widowControl w:val="0"/>
              <w:spacing w:line="360" w:lineRule="auto"/>
              <w:ind w:firstLine="480" w:firstLineChars="200"/>
              <w:jc w:val="both"/>
            </w:pPr>
            <w:r>
              <w:rPr>
                <w:rFonts w:hint="eastAsia"/>
                <w:color w:val="auto"/>
                <w:sz w:val="24"/>
              </w:rPr>
              <w:t>根据万州区环境监测站对拟建项目厂址所在区域的监测结果，项目所在区域SO</w:t>
            </w:r>
            <w:r>
              <w:rPr>
                <w:rFonts w:hint="eastAsia"/>
                <w:color w:val="auto"/>
                <w:sz w:val="24"/>
                <w:vertAlign w:val="subscript"/>
                <w:lang w:val="en-US" w:eastAsia="zh-CN"/>
              </w:rPr>
              <w:t>2</w:t>
            </w:r>
            <w:r>
              <w:rPr>
                <w:rFonts w:hint="eastAsia"/>
                <w:color w:val="auto"/>
                <w:sz w:val="24"/>
              </w:rPr>
              <w:t>、NO</w:t>
            </w:r>
            <w:r>
              <w:rPr>
                <w:rFonts w:hint="eastAsia"/>
                <w:color w:val="auto"/>
                <w:sz w:val="24"/>
                <w:vertAlign w:val="subscript"/>
                <w:lang w:val="en-US" w:eastAsia="zh-CN"/>
              </w:rPr>
              <w:t>2</w:t>
            </w:r>
            <w:r>
              <w:rPr>
                <w:rFonts w:hint="eastAsia"/>
                <w:color w:val="auto"/>
                <w:sz w:val="24"/>
              </w:rPr>
              <w:t>、PM</w:t>
            </w:r>
            <w:r>
              <w:rPr>
                <w:rFonts w:hint="eastAsia"/>
                <w:color w:val="auto"/>
                <w:sz w:val="24"/>
                <w:vertAlign w:val="subscript"/>
                <w:lang w:val="en-US" w:eastAsia="zh-CN"/>
              </w:rPr>
              <w:t>10</w:t>
            </w:r>
            <w:r>
              <w:rPr>
                <w:rFonts w:hint="eastAsia"/>
                <w:color w:val="auto"/>
                <w:sz w:val="24"/>
              </w:rPr>
              <w:t>日均浓度均能满足《环境空气质量标准》</w:t>
            </w:r>
            <w:r>
              <w:rPr>
                <w:rFonts w:hint="eastAsia"/>
                <w:color w:val="auto"/>
                <w:sz w:val="24"/>
                <w:lang w:eastAsia="zh-CN"/>
              </w:rPr>
              <w:t>（</w:t>
            </w:r>
            <w:r>
              <w:rPr>
                <w:rFonts w:hint="eastAsia"/>
                <w:color w:val="auto"/>
                <w:sz w:val="24"/>
              </w:rPr>
              <w:t>GB3095-2012</w:t>
            </w:r>
            <w:r>
              <w:rPr>
                <w:rFonts w:hint="eastAsia"/>
                <w:color w:val="auto"/>
                <w:sz w:val="24"/>
                <w:lang w:eastAsia="zh-CN"/>
              </w:rPr>
              <w:t>）</w:t>
            </w:r>
            <w:r>
              <w:rPr>
                <w:rFonts w:hint="eastAsia"/>
                <w:color w:val="auto"/>
                <w:sz w:val="24"/>
              </w:rPr>
              <w:t>的二级标准。长江晒网坝断面的水质监测指标能够满足《地表水环境质量标准》</w:t>
            </w:r>
            <w:r>
              <w:rPr>
                <w:rFonts w:hint="eastAsia"/>
                <w:color w:val="auto"/>
                <w:sz w:val="24"/>
                <w:lang w:eastAsia="zh-CN"/>
              </w:rPr>
              <w:t>（</w:t>
            </w:r>
            <w:r>
              <w:rPr>
                <w:rFonts w:hint="eastAsia"/>
                <w:color w:val="auto"/>
                <w:sz w:val="24"/>
              </w:rPr>
              <w:t>GB3838-2002</w:t>
            </w:r>
            <w:r>
              <w:rPr>
                <w:rFonts w:hint="eastAsia"/>
                <w:color w:val="auto"/>
                <w:sz w:val="24"/>
                <w:lang w:eastAsia="zh-CN"/>
              </w:rPr>
              <w:t>）</w:t>
            </w:r>
            <w:r>
              <w:rPr>
                <w:rFonts w:hint="eastAsia"/>
                <w:color w:val="auto"/>
                <w:sz w:val="24"/>
              </w:rPr>
              <w:t>Ⅲ类标准的要求。工程所在区域声学环境符合《声环境质量标准》</w:t>
            </w:r>
            <w:r>
              <w:rPr>
                <w:rFonts w:hint="eastAsia"/>
                <w:color w:val="auto"/>
                <w:sz w:val="24"/>
                <w:lang w:eastAsia="zh-CN"/>
              </w:rPr>
              <w:t>（</w:t>
            </w:r>
            <w:r>
              <w:rPr>
                <w:rFonts w:hint="eastAsia"/>
                <w:color w:val="auto"/>
                <w:sz w:val="24"/>
              </w:rPr>
              <w:t>GB3096-2008</w:t>
            </w:r>
            <w:r>
              <w:rPr>
                <w:rFonts w:hint="eastAsia"/>
                <w:color w:val="auto"/>
                <w:sz w:val="24"/>
                <w:lang w:eastAsia="zh-CN"/>
              </w:rPr>
              <w:t>）</w:t>
            </w:r>
            <w:r>
              <w:rPr>
                <w:rFonts w:hint="eastAsia"/>
                <w:color w:val="auto"/>
                <w:sz w:val="24"/>
              </w:rPr>
              <w:t>3类标准的要求</w:t>
            </w:r>
            <w:r>
              <w:rPr>
                <w:rFonts w:hint="default" w:ascii="Times New Roman" w:hAnsi="Times New Roman" w:eastAsia="宋体" w:cs="Times New Roman"/>
                <w:color w:val="auto"/>
                <w:kern w:val="0"/>
                <w:sz w:val="24"/>
                <w:szCs w:val="24"/>
              </w:rPr>
              <w:t>。</w:t>
            </w:r>
          </w:p>
          <w:p>
            <w:pPr>
              <w:pStyle w:val="62"/>
              <w:widowControl w:val="0"/>
              <w:numPr>
                <w:ilvl w:val="2"/>
                <w:numId w:val="7"/>
              </w:numPr>
              <w:tabs>
                <w:tab w:val="left" w:pos="819"/>
              </w:tabs>
              <w:autoSpaceDE w:val="0"/>
              <w:autoSpaceDN w:val="0"/>
              <w:adjustRightInd/>
              <w:snapToGrid/>
              <w:spacing w:before="162" w:after="0" w:line="360" w:lineRule="auto"/>
              <w:ind w:left="818" w:right="0" w:hanging="544"/>
              <w:jc w:val="left"/>
              <w:rPr>
                <w:rFonts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环境影响及污染防治措施</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zh-CN"/>
              </w:rPr>
              <w:t>废水</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生产废水：主要是打磨阶段的生产过程中切割后的玻璃还需对边角进行磨光，在磨边机磨边的同时，在砂轮与玻璃接触部位冲水，以免产生玻璃粉尘，在钢化炉加热前，需清洗掉玻璃表面灰尘等杂质，清洗水与打磨冲洗水一起进入集水池，静置沉淀后，上层清液循环回用于打磨工序。所产生生产废水不外排。</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外排废水为生活污水，排放量0.525万t/a</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采用生化预处理达到万州化工园污水处理厂工业废水接管标准后排入化工园区污水管网，送化工园区污水处理厂进行深度处理后排入长江，对长江万州段水环境的影响较小。</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zh-CN"/>
              </w:rPr>
              <w:t>废气</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企业加热用电加热，不设锅炉，无燃煤、燃油、燃气废气产生。主要为玻璃印刷黑边及标志时产生的挥发性气体，项目所用油墨为玻璃丝印油墨，溶剂主要为萜烯类化合物，故无苯类挥气体产生；因此本项目主要污染物为油墨及溶剂组份中可挥发性醇类有机化合物挥发出来的有机废气</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Volatile OrganicCompounds</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简称VOCs</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VOCs产生量为17.5kg/a。</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建议建设单位在印刷工序及相关工序上方设置集气罩及排气管道，将有机废气集中收集后由排气筒引至楼顶高空排放，排气筒高度约为15m。集气罩风量按2000m³/h 计，集气效率按80%计，年运行600h</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则印刷工序进入集气装置进行有组织排放的总VOCs  排放速率及浓度分别为0.023kg/h、11.67mg/m³。项目丝印挥发产生的有组织排放VOCs  的排放浓度和排放速率均小于广东省《印 刷行业挥发性有机化合物排放标准》</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DB44/815-2010</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平版印刷第Ⅱ时段排放限值，对周围的环境不会产生明显影响。</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约20%</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废气量：</w:t>
            </w:r>
            <w:r>
              <w:rPr>
                <w:rFonts w:hint="eastAsia"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lang w:val="zh-CN"/>
              </w:rPr>
              <w:t>kg/a</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未被集气罩收集的有机废气为无组织排放，丝印车间墙壁安装排风扇加强通风，为保护员工身体健康，应确保抽排风机有效工作，给工人配备口罩、手套及防护服等必要的劳保防护用品，确保劳动安全卫生。</w:t>
            </w:r>
          </w:p>
          <w:p>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 xml:space="preserve">项目厨房油烟废气经过油烟净化器处理后达到《饮食业油烟排放标准》 </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GB18483-2001</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小型规模标准</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油烟≤2.0mg/m³</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经烟囱引至楼顶排放，对周围环境空气影响极小。</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本项目的卫生防护距离设置结果为项目丝印车间边界周边50米为卫生防护距离。经现场踏看，该距离范围主要为企业、道路，无居民区、学校、医院及企业宿舍等敏感设施。建议建设单位、当地政府及卫生主管部门在今后规划时，不得在项目卫生防护距离范围内新建居住区、学校及医院等敏感设施。</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zh-CN"/>
              </w:rPr>
              <w:t>噪声</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项目噪声主要来自于切割机、打磨机、空压机等各种生产设备运行产生的噪声，其声级值为70～90dB(A)。噪声预测结果说明，拟建项目采取噪声治理措施后，厂界噪声能够达到《工业企业厂界环境噪声排放标准》</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GB12348-2008</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3类标准。周围居民点距离厂区在300米外，本厂噪声对敏感点影响较小。</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4</w:t>
            </w:r>
            <w:r>
              <w:rPr>
                <w:rFonts w:hint="eastAsia"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zh-CN"/>
              </w:rPr>
              <w:t>固体废物</w:t>
            </w:r>
          </w:p>
          <w:p>
            <w:pPr>
              <w:widowControl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zh-CN" w:eastAsia="zh-CN"/>
              </w:rPr>
              <w:t>本项目运营期间固体废弃物主要是员工生活垃圾、废玻璃、玻璃磨边粉末</w:t>
            </w:r>
            <w:r>
              <w:rPr>
                <w:rFonts w:hint="eastAsia" w:ascii="Times New Roman" w:hAnsi="Times New Roman" w:eastAsia="宋体" w:cs="Times New Roman"/>
                <w:color w:val="auto"/>
                <w:sz w:val="24"/>
                <w:szCs w:val="24"/>
                <w:lang w:val="zh-CN" w:eastAsia="zh-CN"/>
              </w:rPr>
              <w:t>、</w:t>
            </w:r>
            <w:r>
              <w:rPr>
                <w:rFonts w:hint="default" w:ascii="Times New Roman" w:hAnsi="Times New Roman" w:eastAsia="宋体" w:cs="Times New Roman"/>
                <w:color w:val="auto"/>
                <w:sz w:val="24"/>
                <w:szCs w:val="24"/>
                <w:lang w:val="en-US" w:eastAsia="zh-CN"/>
              </w:rPr>
              <w:t>废包装、废PVB胶片等。</w:t>
            </w:r>
          </w:p>
          <w:p>
            <w:pPr>
              <w:widowControl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一般固体废物：废玻璃来自切割过程中，产生一定量的废边条，及生产过程中出现部分废品，产生量约30t/a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交由玻璃原片供应厂回收利用处理；玻璃磨边粉末来自打磨和钻孔，玻璃在磨边时用水冲洗砂轮和玻璃接触部位，磨边时产生的玻璃粉末会被水带走，进入沉淀水池，下层玻璃粉末定期捞出作为固废处置，产生量约为5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定期交由玻璃原片厂回收利用处理；废包装主要是PVB胶片废包装、废弃的玻璃支撑木架等，产生量为3.0t/a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外售废品回收站；项目生产过程中会产生少量的PVB胶片边角料，不合格夹胶玻璃中产生少量废弃PVB胶，产生量为0.2t/a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交由原厂回收利用处理，不随意丢弃与处置。</w:t>
            </w:r>
          </w:p>
          <w:p>
            <w:pPr>
              <w:widowControl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危险废物包括：在机修过程中会产生含油废棉纱、废机油等</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编号HW49</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、废油墨桶及废丝网布</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编号HW49</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产生量约0.02t/a。在丝印车间东北角设置危险废物暂存间，集中收集暂存车间，委托有资质单位进行收集处置。</w:t>
            </w:r>
          </w:p>
          <w:p>
            <w:pPr>
              <w:widowControl w:val="0"/>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生活垃圾：产生量为65kg/d(19.5t/a)</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袋装收集后交由环卫部门处理。</w:t>
            </w:r>
          </w:p>
          <w:p>
            <w:pPr>
              <w:widowControl w:val="0"/>
              <w:spacing w:line="360" w:lineRule="auto"/>
              <w:ind w:firstLine="480" w:firstLineChars="200"/>
              <w:jc w:val="left"/>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val="en-US" w:eastAsia="zh-CN"/>
              </w:rPr>
              <w:t>拟建项目的固体废物采取以上相应的方式处理后对环境的影响较小。</w:t>
            </w:r>
          </w:p>
          <w:p>
            <w:pPr>
              <w:pStyle w:val="62"/>
              <w:widowControl w:val="0"/>
              <w:numPr>
                <w:ilvl w:val="2"/>
                <w:numId w:val="7"/>
              </w:numPr>
              <w:tabs>
                <w:tab w:val="left" w:pos="819"/>
              </w:tabs>
              <w:autoSpaceDE w:val="0"/>
              <w:autoSpaceDN w:val="0"/>
              <w:adjustRightInd/>
              <w:snapToGrid/>
              <w:spacing w:before="162" w:after="0" w:line="360" w:lineRule="auto"/>
              <w:ind w:left="818" w:right="0" w:hanging="544"/>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 总量控制</w:t>
            </w:r>
          </w:p>
          <w:p>
            <w:pPr>
              <w:widowControl w:val="0"/>
              <w:spacing w:line="360" w:lineRule="auto"/>
              <w:ind w:firstLine="480" w:firstLineChars="20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根据我国总量控制基本原则以及重庆市现行的环境管理要求，确定本项目总量控制因子</w:t>
            </w:r>
            <w:r>
              <w:rPr>
                <w:rFonts w:hint="eastAsia" w:ascii="Times New Roman" w:hAnsi="Times New Roman" w:cs="Times New Roman"/>
                <w:color w:val="auto"/>
                <w:sz w:val="24"/>
                <w:szCs w:val="24"/>
                <w:lang w:val="en-US" w:eastAsia="zh-CN"/>
              </w:rPr>
              <w:t>及总量指标</w:t>
            </w:r>
            <w:r>
              <w:rPr>
                <w:rFonts w:hint="default" w:ascii="Times New Roman" w:hAnsi="Times New Roman" w:cs="Times New Roman"/>
                <w:color w:val="auto"/>
                <w:sz w:val="24"/>
                <w:szCs w:val="24"/>
                <w:lang w:val="en-US" w:eastAsia="zh-CN"/>
              </w:rPr>
              <w:t>为：废水：COD</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0.420t/a</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NH</w:t>
            </w:r>
            <w:r>
              <w:rPr>
                <w:rFonts w:hint="eastAsia" w:cs="Times New Roman"/>
                <w:color w:val="auto"/>
                <w:sz w:val="24"/>
                <w:szCs w:val="24"/>
                <w:vertAlign w:val="subscript"/>
                <w:lang w:val="en-US" w:eastAsia="zh-CN"/>
              </w:rPr>
              <w:t>3</w:t>
            </w:r>
            <w:r>
              <w:rPr>
                <w:rFonts w:hint="default" w:ascii="Times New Roman" w:hAnsi="Times New Roman" w:cs="Times New Roman"/>
                <w:color w:val="auto"/>
                <w:sz w:val="24"/>
                <w:szCs w:val="24"/>
                <w:lang w:val="en-US" w:eastAsia="zh-CN"/>
              </w:rPr>
              <w:t>-N</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0.052t/a。</w:t>
            </w:r>
          </w:p>
          <w:p>
            <w:pPr>
              <w:widowControl w:val="0"/>
              <w:spacing w:line="360" w:lineRule="auto"/>
              <w:ind w:firstLine="480" w:firstLineChars="20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固体废物：危险废物0.02t/a。</w:t>
            </w:r>
          </w:p>
          <w:p>
            <w:pPr>
              <w:widowControl w:val="0"/>
              <w:spacing w:line="360" w:lineRule="auto"/>
              <w:ind w:firstLine="480" w:firstLineChars="20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根据重庆市主要污染物排放权交易中心管理办法和《重庆市环境保护局关于印发重庆市工业企业排污权有偿使用和交易工作实施细则的通知》（渝环〔2017〕249号），本项目污水、废气、垃圾等总量按照相关要求有偿使用。</w:t>
            </w:r>
          </w:p>
          <w:p>
            <w:pPr>
              <w:pStyle w:val="62"/>
              <w:widowControl w:val="0"/>
              <w:numPr>
                <w:ilvl w:val="2"/>
                <w:numId w:val="7"/>
              </w:numPr>
              <w:tabs>
                <w:tab w:val="left" w:pos="819"/>
              </w:tabs>
              <w:autoSpaceDE w:val="0"/>
              <w:autoSpaceDN w:val="0"/>
              <w:adjustRightInd/>
              <w:snapToGrid/>
              <w:spacing w:before="162" w:after="0" w:line="360" w:lineRule="auto"/>
              <w:ind w:left="818" w:right="0" w:hanging="544"/>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  综合结论</w:t>
            </w:r>
          </w:p>
          <w:bookmarkEnd w:id="26"/>
          <w:bookmarkEnd w:id="27"/>
          <w:bookmarkEnd w:id="28"/>
          <w:p>
            <w:pPr>
              <w:widowControl w:val="0"/>
              <w:spacing w:line="360" w:lineRule="auto"/>
              <w:ind w:firstLine="560"/>
              <w:jc w:val="both"/>
              <w:rPr>
                <w:rFonts w:hint="eastAsia" w:cs="Times New Roman"/>
                <w:color w:val="auto"/>
                <w:sz w:val="24"/>
                <w:szCs w:val="24"/>
                <w:lang w:eastAsia="zh-CN"/>
              </w:rPr>
            </w:pPr>
            <w:bookmarkStart w:id="29" w:name="_Toc9644"/>
            <w:bookmarkStart w:id="30" w:name="_Toc427855160"/>
            <w:bookmarkStart w:id="31" w:name="_Toc427855261"/>
            <w:bookmarkStart w:id="32" w:name="_Toc497833611"/>
            <w:r>
              <w:rPr>
                <w:rFonts w:hint="eastAsia" w:cs="Times New Roman"/>
                <w:color w:val="auto"/>
                <w:sz w:val="24"/>
                <w:szCs w:val="24"/>
                <w:lang w:eastAsia="zh-CN"/>
              </w:rPr>
              <w:t>重庆美豪汽车玻璃有限公司拟投资建设的“年产30万片汽车挡风玻璃项目”位于万州经济技术开发区九龙园（原盐气化工园区）工业用地内，项目选址符合城市总体规划和园区的用地规划；建设内容符合国家产业政策和片区的产业规划；只要拟建项目在建设过程中严格执行环境保护“三同时”制度，切实将本环评所提的各项污染防治措施落实到位，营运期强化环境管理，确保污染治理设施的正常运行，并严格控制污染物的排放浓度及总量，加强环境风险防范。则该工程的建设对区域环境空气、地表水、声环境等的影响较小。本评价从环境保护角度认为：该工程在此建设是可行的。</w:t>
            </w:r>
          </w:p>
          <w:p>
            <w:pPr>
              <w:pStyle w:val="31"/>
              <w:jc w:val="both"/>
              <w:rPr>
                <w:rFonts w:hint="eastAsia"/>
              </w:rPr>
            </w:pPr>
          </w:p>
          <w:p>
            <w:pPr>
              <w:pStyle w:val="62"/>
              <w:keepNext w:val="0"/>
              <w:keepLines w:val="0"/>
              <w:pageBreakBefore w:val="0"/>
              <w:widowControl w:val="0"/>
              <w:numPr>
                <w:ilvl w:val="1"/>
                <w:numId w:val="7"/>
              </w:numPr>
              <w:tabs>
                <w:tab w:val="left" w:pos="636"/>
              </w:tabs>
              <w:kinsoku/>
              <w:wordWrap/>
              <w:overflowPunct/>
              <w:topLinePunct w:val="0"/>
              <w:autoSpaceDE w:val="0"/>
              <w:autoSpaceDN w:val="0"/>
              <w:bidi w:val="0"/>
              <w:adjustRightInd/>
              <w:snapToGrid/>
              <w:spacing w:before="159" w:after="0" w:line="240" w:lineRule="auto"/>
              <w:ind w:left="603" w:leftChars="100" w:right="0" w:hanging="363" w:firstLineChars="0"/>
              <w:jc w:val="left"/>
              <w:textAlignment w:val="auto"/>
              <w:rPr>
                <w:rFonts w:ascii="宋体" w:hAnsi="宋体" w:eastAsia="宋体" w:cs="宋体"/>
                <w:b/>
                <w:sz w:val="24"/>
              </w:rPr>
            </w:pPr>
            <w:r>
              <w:rPr>
                <w:rFonts w:hint="eastAsia" w:ascii="宋体" w:hAnsi="宋体" w:eastAsia="宋体" w:cs="宋体"/>
                <w:b/>
                <w:sz w:val="24"/>
                <w:lang w:val="en-US" w:eastAsia="zh-CN"/>
              </w:rPr>
              <w:t xml:space="preserve"> </w:t>
            </w:r>
            <w:r>
              <w:rPr>
                <w:rFonts w:ascii="宋体" w:hAnsi="宋体" w:eastAsia="宋体" w:cs="宋体"/>
                <w:b/>
                <w:sz w:val="24"/>
              </w:rPr>
              <w:t xml:space="preserve"> 审批部门审批决定</w:t>
            </w:r>
            <w:bookmarkEnd w:id="29"/>
            <w:bookmarkEnd w:id="30"/>
            <w:bookmarkEnd w:id="31"/>
            <w:bookmarkEnd w:id="32"/>
          </w:p>
          <w:p>
            <w:pPr>
              <w:widowControl w:val="0"/>
              <w:ind w:firstLine="480" w:firstLineChars="200"/>
              <w:jc w:val="both"/>
              <w:rPr>
                <w:rFonts w:hint="eastAsia"/>
                <w:lang w:val="en-US" w:eastAsia="zh-CN"/>
              </w:rPr>
            </w:pPr>
            <w:r>
              <w:rPr>
                <w:rFonts w:hint="eastAsia"/>
                <w:lang w:val="en-US" w:eastAsia="zh-CN"/>
              </w:rPr>
              <w:t>原文抄录《重庆市建设项目环境影响评价文件批准书》渝（万）环准[2015] 276号，详见附件1。</w:t>
            </w:r>
          </w:p>
          <w:p>
            <w:pPr>
              <w:widowControl w:val="0"/>
              <w:ind w:firstLine="480" w:firstLineChars="200"/>
              <w:jc w:val="both"/>
              <w:rPr>
                <w:rFonts w:hint="eastAsia"/>
                <w:lang w:val="en-US" w:eastAsia="zh-CN"/>
              </w:rPr>
            </w:pPr>
            <w:r>
              <w:rPr>
                <w:rFonts w:hint="eastAsia"/>
                <w:lang w:val="en-US" w:eastAsia="zh-CN"/>
              </w:rPr>
              <w:t>你公司报送的《年产30万片汽车挡风玻璃项目环境影响报告表》和其它有关材料收悉。根据《中华人民共和国环境影响评价法》、《建设项目环境保护管理条例》等法律法规的有关规定，结合公示情况，经研究，同意该项目在万州经济技术开发区九龙园（盐气化工园区）建设。</w:t>
            </w:r>
          </w:p>
          <w:p>
            <w:pPr>
              <w:widowControl w:val="0"/>
              <w:ind w:firstLine="480" w:firstLineChars="200"/>
              <w:jc w:val="both"/>
              <w:rPr>
                <w:rFonts w:hint="eastAsia"/>
                <w:lang w:val="en-US" w:eastAsia="zh-CN"/>
              </w:rPr>
            </w:pPr>
            <w:r>
              <w:rPr>
                <w:rFonts w:hint="eastAsia"/>
                <w:lang w:val="en-US" w:eastAsia="zh-CN"/>
              </w:rPr>
              <w:t>一、原则同意《重庆美豪汽车玻璃有限公司年产30万片汽车挡风玻璃项目环境影响报告表》的内容、结论和建议以及对该建设项目提出的环境保护措施。</w:t>
            </w:r>
          </w:p>
          <w:p>
            <w:pPr>
              <w:widowControl w:val="0"/>
              <w:ind w:firstLine="480" w:firstLineChars="200"/>
              <w:jc w:val="both"/>
              <w:rPr>
                <w:rFonts w:hint="eastAsia"/>
                <w:lang w:val="en-US" w:eastAsia="zh-CN"/>
              </w:rPr>
            </w:pPr>
            <w:r>
              <w:rPr>
                <w:rFonts w:hint="eastAsia"/>
                <w:lang w:val="en-US" w:eastAsia="zh-CN"/>
              </w:rPr>
              <w:t>二、该项目建设内容和建设规模为：新征土地24991.7平方米，新建厂房和配套设施18118.32平方米，包括3座厂房和1栋综合楼，同时配套建设供水、供电等公用工程，项目建成后形成年产30方片汽车玻璃的生产能力。该项目总投资1000万元，其中环保投资79.5万元。</w:t>
            </w:r>
          </w:p>
          <w:p>
            <w:pPr>
              <w:widowControl w:val="0"/>
              <w:ind w:firstLine="480" w:firstLineChars="200"/>
              <w:jc w:val="both"/>
              <w:rPr>
                <w:rFonts w:hint="eastAsia"/>
                <w:lang w:val="en-US" w:eastAsia="zh-CN"/>
              </w:rPr>
            </w:pPr>
            <w:r>
              <w:rPr>
                <w:rFonts w:hint="eastAsia"/>
                <w:lang w:val="en-US" w:eastAsia="zh-CN"/>
              </w:rPr>
              <w:t>三、该项目污染物排放标准和总量控制指标为：</w:t>
            </w:r>
          </w:p>
          <w:p>
            <w:pPr>
              <w:widowControl w:val="0"/>
              <w:ind w:firstLine="480" w:firstLineChars="200"/>
              <w:jc w:val="both"/>
              <w:rPr>
                <w:rFonts w:hint="eastAsia"/>
                <w:lang w:val="en-US" w:eastAsia="zh-CN"/>
              </w:rPr>
            </w:pPr>
            <w:r>
              <w:rPr>
                <w:rFonts w:hint="eastAsia"/>
                <w:lang w:val="en-US" w:eastAsia="zh-CN"/>
              </w:rPr>
              <w:t>（一）污染物排放标准。废水：执行《污水综合排放标准》（GB8978-96）三级标准；废气：执行《大气污染物综合排放标准》（GB16297-1996）二级标准；噪声：执行《工业企业厂界环境噪声排放标准》（GB12348-2008）3类标准；固体废物：执行《一般工业固体废物贮存、处置场污染控制标准》（GB1 8599-2001）。若涉及其它污染物排放，执行现行标准。</w:t>
            </w:r>
          </w:p>
          <w:p>
            <w:pPr>
              <w:widowControl w:val="0"/>
              <w:ind w:firstLine="480" w:firstLineChars="200"/>
              <w:jc w:val="both"/>
              <w:rPr>
                <w:rFonts w:hint="eastAsia"/>
                <w:lang w:val="en-US" w:eastAsia="zh-CN"/>
              </w:rPr>
            </w:pPr>
            <w:r>
              <w:rPr>
                <w:rFonts w:hint="eastAsia"/>
                <w:lang w:val="en-US" w:eastAsia="zh-CN"/>
              </w:rPr>
              <w:t>（二）污染物排放总量控制指标:无需购买总量指标。</w:t>
            </w:r>
          </w:p>
          <w:p>
            <w:pPr>
              <w:widowControl w:val="0"/>
              <w:ind w:firstLine="480" w:firstLineChars="200"/>
              <w:jc w:val="both"/>
              <w:rPr>
                <w:rFonts w:hint="eastAsia"/>
                <w:lang w:val="en-US" w:eastAsia="zh-CN"/>
              </w:rPr>
            </w:pPr>
            <w:r>
              <w:rPr>
                <w:rFonts w:hint="eastAsia"/>
                <w:lang w:val="en-US" w:eastAsia="zh-CN"/>
              </w:rPr>
              <w:t>四、该项目在设计、建设和使用过程中，应认真落实《环境影响报告表》提出的各项环境保护措施，并做好以下工作：</w:t>
            </w:r>
          </w:p>
          <w:p>
            <w:pPr>
              <w:widowControl w:val="0"/>
              <w:ind w:firstLine="480" w:firstLineChars="200"/>
              <w:jc w:val="both"/>
              <w:rPr>
                <w:rFonts w:hint="eastAsia"/>
                <w:lang w:val="en-US" w:eastAsia="zh-CN"/>
              </w:rPr>
            </w:pPr>
            <w:r>
              <w:rPr>
                <w:rFonts w:hint="eastAsia"/>
                <w:lang w:val="en-US" w:eastAsia="zh-CN"/>
              </w:rPr>
              <w:t>（一）清洗水与打磨冲洗水一起进入沉淀池静置沉淀后上层清液循环回用于打磨工序，生产废水不外排；生活污水通过生化池处理达到《污水综合排放标准》（GB8978-1996）三级标准后达到万州化工园污水处理厂工业废水接管标准后排入化工园区污水管网，送化工园区污水处理厂进行深度处理。</w:t>
            </w:r>
          </w:p>
          <w:p>
            <w:pPr>
              <w:widowControl w:val="0"/>
              <w:ind w:firstLine="480" w:firstLineChars="200"/>
              <w:jc w:val="both"/>
              <w:rPr>
                <w:rFonts w:hint="eastAsia"/>
                <w:lang w:val="en-US" w:eastAsia="zh-CN"/>
              </w:rPr>
            </w:pPr>
            <w:r>
              <w:rPr>
                <w:rFonts w:hint="eastAsia"/>
                <w:lang w:val="en-US" w:eastAsia="zh-CN"/>
              </w:rPr>
              <w:t>（二）项目用电加热，禁止使用燃煤；油墨产生挥发性气体非甲烷总烃，采取集气罩及排气管道措施，将有机废气集中收集后由排气筒引至楼顶高空排放，通过扩散减少周围环境的影响。</w:t>
            </w:r>
          </w:p>
          <w:p>
            <w:pPr>
              <w:widowControl w:val="0"/>
              <w:ind w:firstLine="480" w:firstLineChars="200"/>
              <w:jc w:val="both"/>
              <w:rPr>
                <w:rFonts w:hint="eastAsia"/>
                <w:lang w:val="en-US" w:eastAsia="zh-CN"/>
              </w:rPr>
            </w:pPr>
            <w:r>
              <w:rPr>
                <w:rFonts w:hint="eastAsia"/>
                <w:lang w:val="en-US" w:eastAsia="zh-CN"/>
              </w:rPr>
              <w:t>（三）项目噪声源为机械设备噪声，通过采取减振、隔声、消声等降噪措施后使厂界噪声达到《工业企业厂界环境噪声排放标准》（GB12348-2008）3类标准。</w:t>
            </w:r>
          </w:p>
          <w:p>
            <w:pPr>
              <w:widowControl w:val="0"/>
              <w:ind w:firstLine="480" w:firstLineChars="200"/>
              <w:jc w:val="both"/>
              <w:rPr>
                <w:rFonts w:hint="eastAsia"/>
                <w:lang w:val="en-US" w:eastAsia="zh-CN"/>
              </w:rPr>
            </w:pPr>
            <w:r>
              <w:rPr>
                <w:rFonts w:hint="eastAsia"/>
                <w:lang w:val="en-US" w:eastAsia="zh-CN"/>
              </w:rPr>
              <w:t>（四）废玻璃交由玻璃原片供应厂回收利用处理；玻璃磨边粉末来自打磨和钻孔，沉淀水池下层玻璃粉末定期捞出交由玻璃原片厂回收利用处理；废包装交由原厂回收利用处理，不随意丢弃与处置；危险废物委托有资质单位进行收集处置。</w:t>
            </w:r>
          </w:p>
          <w:p>
            <w:pPr>
              <w:widowControl w:val="0"/>
              <w:ind w:firstLine="480" w:firstLineChars="200"/>
              <w:jc w:val="both"/>
              <w:rPr>
                <w:rFonts w:hint="eastAsia"/>
                <w:lang w:val="en-US" w:eastAsia="zh-CN"/>
              </w:rPr>
            </w:pPr>
            <w:r>
              <w:rPr>
                <w:rFonts w:hint="eastAsia"/>
                <w:lang w:val="en-US" w:eastAsia="zh-CN"/>
              </w:rPr>
              <w:t>（五）严格落实环评提出的风险防范措施，制定相应的事故应急预案，尤其是环境风险应急预案的制定及实施可有效降低环境风险事故发生的概率，减少事故损失，将风险水平控制在环境可接受范围内。生产车间应按照《建筑设计防火规范》要求做好防火、防爆处理，设置防火门窗，严格操作规范，避免环境风险事故发生。</w:t>
            </w:r>
          </w:p>
          <w:p>
            <w:pPr>
              <w:widowControl w:val="0"/>
              <w:ind w:firstLine="480" w:firstLineChars="200"/>
              <w:jc w:val="both"/>
              <w:rPr>
                <w:rFonts w:hint="eastAsia"/>
                <w:lang w:val="en-US" w:eastAsia="zh-CN"/>
              </w:rPr>
            </w:pPr>
            <w:r>
              <w:rPr>
                <w:rFonts w:hint="eastAsia"/>
                <w:lang w:val="en-US" w:eastAsia="zh-CN"/>
              </w:rPr>
              <w:t>（六）建立健全环境保护内部管理机构和制度，加强厂区绿化，规范排污口，确保污染治理设施正常运转，做到各项污染物常年稳定达标排放。</w:t>
            </w:r>
          </w:p>
          <w:p>
            <w:pPr>
              <w:widowControl w:val="0"/>
              <w:ind w:firstLine="480" w:firstLineChars="200"/>
              <w:jc w:val="both"/>
              <w:rPr>
                <w:rFonts w:hint="eastAsia"/>
                <w:lang w:val="en-US" w:eastAsia="zh-CN"/>
              </w:rPr>
            </w:pPr>
            <w:r>
              <w:rPr>
                <w:rFonts w:hint="eastAsia"/>
                <w:lang w:val="en-US" w:eastAsia="zh-CN"/>
              </w:rPr>
              <w:t>五、该项目建设须严格执行环境保护“三同时”制度，项目竣工投入试生产前，应申请项目环境保护试生产，试生产期满前，应按规定程序申请环境保护竣工验收，验收合格后才能正式投入生产。</w:t>
            </w:r>
          </w:p>
          <w:p>
            <w:pPr>
              <w:widowControl w:val="0"/>
              <w:ind w:firstLine="480" w:firstLineChars="200"/>
              <w:jc w:val="both"/>
              <w:rPr>
                <w:rFonts w:hint="eastAsia"/>
                <w:lang w:val="en-US" w:eastAsia="zh-CN"/>
              </w:rPr>
            </w:pPr>
            <w:r>
              <w:rPr>
                <w:rFonts w:hint="eastAsia"/>
                <w:lang w:val="en-US" w:eastAsia="zh-CN"/>
              </w:rPr>
              <w:t>六、该项目的内容、规模地点或者防止污染、防止生态破坏的措施发生重大变动的，你单位应重新向我局报批该项目环境影响评价文件。</w:t>
            </w: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p>
            <w:pPr>
              <w:pStyle w:val="31"/>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p>
        </w:tc>
      </w:tr>
    </w:tbl>
    <w:p>
      <w:pPr>
        <w:pStyle w:val="2"/>
        <w:keepNext w:val="0"/>
        <w:keepLines w:val="0"/>
        <w:pageBreakBefore/>
        <w:widowControl w:val="0"/>
        <w:tabs>
          <w:tab w:val="left" w:pos="1120"/>
          <w:tab w:val="clear" w:pos="371"/>
          <w:tab w:val="clear" w:pos="432"/>
        </w:tabs>
        <w:kinsoku/>
        <w:wordWrap/>
        <w:overflowPunct/>
        <w:topLinePunct w:val="0"/>
        <w:autoSpaceDE w:val="0"/>
        <w:autoSpaceDN w:val="0"/>
        <w:bidi w:val="0"/>
        <w:adjustRightInd/>
        <w:snapToGrid/>
        <w:spacing w:before="219" w:after="0" w:line="240" w:lineRule="auto"/>
        <w:ind w:left="278" w:right="0" w:firstLine="0"/>
        <w:jc w:val="left"/>
        <w:textAlignment w:val="auto"/>
        <w:outlineLvl w:val="1"/>
        <w:rPr>
          <w:rFonts w:ascii="宋体" w:hAnsi="宋体" w:eastAsia="宋体" w:cs="宋体"/>
          <w:bCs/>
          <w:spacing w:val="5"/>
          <w:kern w:val="0"/>
          <w:sz w:val="28"/>
          <w:szCs w:val="28"/>
          <w:lang w:val="zh-CN" w:bidi="zh-CN"/>
        </w:rPr>
      </w:pPr>
      <w:r>
        <w:rPr>
          <w:rFonts w:ascii="宋体" w:hAnsi="宋体" w:eastAsia="宋体" w:cs="宋体"/>
          <w:bCs/>
          <w:spacing w:val="5"/>
          <w:kern w:val="0"/>
          <w:sz w:val="28"/>
          <w:szCs w:val="28"/>
          <w:lang w:val="zh-CN" w:bidi="zh-CN"/>
        </w:rPr>
        <w:t>表四</w:t>
      </w:r>
      <w:r>
        <w:rPr>
          <w:rFonts w:ascii="宋体" w:hAnsi="宋体" w:eastAsia="宋体" w:cs="宋体"/>
          <w:bCs/>
          <w:spacing w:val="5"/>
          <w:kern w:val="0"/>
          <w:sz w:val="28"/>
          <w:szCs w:val="28"/>
          <w:lang w:val="zh-CN" w:bidi="zh-CN"/>
        </w:rPr>
        <w:tab/>
      </w:r>
      <w:r>
        <w:rPr>
          <w:rFonts w:ascii="宋体" w:hAnsi="宋体" w:eastAsia="宋体" w:cs="宋体"/>
          <w:bCs/>
          <w:spacing w:val="5"/>
          <w:kern w:val="0"/>
          <w:sz w:val="28"/>
          <w:szCs w:val="28"/>
          <w:lang w:val="zh-CN" w:bidi="zh-CN"/>
        </w:rPr>
        <w:t>监测点位、因子和频次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31"/>
              <w:jc w:val="both"/>
              <w:rPr>
                <w:vertAlign w:val="baseli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160"/>
              <w:gridCol w:w="3315"/>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9"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rPr>
                    <w:t>检测类别</w:t>
                  </w:r>
                </w:p>
              </w:tc>
              <w:tc>
                <w:tcPr>
                  <w:tcW w:w="2160"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rPr>
                    <w:t>检测点位名称和编号</w:t>
                  </w:r>
                </w:p>
              </w:tc>
              <w:tc>
                <w:tcPr>
                  <w:tcW w:w="3315"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rPr>
                    <w:t>检测项目</w:t>
                  </w:r>
                </w:p>
              </w:tc>
              <w:tc>
                <w:tcPr>
                  <w:tcW w:w="2111"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rPr>
                    <w:t>检测频次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9"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rPr>
                    <w:t>废</w:t>
                  </w:r>
                  <w:r>
                    <w:rPr>
                      <w:rFonts w:hint="eastAsia" w:ascii="Times New Roman" w:hAnsi="Times New Roman" w:eastAsia="宋体" w:cs="Times New Roman"/>
                      <w:sz w:val="21"/>
                    </w:rPr>
                    <w:t>水</w:t>
                  </w:r>
                </w:p>
              </w:tc>
              <w:tc>
                <w:tcPr>
                  <w:tcW w:w="2160"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rPr>
                    <w:t>★A</w:t>
                  </w:r>
                  <w:r>
                    <w:rPr>
                      <w:rFonts w:hint="eastAsia" w:ascii="Times New Roman" w:hAnsi="Times New Roman" w:eastAsia="宋体" w:cs="Times New Roman"/>
                      <w:sz w:val="21"/>
                      <w:lang w:val="en-US" w:eastAsia="zh-CN"/>
                    </w:rPr>
                    <w:t>1</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生化池出</w:t>
                  </w:r>
                  <w:r>
                    <w:rPr>
                      <w:rFonts w:hint="eastAsia" w:ascii="Times New Roman" w:hAnsi="Times New Roman" w:eastAsia="宋体" w:cs="Times New Roman"/>
                      <w:sz w:val="21"/>
                    </w:rPr>
                    <w:t>口）</w:t>
                  </w:r>
                </w:p>
              </w:tc>
              <w:tc>
                <w:tcPr>
                  <w:tcW w:w="3315"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rPr>
                    <w:t>悬浮物</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化学需氧量</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动植物油类</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氨氮</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五日生化需氧量</w:t>
                  </w:r>
                </w:p>
              </w:tc>
              <w:tc>
                <w:tcPr>
                  <w:tcW w:w="2111"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rPr>
                    <w:t>各检测</w:t>
                  </w:r>
                  <w:r>
                    <w:rPr>
                      <w:rFonts w:hint="eastAsia" w:ascii="Times New Roman" w:hAnsi="Times New Roman" w:eastAsia="宋体" w:cs="Times New Roman"/>
                      <w:sz w:val="21"/>
                      <w:lang w:val="en-US" w:eastAsia="zh-CN"/>
                    </w:rPr>
                    <w:t>4</w:t>
                  </w:r>
                  <w:r>
                    <w:rPr>
                      <w:rFonts w:hint="default" w:ascii="Times New Roman" w:hAnsi="Times New Roman" w:eastAsia="宋体" w:cs="Times New Roman"/>
                      <w:sz w:val="21"/>
                    </w:rPr>
                    <w:t>次，检测2天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9"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噪声</w:t>
                  </w:r>
                </w:p>
              </w:tc>
              <w:tc>
                <w:tcPr>
                  <w:tcW w:w="2160" w:type="dxa"/>
                  <w:vAlign w:val="center"/>
                </w:tcPr>
                <w:p>
                  <w:pPr>
                    <w:pStyle w:val="65"/>
                    <w:widowControl w:val="0"/>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C1（厂区南面）</w:t>
                  </w:r>
                </w:p>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C2（厂区北面）</w:t>
                  </w:r>
                </w:p>
              </w:tc>
              <w:tc>
                <w:tcPr>
                  <w:tcW w:w="3315"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厂界噪声</w:t>
                  </w:r>
                </w:p>
              </w:tc>
              <w:tc>
                <w:tcPr>
                  <w:tcW w:w="2111" w:type="dxa"/>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昼夜各检测1次，检测2天</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zh-CN" w:eastAsia="zh-CN" w:bidi="ar-SA"/>
              </w:rPr>
            </w:pPr>
            <w:r>
              <w:rPr>
                <w:rFonts w:hint="eastAsia" w:ascii="Times New Roman" w:hAnsi="Times New Roman" w:eastAsia="宋体" w:cs="Times New Roman"/>
                <w:color w:val="000000"/>
                <w:sz w:val="24"/>
                <w:szCs w:val="24"/>
                <w:lang w:val="zh-CN" w:eastAsia="zh-CN" w:bidi="ar-SA"/>
              </w:rPr>
              <w:t>项目废水及噪声监测布点示意图见 4.1-1。</w:t>
            </w:r>
          </w:p>
          <w:p>
            <w:pPr>
              <w:pStyle w:val="31"/>
              <w:jc w:val="both"/>
              <w:rPr>
                <w:rFonts w:hint="eastAsia"/>
                <w:lang w:val="zh-CN" w:eastAsia="zh-CN"/>
              </w:rPr>
            </w:pPr>
          </w:p>
          <w:p>
            <w:pPr>
              <w:pStyle w:val="31"/>
              <w:jc w:val="center"/>
              <w:rPr>
                <w:sz w:val="20"/>
              </w:rPr>
            </w:pPr>
            <w:r>
              <w:drawing>
                <wp:inline distT="0" distB="0" distL="114300" distR="114300">
                  <wp:extent cx="5686425" cy="3590925"/>
                  <wp:effectExtent l="0" t="0" r="9525" b="9525"/>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
                          <pic:cNvPicPr>
                            <a:picLocks noChangeAspect="1"/>
                          </pic:cNvPicPr>
                        </pic:nvPicPr>
                        <pic:blipFill>
                          <a:blip r:embed="rId13"/>
                          <a:stretch>
                            <a:fillRect/>
                          </a:stretch>
                        </pic:blipFill>
                        <pic:spPr>
                          <a:xfrm>
                            <a:off x="0" y="0"/>
                            <a:ext cx="5686425" cy="3590925"/>
                          </a:xfrm>
                          <a:prstGeom prst="rect">
                            <a:avLst/>
                          </a:prstGeom>
                          <a:noFill/>
                          <a:ln>
                            <a:noFill/>
                          </a:ln>
                        </pic:spPr>
                      </pic:pic>
                    </a:graphicData>
                  </a:graphic>
                </wp:inline>
              </w:drawing>
            </w:r>
          </w:p>
          <w:p>
            <w:pPr>
              <w:pStyle w:val="31"/>
              <w:spacing w:line="360" w:lineRule="auto"/>
              <w:jc w:val="center"/>
              <w:rPr>
                <w:b/>
                <w:sz w:val="21"/>
                <w:szCs w:val="21"/>
              </w:rPr>
            </w:pPr>
            <w:r>
              <w:rPr>
                <w:b/>
                <w:spacing w:val="-30"/>
                <w:sz w:val="21"/>
                <w:szCs w:val="21"/>
              </w:rPr>
              <w:t xml:space="preserve">图 </w:t>
            </w:r>
            <w:r>
              <w:rPr>
                <w:rFonts w:ascii="Times New Roman" w:eastAsia="Times New Roman"/>
                <w:b/>
                <w:sz w:val="21"/>
                <w:szCs w:val="21"/>
              </w:rPr>
              <w:t>4.1-1</w:t>
            </w:r>
            <w:r>
              <w:rPr>
                <w:rFonts w:ascii="Times New Roman" w:eastAsia="Times New Roman"/>
                <w:b/>
                <w:spacing w:val="55"/>
                <w:sz w:val="21"/>
                <w:szCs w:val="21"/>
              </w:rPr>
              <w:t xml:space="preserve"> </w:t>
            </w:r>
            <w:r>
              <w:rPr>
                <w:b/>
                <w:sz w:val="21"/>
                <w:szCs w:val="21"/>
              </w:rPr>
              <w:t>废水及噪声监测布点图</w:t>
            </w:r>
          </w:p>
          <w:p>
            <w:pPr>
              <w:pStyle w:val="31"/>
              <w:spacing w:line="360" w:lineRule="auto"/>
              <w:jc w:val="center"/>
              <w:rPr>
                <w:b/>
                <w:sz w:val="24"/>
              </w:rPr>
            </w:pPr>
          </w:p>
          <w:p>
            <w:pPr>
              <w:pStyle w:val="31"/>
              <w:spacing w:line="360" w:lineRule="auto"/>
              <w:jc w:val="center"/>
              <w:rPr>
                <w:b/>
                <w:sz w:val="24"/>
              </w:rPr>
            </w:pPr>
          </w:p>
          <w:p>
            <w:pPr>
              <w:pStyle w:val="31"/>
              <w:spacing w:line="360" w:lineRule="auto"/>
              <w:jc w:val="center"/>
              <w:rPr>
                <w:b/>
                <w:sz w:val="24"/>
              </w:rPr>
            </w:pPr>
          </w:p>
          <w:p>
            <w:pPr>
              <w:pStyle w:val="31"/>
              <w:spacing w:line="360" w:lineRule="auto"/>
              <w:jc w:val="center"/>
              <w:rPr>
                <w:b/>
                <w:sz w:val="24"/>
              </w:rPr>
            </w:pPr>
          </w:p>
          <w:p>
            <w:pPr>
              <w:pStyle w:val="31"/>
              <w:spacing w:line="360" w:lineRule="auto"/>
              <w:jc w:val="center"/>
              <w:rPr>
                <w:b/>
                <w:sz w:val="24"/>
              </w:rPr>
            </w:pPr>
          </w:p>
          <w:p>
            <w:pPr>
              <w:pStyle w:val="31"/>
              <w:spacing w:line="360" w:lineRule="auto"/>
              <w:jc w:val="center"/>
              <w:rPr>
                <w:b/>
                <w:sz w:val="24"/>
              </w:rPr>
            </w:pPr>
          </w:p>
          <w:p>
            <w:pPr>
              <w:pStyle w:val="31"/>
              <w:spacing w:line="360" w:lineRule="auto"/>
              <w:jc w:val="center"/>
              <w:rPr>
                <w:b/>
                <w:sz w:val="24"/>
              </w:rPr>
            </w:pPr>
          </w:p>
          <w:p>
            <w:pPr>
              <w:pStyle w:val="31"/>
              <w:spacing w:line="360" w:lineRule="auto"/>
              <w:jc w:val="center"/>
              <w:rPr>
                <w:b/>
                <w:sz w:val="24"/>
              </w:rPr>
            </w:pPr>
          </w:p>
        </w:tc>
      </w:tr>
    </w:tbl>
    <w:p>
      <w:pPr>
        <w:pStyle w:val="31"/>
        <w:suppressAutoHyphens/>
        <w:adjustRightInd/>
        <w:textAlignment w:val="baseline"/>
        <w:rPr>
          <w:rFonts w:ascii="宋体" w:hAnsi="宋体" w:eastAsia="宋体" w:cs="宋体"/>
          <w:b/>
          <w:color w:val="000000"/>
          <w:spacing w:val="5"/>
          <w:sz w:val="28"/>
          <w:szCs w:val="24"/>
        </w:rPr>
      </w:pPr>
      <w:r>
        <w:rPr>
          <w:rFonts w:ascii="宋体" w:hAnsi="宋体" w:eastAsia="宋体" w:cs="宋体"/>
          <w:b/>
          <w:color w:val="000000"/>
          <w:spacing w:val="5"/>
          <w:sz w:val="28"/>
          <w:szCs w:val="24"/>
        </w:rPr>
        <w:t>表五</w:t>
      </w:r>
      <w:r>
        <w:rPr>
          <w:rFonts w:ascii="宋体" w:hAnsi="宋体" w:eastAsia="宋体" w:cs="宋体"/>
          <w:b/>
          <w:color w:val="000000"/>
          <w:spacing w:val="5"/>
          <w:sz w:val="28"/>
          <w:szCs w:val="24"/>
        </w:rPr>
        <w:tab/>
      </w:r>
      <w:r>
        <w:rPr>
          <w:rFonts w:ascii="宋体" w:hAnsi="宋体" w:eastAsia="宋体" w:cs="宋体"/>
          <w:b/>
          <w:color w:val="000000"/>
          <w:spacing w:val="5"/>
          <w:sz w:val="28"/>
          <w:szCs w:val="24"/>
        </w:rPr>
        <w:t>监测工况、验收监测质量保证及质量控制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7" w:hRule="atLeast"/>
        </w:trPr>
        <w:tc>
          <w:tcPr>
            <w:tcW w:w="9764" w:type="dxa"/>
          </w:tcPr>
          <w:p>
            <w:pPr>
              <w:pStyle w:val="65"/>
              <w:widowControl w:val="0"/>
              <w:numPr>
                <w:ilvl w:val="1"/>
                <w:numId w:val="8"/>
              </w:numPr>
              <w:tabs>
                <w:tab w:val="left" w:pos="466"/>
              </w:tabs>
              <w:spacing w:before="7" w:after="0" w:line="480" w:lineRule="auto"/>
              <w:ind w:left="465" w:right="0" w:hanging="361"/>
              <w:jc w:val="both"/>
              <w:rPr>
                <w:b/>
                <w:sz w:val="24"/>
              </w:rPr>
            </w:pPr>
            <w:r>
              <w:rPr>
                <w:b/>
                <w:sz w:val="24"/>
              </w:rPr>
              <w:t>验收监测期间生产工况</w:t>
            </w:r>
          </w:p>
          <w:p>
            <w:pPr>
              <w:widowControl w:val="0"/>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项目委托</w:t>
            </w:r>
            <w:r>
              <w:rPr>
                <w:rFonts w:hint="eastAsia" w:ascii="Times New Roman" w:hAnsi="Times New Roman" w:cs="Times New Roman"/>
                <w:color w:val="000000"/>
                <w:sz w:val="24"/>
                <w:szCs w:val="24"/>
                <w:lang w:val="en-US" w:eastAsia="zh-CN" w:bidi="ar-SA"/>
              </w:rPr>
              <w:t>重庆绿创环境检测技术有限公司</w:t>
            </w:r>
            <w:r>
              <w:rPr>
                <w:rFonts w:hint="eastAsia" w:ascii="Times New Roman" w:hAnsi="Times New Roman" w:eastAsia="宋体" w:cs="Times New Roman"/>
                <w:color w:val="000000"/>
                <w:sz w:val="24"/>
                <w:szCs w:val="24"/>
                <w:lang w:val="en-US" w:eastAsia="zh-CN" w:bidi="ar-SA"/>
              </w:rPr>
              <w:t>于202</w:t>
            </w:r>
            <w:r>
              <w:rPr>
                <w:rFonts w:hint="eastAsia" w:ascii="Times New Roman" w:hAnsi="Times New Roman" w:cs="Times New Roman"/>
                <w:color w:val="000000"/>
                <w:sz w:val="24"/>
                <w:szCs w:val="24"/>
                <w:lang w:val="en-US" w:eastAsia="zh-CN" w:bidi="ar-SA"/>
              </w:rPr>
              <w:t>4</w:t>
            </w:r>
            <w:r>
              <w:rPr>
                <w:rFonts w:hint="eastAsia" w:ascii="Times New Roman" w:hAnsi="Times New Roman" w:eastAsia="宋体" w:cs="Times New Roman"/>
                <w:color w:val="000000"/>
                <w:sz w:val="24"/>
                <w:szCs w:val="24"/>
                <w:lang w:val="en-US" w:eastAsia="zh-CN" w:bidi="ar-SA"/>
              </w:rPr>
              <w:t>年0</w:t>
            </w:r>
            <w:r>
              <w:rPr>
                <w:rFonts w:hint="eastAsia" w:ascii="Times New Roman" w:hAnsi="Times New Roman" w:cs="Times New Roman"/>
                <w:color w:val="000000"/>
                <w:sz w:val="24"/>
                <w:szCs w:val="24"/>
                <w:lang w:val="en-US" w:eastAsia="zh-CN" w:bidi="ar-SA"/>
              </w:rPr>
              <w:t>4</w:t>
            </w:r>
            <w:r>
              <w:rPr>
                <w:rFonts w:hint="eastAsia" w:ascii="Times New Roman" w:hAnsi="Times New Roman" w:eastAsia="宋体" w:cs="Times New Roman"/>
                <w:color w:val="000000"/>
                <w:sz w:val="24"/>
                <w:szCs w:val="24"/>
                <w:lang w:val="en-US" w:eastAsia="zh-CN" w:bidi="ar-SA"/>
              </w:rPr>
              <w:t>月</w:t>
            </w:r>
            <w:r>
              <w:rPr>
                <w:rFonts w:hint="eastAsia" w:ascii="Times New Roman" w:hAnsi="Times New Roman" w:cs="Times New Roman"/>
                <w:color w:val="000000"/>
                <w:sz w:val="24"/>
                <w:szCs w:val="24"/>
                <w:lang w:val="en-US" w:eastAsia="zh-CN" w:bidi="ar-SA"/>
              </w:rPr>
              <w:t>27</w:t>
            </w:r>
            <w:r>
              <w:rPr>
                <w:rFonts w:hint="eastAsia" w:ascii="Times New Roman" w:hAnsi="Times New Roman" w:eastAsia="宋体" w:cs="Times New Roman"/>
                <w:color w:val="000000"/>
                <w:sz w:val="24"/>
                <w:szCs w:val="24"/>
                <w:lang w:val="en-US" w:eastAsia="zh-CN" w:bidi="ar-SA"/>
              </w:rPr>
              <w:t>日~</w:t>
            </w:r>
            <w:r>
              <w:rPr>
                <w:rFonts w:hint="eastAsia" w:ascii="Times New Roman" w:hAnsi="Times New Roman" w:cs="Times New Roman"/>
                <w:color w:val="000000"/>
                <w:sz w:val="24"/>
                <w:szCs w:val="24"/>
                <w:lang w:val="en-US" w:eastAsia="zh-CN" w:bidi="ar-SA"/>
              </w:rPr>
              <w:t>28</w:t>
            </w:r>
            <w:r>
              <w:rPr>
                <w:rFonts w:hint="eastAsia" w:ascii="Times New Roman" w:hAnsi="Times New Roman" w:eastAsia="宋体" w:cs="Times New Roman"/>
                <w:color w:val="000000"/>
                <w:sz w:val="24"/>
                <w:szCs w:val="24"/>
                <w:lang w:val="en-US" w:eastAsia="zh-CN" w:bidi="ar-SA"/>
              </w:rPr>
              <w:t>日对项目进行了验收监测，验收监测期间企业环保处理设施运行正常，生产负荷由企业提供，达到了国家建设项目竣工环保验收监测工况均大于75%的要求，符合验收监测技术规范。</w:t>
            </w:r>
          </w:p>
          <w:p>
            <w:pPr>
              <w:pStyle w:val="65"/>
              <w:widowControl w:val="0"/>
              <w:numPr>
                <w:ilvl w:val="1"/>
                <w:numId w:val="8"/>
              </w:numPr>
              <w:tabs>
                <w:tab w:val="left" w:pos="466"/>
              </w:tabs>
              <w:spacing w:before="7" w:after="0" w:line="480" w:lineRule="auto"/>
              <w:ind w:left="465" w:right="0" w:hanging="361"/>
              <w:jc w:val="both"/>
              <w:rPr>
                <w:b/>
                <w:sz w:val="24"/>
              </w:rPr>
            </w:pPr>
            <w:r>
              <w:rPr>
                <w:b/>
                <w:sz w:val="24"/>
              </w:rPr>
              <w:t>监测分析方法</w:t>
            </w:r>
          </w:p>
          <w:p>
            <w:pPr>
              <w:widowControl w:val="0"/>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根据重庆市万州区生态环境局渝（万）环准[2015] 276号《重庆市建设项目环境影响评价文件批准书》，严格按《环境监测技术规范》规定的方法进行监测分析，其监测项目、分析方法及方法来源见表 5.2-1。</w:t>
            </w:r>
          </w:p>
          <w:p>
            <w:pPr>
              <w:pStyle w:val="31"/>
              <w:jc w:val="center"/>
              <w:rPr>
                <w:rFonts w:hint="default" w:ascii="Times New Roman" w:hAnsi="Times New Roman" w:cs="Times New Roman"/>
                <w:b/>
                <w:bCs/>
                <w:sz w:val="21"/>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5.2-1 </w:t>
            </w:r>
            <w:r>
              <w:rPr>
                <w:rFonts w:hint="default" w:ascii="Times New Roman" w:hAnsi="Times New Roman" w:cs="Times New Roman"/>
                <w:b/>
                <w:bCs/>
                <w:sz w:val="21"/>
              </w:rPr>
              <w:t>验收监测分析方法</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86"/>
              <w:gridCol w:w="4371"/>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3"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检测类别</w:t>
                  </w:r>
                </w:p>
              </w:tc>
              <w:tc>
                <w:tcPr>
                  <w:tcW w:w="769"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检测项目</w:t>
                  </w:r>
                </w:p>
              </w:tc>
              <w:tc>
                <w:tcPr>
                  <w:tcW w:w="2425"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检测方法</w:t>
                  </w:r>
                </w:p>
              </w:tc>
              <w:tc>
                <w:tcPr>
                  <w:tcW w:w="1112"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3" w:type="pct"/>
                  <w:vMerge w:val="restart"/>
                  <w:vAlign w:val="center"/>
                </w:tcPr>
                <w:p>
                  <w:pPr>
                    <w:pStyle w:val="65"/>
                    <w:widowControl w:val="0"/>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废水</w:t>
                  </w:r>
                </w:p>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p>
              </w:tc>
              <w:tc>
                <w:tcPr>
                  <w:tcW w:w="769"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化学需氧量</w:t>
                  </w:r>
                </w:p>
              </w:tc>
              <w:tc>
                <w:tcPr>
                  <w:tcW w:w="2425"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水质 化学需氧量的测定 重铬酸盐法</w:t>
                  </w:r>
                </w:p>
              </w:tc>
              <w:tc>
                <w:tcPr>
                  <w:tcW w:w="1112"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3" w:type="pct"/>
                  <w:vMerge w:val="continue"/>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p>
              </w:tc>
              <w:tc>
                <w:tcPr>
                  <w:tcW w:w="769"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动植物油类</w:t>
                  </w:r>
                </w:p>
              </w:tc>
              <w:tc>
                <w:tcPr>
                  <w:tcW w:w="2425"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水质 石油类和动植物油类的测定 红外分光光度法</w:t>
                  </w:r>
                </w:p>
              </w:tc>
              <w:tc>
                <w:tcPr>
                  <w:tcW w:w="1112"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HJ 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3" w:type="pct"/>
                  <w:vMerge w:val="continue"/>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p>
              </w:tc>
              <w:tc>
                <w:tcPr>
                  <w:tcW w:w="769"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悬浮物</w:t>
                  </w:r>
                </w:p>
              </w:tc>
              <w:tc>
                <w:tcPr>
                  <w:tcW w:w="2425"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水质 悬浮物的测定 重量法</w:t>
                  </w:r>
                </w:p>
              </w:tc>
              <w:tc>
                <w:tcPr>
                  <w:tcW w:w="1112"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GB/T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3" w:type="pct"/>
                  <w:vMerge w:val="continue"/>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p>
              </w:tc>
              <w:tc>
                <w:tcPr>
                  <w:tcW w:w="769"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氨氮</w:t>
                  </w:r>
                </w:p>
              </w:tc>
              <w:tc>
                <w:tcPr>
                  <w:tcW w:w="2425"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水质 氨氮的测定 蒸馏-中和滴定法</w:t>
                  </w:r>
                </w:p>
              </w:tc>
              <w:tc>
                <w:tcPr>
                  <w:tcW w:w="1112"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HJ 537-2009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3" w:type="pct"/>
                  <w:vMerge w:val="continue"/>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p>
              </w:tc>
              <w:tc>
                <w:tcPr>
                  <w:tcW w:w="769"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五日生化需氧量</w:t>
                  </w:r>
                </w:p>
              </w:tc>
              <w:tc>
                <w:tcPr>
                  <w:tcW w:w="2425"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水质 五日生化需氧量</w:t>
                  </w:r>
                  <w:r>
                    <w:rPr>
                      <w:rFonts w:hint="eastAsia" w:cs="Times New Roman"/>
                      <w:sz w:val="21"/>
                      <w:lang w:val="en-US" w:eastAsia="zh-CN"/>
                    </w:rPr>
                    <w:t>（</w:t>
                  </w:r>
                  <w:r>
                    <w:rPr>
                      <w:rFonts w:hint="eastAsia" w:ascii="Times New Roman" w:hAnsi="Times New Roman" w:eastAsia="宋体" w:cs="Times New Roman"/>
                      <w:sz w:val="21"/>
                      <w:lang w:val="en-US" w:eastAsia="zh-CN"/>
                    </w:rPr>
                    <w:t>BOD</w:t>
                  </w:r>
                  <w:r>
                    <w:rPr>
                      <w:rFonts w:hint="eastAsia" w:ascii="Times New Roman" w:hAnsi="Times New Roman" w:eastAsia="宋体" w:cs="Times New Roman"/>
                      <w:sz w:val="21"/>
                      <w:vertAlign w:val="subscript"/>
                      <w:lang w:val="en-US" w:eastAsia="zh-CN"/>
                    </w:rPr>
                    <w:t>5</w:t>
                  </w:r>
                  <w:r>
                    <w:rPr>
                      <w:rFonts w:hint="eastAsia" w:cs="Times New Roman"/>
                      <w:sz w:val="21"/>
                      <w:lang w:val="en-US" w:eastAsia="zh-CN"/>
                    </w:rPr>
                    <w:t>）</w:t>
                  </w:r>
                  <w:r>
                    <w:rPr>
                      <w:rFonts w:hint="eastAsia" w:ascii="Times New Roman" w:hAnsi="Times New Roman" w:eastAsia="宋体" w:cs="Times New Roman"/>
                      <w:sz w:val="21"/>
                      <w:lang w:val="en-US" w:eastAsia="zh-CN"/>
                    </w:rPr>
                    <w:t>的测定 稀释与接种法</w:t>
                  </w:r>
                </w:p>
              </w:tc>
              <w:tc>
                <w:tcPr>
                  <w:tcW w:w="1112"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HJ 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3"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噪声</w:t>
                  </w:r>
                </w:p>
              </w:tc>
              <w:tc>
                <w:tcPr>
                  <w:tcW w:w="769"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厂界噪声</w:t>
                  </w:r>
                </w:p>
              </w:tc>
              <w:tc>
                <w:tcPr>
                  <w:tcW w:w="2425"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工业企业厂界环境噪声排放标准</w:t>
                  </w:r>
                </w:p>
              </w:tc>
              <w:tc>
                <w:tcPr>
                  <w:tcW w:w="1112" w:type="pct"/>
                  <w:vAlign w:val="center"/>
                </w:tcPr>
                <w:p>
                  <w:pPr>
                    <w:pStyle w:val="65"/>
                    <w:widowControl w:val="0"/>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GB 12348-2008</w:t>
                  </w:r>
                </w:p>
              </w:tc>
            </w:tr>
          </w:tbl>
          <w:p>
            <w:pPr>
              <w:pStyle w:val="65"/>
              <w:widowControl w:val="0"/>
              <w:numPr>
                <w:ilvl w:val="1"/>
                <w:numId w:val="8"/>
              </w:numPr>
              <w:tabs>
                <w:tab w:val="left" w:pos="466"/>
              </w:tabs>
              <w:spacing w:before="7" w:after="0" w:line="480" w:lineRule="auto"/>
              <w:ind w:left="465" w:right="0" w:hanging="361"/>
              <w:jc w:val="both"/>
              <w:rPr>
                <w:b/>
                <w:sz w:val="24"/>
              </w:rPr>
            </w:pPr>
            <w:r>
              <w:rPr>
                <w:b/>
                <w:sz w:val="24"/>
              </w:rPr>
              <w:t>监测仪器</w:t>
            </w:r>
          </w:p>
          <w:p>
            <w:pPr>
              <w:keepNext w:val="0"/>
              <w:keepLines w:val="0"/>
              <w:pageBreakBefore w:val="0"/>
              <w:widowControl w:val="0"/>
              <w:kinsoku/>
              <w:wordWrap/>
              <w:overflowPunct/>
              <w:topLinePunct w:val="0"/>
              <w:autoSpaceDE/>
              <w:autoSpaceDN/>
              <w:bidi w:val="0"/>
              <w:adjustRightInd/>
              <w:snapToGrid/>
              <w:spacing w:line="240" w:lineRule="atLeast"/>
              <w:ind w:left="2520" w:firstLine="420"/>
              <w:jc w:val="both"/>
              <w:textAlignment w:val="auto"/>
              <w:rPr>
                <w:rFonts w:ascii="Times New Roman" w:hAnsi="Times New Roman" w:eastAsia="宋体" w:cs="Times New Roman"/>
                <w:b/>
                <w:color w:val="000000" w:themeColor="text1"/>
                <w:kern w:val="2"/>
                <w:sz w:val="24"/>
                <w:szCs w:val="21"/>
                <w14:textFill>
                  <w14:solidFill>
                    <w14:schemeClr w14:val="tx1"/>
                  </w14:solidFill>
                </w14:textFill>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5.3-1  </w:t>
            </w:r>
            <w:r>
              <w:rPr>
                <w:rFonts w:hint="default" w:ascii="Times New Roman" w:hAnsi="Times New Roman" w:cs="Times New Roman"/>
                <w:b/>
                <w:bCs/>
                <w:sz w:val="21"/>
              </w:rPr>
              <w:t>监测使用仪器一览表</w:t>
            </w:r>
          </w:p>
          <w:tbl>
            <w:tblPr>
              <w:tblStyle w:val="24"/>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448"/>
              <w:gridCol w:w="3207"/>
              <w:gridCol w:w="204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检测类别</w:t>
                  </w:r>
                </w:p>
              </w:tc>
              <w:tc>
                <w:tcPr>
                  <w:tcW w:w="14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检测项目</w:t>
                  </w: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仪器名称及型号</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仪器编号</w:t>
                  </w:r>
                </w:p>
              </w:tc>
              <w:tc>
                <w:tcPr>
                  <w:tcW w:w="1148" w:type="dxa"/>
                  <w:noWrap w:val="0"/>
                  <w:vAlign w:val="center"/>
                </w:tcPr>
                <w:p>
                  <w:pPr>
                    <w:widowControl w:val="0"/>
                    <w:adjustRightInd/>
                    <w:snapToGrid/>
                    <w:spacing w:after="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restar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废水</w:t>
                  </w:r>
                </w:p>
              </w:tc>
              <w:tc>
                <w:tcPr>
                  <w:tcW w:w="14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动植物油类</w:t>
                  </w: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OIL480</w:t>
                  </w:r>
                  <w:r>
                    <w:rPr>
                      <w:rFonts w:hint="eastAsia" w:cs="Times New Roman"/>
                      <w:sz w:val="21"/>
                      <w:lang w:val="en-US" w:eastAsia="zh-CN"/>
                    </w:rPr>
                    <w:t xml:space="preserve"> </w:t>
                  </w:r>
                  <w:r>
                    <w:rPr>
                      <w:rFonts w:hint="eastAsia" w:ascii="Times New Roman" w:hAnsi="Times New Roman" w:eastAsia="宋体" w:cs="Times New Roman"/>
                      <w:sz w:val="21"/>
                      <w:lang w:val="en-US" w:eastAsia="zh-CN"/>
                    </w:rPr>
                    <w:t>红外分光测油仪</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1112011070555</w:t>
                  </w:r>
                </w:p>
              </w:tc>
              <w:tc>
                <w:tcPr>
                  <w:tcW w:w="1148" w:type="dxa"/>
                  <w:vMerge w:val="restart"/>
                  <w:noWrap w:val="0"/>
                  <w:vAlign w:val="center"/>
                </w:tcPr>
                <w:p>
                  <w:pPr>
                    <w:widowControl w:val="0"/>
                    <w:autoSpaceDE w:val="0"/>
                    <w:autoSpaceDN w:val="0"/>
                    <w:adjustRightInd/>
                    <w:snapToGrid/>
                    <w:spacing w:after="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仪器在计量检定有效期内使用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p>
              </w:tc>
              <w:tc>
                <w:tcPr>
                  <w:tcW w:w="14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氨氮</w:t>
                  </w: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滴定管</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lang w:val="en-US" w:eastAsia="zh-CN"/>
                    </w:rPr>
                    <w:t>00</w:t>
                  </w:r>
                  <w:r>
                    <w:rPr>
                      <w:rFonts w:hint="eastAsia" w:ascii="Times New Roman" w:hAnsi="Times New Roman" w:eastAsia="宋体" w:cs="Times New Roman"/>
                      <w:sz w:val="21"/>
                      <w:lang w:val="en-US" w:eastAsia="zh-CN"/>
                    </w:rPr>
                    <w:t>2</w:t>
                  </w:r>
                </w:p>
              </w:tc>
              <w:tc>
                <w:tcPr>
                  <w:tcW w:w="1148" w:type="dxa"/>
                  <w:vMerge w:val="continue"/>
                  <w:noWrap w:val="0"/>
                  <w:vAlign w:val="center"/>
                </w:tcPr>
                <w:p>
                  <w:pPr>
                    <w:jc w:val="center"/>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p>
              </w:tc>
              <w:tc>
                <w:tcPr>
                  <w:tcW w:w="1448" w:type="dxa"/>
                  <w:vMerge w:val="restar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悬浮物</w:t>
                  </w: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AR224CN</w:t>
                  </w:r>
                  <w:r>
                    <w:rPr>
                      <w:rFonts w:hint="eastAsia" w:cs="Times New Roman"/>
                      <w:sz w:val="21"/>
                      <w:lang w:val="en-US" w:eastAsia="zh-CN"/>
                    </w:rPr>
                    <w:t xml:space="preserve"> </w:t>
                  </w:r>
                  <w:r>
                    <w:rPr>
                      <w:rFonts w:hint="default" w:ascii="Times New Roman" w:hAnsi="Times New Roman" w:eastAsia="宋体" w:cs="Times New Roman"/>
                      <w:sz w:val="21"/>
                      <w:lang w:val="en-US" w:eastAsia="zh-CN"/>
                    </w:rPr>
                    <w:t>电子天平</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B723222814</w:t>
                  </w:r>
                </w:p>
              </w:tc>
              <w:tc>
                <w:tcPr>
                  <w:tcW w:w="1148" w:type="dxa"/>
                  <w:vMerge w:val="continue"/>
                  <w:noWrap w:val="0"/>
                  <w:vAlign w:val="center"/>
                </w:tcPr>
                <w:p>
                  <w:pPr>
                    <w:jc w:val="center"/>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p>
              </w:tc>
              <w:tc>
                <w:tcPr>
                  <w:tcW w:w="1448"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GZX-9146MBE 电热鼓风干燥箱</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lang w:val="en-US" w:eastAsia="zh-CN"/>
                    </w:rPr>
                    <w:t>170044</w:t>
                  </w:r>
                </w:p>
              </w:tc>
              <w:tc>
                <w:tcPr>
                  <w:tcW w:w="1148" w:type="dxa"/>
                  <w:vMerge w:val="continue"/>
                  <w:noWrap w:val="0"/>
                  <w:vAlign w:val="center"/>
                </w:tcPr>
                <w:p>
                  <w:pPr>
                    <w:jc w:val="center"/>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p>
              </w:tc>
              <w:tc>
                <w:tcPr>
                  <w:tcW w:w="1448" w:type="dxa"/>
                  <w:vMerge w:val="restar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lang w:val="en-US" w:eastAsia="zh-CN"/>
                    </w:rPr>
                    <w:t>五日生化需氧量</w:t>
                  </w: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 xml:space="preserve">SPX-250B-Z </w:t>
                  </w:r>
                  <w:r>
                    <w:rPr>
                      <w:rFonts w:hint="default" w:ascii="Times New Roman" w:hAnsi="Times New Roman" w:eastAsia="宋体" w:cs="Times New Roman"/>
                      <w:sz w:val="21"/>
                      <w:lang w:val="en-US" w:eastAsia="zh-CN"/>
                    </w:rPr>
                    <w:t>生化培养箱</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180251</w:t>
                  </w:r>
                </w:p>
              </w:tc>
              <w:tc>
                <w:tcPr>
                  <w:tcW w:w="1148" w:type="dxa"/>
                  <w:vMerge w:val="continue"/>
                  <w:noWrap w:val="0"/>
                  <w:vAlign w:val="center"/>
                </w:tcPr>
                <w:p>
                  <w:pPr>
                    <w:jc w:val="center"/>
                    <w:rPr>
                      <w:rFonts w:hint="default" w:ascii="Times New Roman" w:hAnsi="Times New Roman" w:eastAsia="宋体"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p>
              </w:tc>
              <w:tc>
                <w:tcPr>
                  <w:tcW w:w="1448"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JPSJ-605F</w:t>
                  </w:r>
                  <w:r>
                    <w:rPr>
                      <w:rFonts w:hint="eastAsia" w:cs="Times New Roman"/>
                      <w:sz w:val="21"/>
                      <w:lang w:val="en-US" w:eastAsia="zh-CN"/>
                    </w:rPr>
                    <w:t xml:space="preserve"> </w:t>
                  </w:r>
                  <w:r>
                    <w:rPr>
                      <w:rFonts w:hint="eastAsia" w:ascii="Times New Roman" w:hAnsi="Times New Roman" w:eastAsia="宋体" w:cs="Times New Roman"/>
                      <w:sz w:val="21"/>
                      <w:lang w:val="en-US" w:eastAsia="zh-CN"/>
                    </w:rPr>
                    <w:t>溶解氧仪</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630600N0017040016</w:t>
                  </w:r>
                </w:p>
              </w:tc>
              <w:tc>
                <w:tcPr>
                  <w:tcW w:w="1148" w:type="dxa"/>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p>
              </w:tc>
              <w:tc>
                <w:tcPr>
                  <w:tcW w:w="14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lang w:val="en-US" w:eastAsia="zh-CN"/>
                    </w:rPr>
                    <w:t>化学需氧量</w:t>
                  </w: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滴定管</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lang w:val="en-US" w:eastAsia="zh-CN"/>
                    </w:rPr>
                    <w:t>00</w:t>
                  </w:r>
                  <w:r>
                    <w:rPr>
                      <w:rFonts w:hint="eastAsia" w:ascii="Times New Roman" w:hAnsi="Times New Roman" w:eastAsia="宋体" w:cs="Times New Roman"/>
                      <w:sz w:val="21"/>
                      <w:lang w:val="en-US" w:eastAsia="zh-CN"/>
                    </w:rPr>
                    <w:t>1</w:t>
                  </w:r>
                </w:p>
              </w:tc>
              <w:tc>
                <w:tcPr>
                  <w:tcW w:w="1148" w:type="dxa"/>
                  <w:vMerge w:val="continue"/>
                  <w:noWrap w:val="0"/>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2"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eastAsia" w:ascii="Times New Roman" w:hAnsi="Times New Roman" w:eastAsia="宋体" w:cs="Times New Roman"/>
                      <w:sz w:val="21"/>
                      <w:lang w:val="en-US" w:eastAsia="zh-CN"/>
                    </w:rPr>
                    <w:t>噪声</w:t>
                  </w:r>
                </w:p>
              </w:tc>
              <w:tc>
                <w:tcPr>
                  <w:tcW w:w="14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厂界噪声</w:t>
                  </w:r>
                </w:p>
              </w:tc>
              <w:tc>
                <w:tcPr>
                  <w:tcW w:w="320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zh-CN" w:eastAsia="zh-CN"/>
                    </w:rPr>
                  </w:pPr>
                  <w:r>
                    <w:rPr>
                      <w:rFonts w:hint="default" w:ascii="Times New Roman" w:hAnsi="Times New Roman" w:eastAsia="宋体" w:cs="Times New Roman"/>
                      <w:sz w:val="21"/>
                      <w:lang w:val="en-US" w:eastAsia="zh-CN"/>
                    </w:rPr>
                    <w:t>AWA6228+多功能声级计</w:t>
                  </w:r>
                </w:p>
              </w:tc>
              <w:tc>
                <w:tcPr>
                  <w:tcW w:w="2048" w:type="dxa"/>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00309784</w:t>
                  </w:r>
                </w:p>
              </w:tc>
              <w:tc>
                <w:tcPr>
                  <w:tcW w:w="1148" w:type="dxa"/>
                  <w:vMerge w:val="continue"/>
                  <w:noWrap w:val="0"/>
                  <w:vAlign w:val="center"/>
                </w:tcPr>
                <w:p>
                  <w:pPr>
                    <w:jc w:val="center"/>
                    <w:rPr>
                      <w:rFonts w:hint="default" w:ascii="Times New Roman" w:hAnsi="Times New Roman" w:eastAsia="宋体" w:cs="Times New Roman"/>
                      <w:sz w:val="21"/>
                      <w:szCs w:val="21"/>
                    </w:rPr>
                  </w:pPr>
                </w:p>
              </w:tc>
            </w:tr>
          </w:tbl>
          <w:p>
            <w:pPr>
              <w:pStyle w:val="65"/>
              <w:widowControl w:val="0"/>
              <w:numPr>
                <w:ilvl w:val="1"/>
                <w:numId w:val="8"/>
              </w:numPr>
              <w:tabs>
                <w:tab w:val="left" w:pos="466"/>
              </w:tabs>
              <w:spacing w:before="7" w:after="0" w:line="480" w:lineRule="auto"/>
              <w:ind w:left="465" w:right="0" w:hanging="361"/>
              <w:jc w:val="both"/>
              <w:rPr>
                <w:rFonts w:ascii="宋体" w:hAnsi="宋体" w:eastAsia="宋体" w:cs="宋体"/>
                <w:b/>
                <w:sz w:val="24"/>
              </w:rPr>
            </w:pPr>
            <w:r>
              <w:rPr>
                <w:rFonts w:ascii="宋体" w:hAnsi="宋体" w:eastAsia="宋体" w:cs="宋体"/>
                <w:b/>
                <w:sz w:val="24"/>
              </w:rPr>
              <w:t>监测分析过程中的质量保证和是质量控制</w:t>
            </w:r>
          </w:p>
          <w:p>
            <w:pPr>
              <w:widowControl w:val="0"/>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监测过程中的质量保证措施按国家环境保护总局颁发的《环境监测质量保证管理规定》（暂行）的要求进行，实施全过程质量保证。保证了监测过程中生产工况负荷满足验收监测技术规范要求和各监测布点的科学性和可比性；监测分析方法采用国家有关部门颁布的标准（或推荐）分析方法，监测人员经过考核并持有合格证书；监测数据实行三级审核制度，经过校对、校核，最后由技术负责人审定。</w:t>
            </w:r>
          </w:p>
          <w:p>
            <w:pPr>
              <w:widowControl w:val="0"/>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气体监测分析：被测排放物的浓度在仪器测试量程的有效范围即仪器量程的30~70%之间。在采样前用标准气体进行校正，烟尘测试仪在采样前均进行了漏气检验， 对采样器流量计、流速计等进行校核，在测试时保证其采样流量。</w:t>
            </w:r>
          </w:p>
          <w:p>
            <w:pPr>
              <w:widowControl w:val="0"/>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噪声监测分析：监测时使用经计量部门检定、并在有效期内的声级计；声级计在测试前后用标准发生源进行校准，测量前后仪器的灵敏度相差不大于 0.5dB。</w:t>
            </w:r>
          </w:p>
          <w:p>
            <w:pPr>
              <w:pStyle w:val="31"/>
              <w:jc w:val="both"/>
              <w:rPr>
                <w:rFonts w:hint="default" w:ascii="Times New Roman" w:hAnsi="Times New Roman" w:cs="Times New Roman"/>
                <w:b/>
                <w:bCs/>
                <w:sz w:val="21"/>
              </w:rPr>
            </w:pPr>
          </w:p>
        </w:tc>
      </w:tr>
    </w:tbl>
    <w:p>
      <w:pPr>
        <w:pStyle w:val="31"/>
      </w:pPr>
    </w:p>
    <w:p>
      <w:pPr>
        <w:pStyle w:val="2"/>
        <w:keepNext w:val="0"/>
        <w:keepLines w:val="0"/>
        <w:widowControl w:val="0"/>
        <w:tabs>
          <w:tab w:val="left" w:pos="1120"/>
          <w:tab w:val="clear" w:pos="371"/>
          <w:tab w:val="clear" w:pos="432"/>
        </w:tabs>
        <w:autoSpaceDE w:val="0"/>
        <w:autoSpaceDN w:val="0"/>
        <w:adjustRightInd/>
        <w:snapToGrid/>
        <w:spacing w:before="219" w:after="0" w:line="240" w:lineRule="auto"/>
        <w:ind w:left="0" w:leftChars="0" w:right="0" w:firstLine="0" w:firstLineChars="0"/>
        <w:jc w:val="left"/>
        <w:outlineLvl w:val="1"/>
        <w:rPr>
          <w:rFonts w:ascii="宋体" w:hAnsi="宋体" w:eastAsia="宋体" w:cs="宋体"/>
          <w:bCs/>
          <w:spacing w:val="5"/>
          <w:kern w:val="0"/>
          <w:sz w:val="28"/>
          <w:szCs w:val="28"/>
          <w:lang w:val="zh-CN" w:bidi="zh-CN"/>
        </w:rPr>
      </w:pPr>
      <w:r>
        <w:rPr>
          <w:rFonts w:ascii="宋体" w:hAnsi="宋体" w:eastAsia="宋体" w:cs="宋体"/>
          <w:bCs/>
          <w:spacing w:val="5"/>
          <w:kern w:val="0"/>
          <w:sz w:val="28"/>
          <w:szCs w:val="28"/>
          <w:lang w:val="zh-CN" w:bidi="zh-CN"/>
        </w:rPr>
        <w:t>表六</w:t>
      </w:r>
      <w:r>
        <w:rPr>
          <w:rFonts w:hint="eastAsia" w:ascii="宋体" w:hAnsi="宋体" w:eastAsia="宋体" w:cs="宋体"/>
          <w:bCs/>
          <w:spacing w:val="5"/>
          <w:kern w:val="0"/>
          <w:sz w:val="28"/>
          <w:szCs w:val="28"/>
          <w:lang w:val="en-US" w:eastAsia="zh-CN" w:bidi="zh-CN"/>
        </w:rPr>
        <w:t xml:space="preserve">  </w:t>
      </w:r>
      <w:r>
        <w:rPr>
          <w:rFonts w:ascii="宋体" w:hAnsi="宋体" w:eastAsia="宋体" w:cs="宋体"/>
          <w:bCs/>
          <w:spacing w:val="5"/>
          <w:kern w:val="0"/>
          <w:sz w:val="28"/>
          <w:szCs w:val="28"/>
          <w:lang w:val="zh-CN" w:bidi="zh-CN"/>
        </w:rPr>
        <w:t>监测结果</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9" w:hRule="atLeast"/>
        </w:trPr>
        <w:tc>
          <w:tcPr>
            <w:tcW w:w="9241" w:type="dxa"/>
          </w:tcPr>
          <w:p>
            <w:pPr>
              <w:widowControl w:val="0"/>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重庆美豪汽车玻璃有限公司主要进行汽车挡风玻璃，验收监测期间，重庆美豪汽车玻璃有限公司处理工况和环保设施运行正常。</w:t>
            </w:r>
            <w:bookmarkStart w:id="42" w:name="_GoBack"/>
            <w:bookmarkEnd w:id="42"/>
          </w:p>
          <w:p>
            <w:pPr>
              <w:pStyle w:val="65"/>
              <w:widowControl w:val="0"/>
              <w:spacing w:before="133" w:line="360" w:lineRule="auto"/>
              <w:ind w:left="105"/>
              <w:rPr>
                <w:b/>
                <w:sz w:val="28"/>
              </w:rPr>
            </w:pPr>
            <w:r>
              <w:rPr>
                <w:rFonts w:ascii="Times New Roman" w:eastAsia="Times New Roman"/>
                <w:b/>
                <w:sz w:val="28"/>
              </w:rPr>
              <w:t xml:space="preserve">6.1 </w:t>
            </w:r>
            <w:r>
              <w:rPr>
                <w:b/>
                <w:sz w:val="28"/>
              </w:rPr>
              <w:t>废水</w:t>
            </w:r>
          </w:p>
          <w:p>
            <w:pPr>
              <w:pStyle w:val="65"/>
              <w:keepNext w:val="0"/>
              <w:keepLines w:val="0"/>
              <w:pageBreakBefore w:val="0"/>
              <w:widowControl w:val="0"/>
              <w:kinsoku/>
              <w:wordWrap/>
              <w:overflowPunct/>
              <w:topLinePunct w:val="0"/>
              <w:autoSpaceDE w:val="0"/>
              <w:autoSpaceDN w:val="0"/>
              <w:bidi w:val="0"/>
              <w:adjustRightInd/>
              <w:snapToGrid/>
              <w:spacing w:before="120" w:line="360" w:lineRule="auto"/>
              <w:ind w:left="108" w:right="96" w:firstLine="482"/>
              <w:textAlignment w:val="auto"/>
              <w:rPr>
                <w:rFonts w:hint="eastAsia" w:ascii="Times New Roman" w:eastAsia="Times New Roman"/>
                <w:sz w:val="24"/>
                <w:lang w:eastAsia="zh-CN"/>
              </w:rPr>
            </w:pPr>
            <w:r>
              <w:rPr>
                <w:rFonts w:ascii="Times New Roman" w:eastAsia="Times New Roman"/>
                <w:sz w:val="24"/>
              </w:rPr>
              <w:t>202</w:t>
            </w:r>
            <w:r>
              <w:rPr>
                <w:rFonts w:hint="eastAsia" w:ascii="Times New Roman" w:eastAsia="Times New Roman"/>
                <w:sz w:val="24"/>
                <w:lang w:val="en-US" w:eastAsia="zh-CN"/>
              </w:rPr>
              <w:t>4</w:t>
            </w:r>
            <w:r>
              <w:rPr>
                <w:rFonts w:ascii="Times New Roman" w:eastAsia="Times New Roman"/>
                <w:sz w:val="24"/>
              </w:rPr>
              <w:t>年</w:t>
            </w:r>
            <w:r>
              <w:rPr>
                <w:rFonts w:hint="eastAsia" w:ascii="Times New Roman" w:eastAsia="Times New Roman"/>
                <w:sz w:val="24"/>
                <w:lang w:val="en-US" w:eastAsia="zh-CN"/>
              </w:rPr>
              <w:t>4</w:t>
            </w:r>
            <w:r>
              <w:rPr>
                <w:rFonts w:ascii="Times New Roman" w:eastAsia="Times New Roman"/>
                <w:sz w:val="24"/>
              </w:rPr>
              <w:t>月</w:t>
            </w:r>
            <w:r>
              <w:rPr>
                <w:rFonts w:hint="eastAsia" w:ascii="Times New Roman" w:eastAsia="Times New Roman"/>
                <w:sz w:val="24"/>
                <w:lang w:val="en-US" w:eastAsia="zh-CN"/>
              </w:rPr>
              <w:t>27</w:t>
            </w:r>
            <w:r>
              <w:rPr>
                <w:rFonts w:ascii="Times New Roman" w:eastAsia="Times New Roman"/>
                <w:sz w:val="24"/>
              </w:rPr>
              <w:t>日~</w:t>
            </w:r>
            <w:r>
              <w:rPr>
                <w:rFonts w:hint="eastAsia" w:ascii="Times New Roman" w:eastAsia="宋体"/>
                <w:sz w:val="24"/>
                <w:lang w:val="en-US" w:eastAsia="zh-CN"/>
              </w:rPr>
              <w:t>28</w:t>
            </w:r>
            <w:r>
              <w:rPr>
                <w:rFonts w:ascii="Times New Roman" w:eastAsia="Times New Roman"/>
                <w:sz w:val="24"/>
              </w:rPr>
              <w:t>日，对出口进行连续2天监测，每天监测</w:t>
            </w:r>
            <w:r>
              <w:rPr>
                <w:rFonts w:hint="eastAsia" w:ascii="Times New Roman" w:eastAsia="Times New Roman"/>
                <w:sz w:val="24"/>
                <w:lang w:val="en-US" w:eastAsia="zh-CN"/>
              </w:rPr>
              <w:t>4</w:t>
            </w:r>
            <w:r>
              <w:rPr>
                <w:rFonts w:ascii="Times New Roman" w:eastAsia="Times New Roman"/>
                <w:sz w:val="24"/>
              </w:rPr>
              <w:t>次，监测结果见表6.1-1。</w:t>
            </w:r>
            <w:r>
              <w:rPr>
                <w:rFonts w:hint="eastAsia" w:ascii="Times New Roman" w:eastAsia="Times New Roman"/>
                <w:sz w:val="24"/>
                <w:lang w:eastAsia="zh-CN"/>
              </w:rPr>
              <w:t>废水</w:t>
            </w:r>
            <w:r>
              <w:rPr>
                <w:rFonts w:ascii="Times New Roman" w:eastAsia="Times New Roman"/>
                <w:sz w:val="24"/>
              </w:rPr>
              <w:t>进口不具备监测条件，未进行监测，仅对出口进行监测</w:t>
            </w:r>
            <w:r>
              <w:rPr>
                <w:rFonts w:hint="eastAsia" w:ascii="Times New Roman" w:eastAsia="Times New Roman"/>
                <w:sz w:val="24"/>
                <w:lang w:eastAsia="zh-CN"/>
              </w:rPr>
              <w:t>。</w:t>
            </w:r>
          </w:p>
          <w:p>
            <w:pPr>
              <w:pStyle w:val="65"/>
              <w:widowControl w:val="0"/>
              <w:spacing w:before="159" w:line="367" w:lineRule="auto"/>
              <w:ind w:left="105" w:right="96" w:firstLine="480"/>
              <w:jc w:val="center"/>
              <w:rPr>
                <w:rFonts w:ascii="Times New Roman" w:hAnsi="Times New Roman" w:cs="Times New Roman"/>
              </w:rPr>
            </w:pPr>
            <w:r>
              <w:rPr>
                <w:rFonts w:hint="default" w:ascii="Times New Roman" w:hAnsi="Times New Roman" w:eastAsia="Times New Roman" w:cs="Times New Roman"/>
                <w:b/>
                <w:bCs/>
                <w:sz w:val="21"/>
                <w:szCs w:val="21"/>
              </w:rPr>
              <w:t>表</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Times New Roman" w:cs="Times New Roman"/>
                <w:b/>
                <w:bCs/>
                <w:sz w:val="21"/>
                <w:szCs w:val="21"/>
              </w:rPr>
              <w:t>6.1-1</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废水监</w:t>
            </w:r>
            <w:r>
              <w:rPr>
                <w:rFonts w:hint="default" w:ascii="Times New Roman" w:hAnsi="Times New Roman" w:eastAsia="宋体" w:cs="Times New Roman"/>
                <w:b/>
                <w:bCs/>
                <w:sz w:val="21"/>
                <w:szCs w:val="21"/>
              </w:rPr>
              <w:t>测</w:t>
            </w:r>
            <w:r>
              <w:rPr>
                <w:rFonts w:hint="default" w:ascii="Times New Roman" w:hAnsi="Times New Roman" w:eastAsia="宋体" w:cs="Times New Roman"/>
                <w:b/>
                <w:bCs/>
                <w:sz w:val="21"/>
                <w:szCs w:val="21"/>
                <w:lang w:val="en-US" w:eastAsia="zh-CN"/>
              </w:rPr>
              <w:t>结果</w:t>
            </w:r>
            <w:r>
              <w:rPr>
                <w:rFonts w:hint="default" w:ascii="Times New Roman" w:hAnsi="Times New Roman" w:cs="Times New Roman"/>
                <w:b/>
                <w:bCs/>
                <w:sz w:val="21"/>
                <w:szCs w:val="21"/>
                <w:lang w:val="en-US" w:eastAsia="zh-CN"/>
              </w:rPr>
              <w:t>一览表</w:t>
            </w:r>
          </w:p>
          <w:tbl>
            <w:tblPr>
              <w:tblStyle w:val="24"/>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785"/>
              <w:gridCol w:w="909"/>
              <w:gridCol w:w="1304"/>
              <w:gridCol w:w="982"/>
              <w:gridCol w:w="982"/>
              <w:gridCol w:w="982"/>
              <w:gridCol w:w="921"/>
              <w:gridCol w:w="10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restar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检测时间</w:t>
                  </w:r>
                </w:p>
              </w:tc>
              <w:tc>
                <w:tcPr>
                  <w:tcW w:w="942" w:type="pct"/>
                  <w:gridSpan w:val="2"/>
                  <w:vMerge w:val="restar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检测点位及项目</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外观</w:t>
                  </w:r>
                </w:p>
              </w:tc>
              <w:tc>
                <w:tcPr>
                  <w:tcW w:w="546"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化学</w:t>
                  </w:r>
                </w:p>
                <w:p>
                  <w:pPr>
                    <w:pStyle w:val="65"/>
                    <w:spacing w:before="97" w:line="278" w:lineRule="auto"/>
                    <w:ind w:left="105" w:leftChars="0" w:right="-15" w:rightChars="0" w:hanging="106" w:firstLineChars="0"/>
                    <w:jc w:val="center"/>
                    <w:rPr>
                      <w:rFonts w:hint="eastAsia"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需氧量</w:t>
                  </w:r>
                </w:p>
              </w:tc>
              <w:tc>
                <w:tcPr>
                  <w:tcW w:w="546"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氨氮</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悬浮物</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动植物油类</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五日生化需氧量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942" w:type="pct"/>
                  <w:gridSpan w:val="2"/>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546"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mg/L</w:t>
                  </w:r>
                </w:p>
              </w:tc>
              <w:tc>
                <w:tcPr>
                  <w:tcW w:w="546"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mg/L</w:t>
                  </w:r>
                </w:p>
              </w:tc>
              <w:tc>
                <w:tcPr>
                  <w:tcW w:w="546"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mg/L</w:t>
                  </w:r>
                </w:p>
              </w:tc>
              <w:tc>
                <w:tcPr>
                  <w:tcW w:w="512"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mg/L</w:t>
                  </w:r>
                </w:p>
              </w:tc>
              <w:tc>
                <w:tcPr>
                  <w:tcW w:w="582"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mg/L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restar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2024/4/27</w:t>
                  </w:r>
                </w:p>
              </w:tc>
              <w:tc>
                <w:tcPr>
                  <w:tcW w:w="437" w:type="pct"/>
                  <w:vMerge w:val="restar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★A1</w:t>
                  </w:r>
                </w:p>
              </w:tc>
              <w:tc>
                <w:tcPr>
                  <w:tcW w:w="50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第一次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27</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26.6</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307</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0.17</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5.7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continue"/>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p>
              </w:tc>
              <w:tc>
                <w:tcPr>
                  <w:tcW w:w="437"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50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第二次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25</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27.4</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262</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0.18</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437"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50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第三次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22</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27.1</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244</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0.20</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437"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505"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第四次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20</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26.3</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302</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0.17</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8" w:type="pct"/>
                  <w:gridSpan w:val="3"/>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平均值</w:t>
                  </w:r>
                </w:p>
              </w:tc>
              <w:tc>
                <w:tcPr>
                  <w:tcW w:w="725"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24</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26.8</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279</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0.18</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restar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2024/4/28</w:t>
                  </w:r>
                </w:p>
              </w:tc>
              <w:tc>
                <w:tcPr>
                  <w:tcW w:w="437" w:type="pct"/>
                  <w:vMerge w:val="restar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★A1</w:t>
                  </w:r>
                </w:p>
              </w:tc>
              <w:tc>
                <w:tcPr>
                  <w:tcW w:w="50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第一次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25</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27.0</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235</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0.20</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5.2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437"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50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第二次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23</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25.4</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291</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0.14</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437"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50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第三次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20</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26.9</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268</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0.14</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5"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437" w:type="pct"/>
                  <w:vMerge w:val="continue"/>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p>
              </w:tc>
              <w:tc>
                <w:tcPr>
                  <w:tcW w:w="50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第四次</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浅黄、微浊、有异味</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18</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25.1</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258</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0.19</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8" w:type="pct"/>
                  <w:gridSpan w:val="3"/>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平均值</w:t>
                  </w:r>
                </w:p>
              </w:tc>
              <w:tc>
                <w:tcPr>
                  <w:tcW w:w="725" w:type="pct"/>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22</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26.1</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263</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0.17</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8" w:type="pct"/>
                  <w:gridSpan w:val="3"/>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标准限值</w:t>
                  </w:r>
                </w:p>
              </w:tc>
              <w:tc>
                <w:tcPr>
                  <w:tcW w:w="725"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480</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30</w:t>
                  </w:r>
                </w:p>
              </w:tc>
              <w:tc>
                <w:tcPr>
                  <w:tcW w:w="546"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380</w:t>
                  </w:r>
                </w:p>
              </w:tc>
              <w:tc>
                <w:tcPr>
                  <w:tcW w:w="51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5</w:t>
                  </w:r>
                </w:p>
              </w:tc>
              <w:tc>
                <w:tcPr>
                  <w:tcW w:w="582" w:type="pct"/>
                  <w:noWrap w:val="0"/>
                  <w:vAlign w:val="center"/>
                </w:tcPr>
                <w:p>
                  <w:pPr>
                    <w:pStyle w:val="65"/>
                    <w:spacing w:before="97" w:line="278" w:lineRule="auto"/>
                    <w:ind w:left="105" w:leftChars="0" w:right="-15" w:rightChars="0" w:hanging="106"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38" w:type="pct"/>
                  <w:gridSpan w:val="3"/>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参考依据</w:t>
                  </w:r>
                </w:p>
              </w:tc>
              <w:tc>
                <w:tcPr>
                  <w:tcW w:w="3461" w:type="pct"/>
                  <w:gridSpan w:val="6"/>
                  <w:noWrap w:val="0"/>
                  <w:vAlign w:val="center"/>
                </w:tcPr>
                <w:p>
                  <w:pPr>
                    <w:pStyle w:val="65"/>
                    <w:spacing w:before="97" w:line="278" w:lineRule="auto"/>
                    <w:ind w:left="105" w:leftChars="0" w:right="-15" w:rightChars="0" w:hanging="106" w:firstLineChars="0"/>
                    <w:jc w:val="center"/>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《万州化工园污水处理厂工业废水接管标准》</w:t>
                  </w:r>
                </w:p>
              </w:tc>
            </w:tr>
          </w:tbl>
          <w:p>
            <w:pPr>
              <w:widowControl w:val="0"/>
              <w:ind w:firstLine="480" w:firstLineChars="200"/>
              <w:jc w:val="both"/>
              <w:rPr>
                <w:rFonts w:hint="eastAsia" w:ascii="Times New Roman" w:hAnsi="Times New Roman" w:eastAsia="宋体"/>
                <w:lang w:val="en-US" w:eastAsia="zh-CN"/>
              </w:rPr>
            </w:pPr>
            <w:r>
              <w:rPr>
                <w:rFonts w:hint="eastAsia" w:ascii="Times New Roman" w:hAnsi="Times New Roman" w:eastAsia="宋体"/>
                <w:lang w:val="en-US" w:eastAsia="zh-CN"/>
              </w:rPr>
              <w:t>检测结果表明：验收监测期间，项目生活废水检测结果符合满足《万州化工园污水处理厂工业废水接管标准》。</w:t>
            </w:r>
          </w:p>
          <w:p>
            <w:pPr>
              <w:pStyle w:val="65"/>
              <w:widowControl w:val="0"/>
              <w:numPr>
                <w:ilvl w:val="1"/>
                <w:numId w:val="9"/>
              </w:numPr>
              <w:tabs>
                <w:tab w:val="left" w:pos="529"/>
              </w:tabs>
              <w:spacing w:before="132" w:after="0" w:line="240" w:lineRule="auto"/>
              <w:ind w:left="528" w:right="0" w:hanging="424"/>
              <w:jc w:val="left"/>
              <w:rPr>
                <w:rFonts w:ascii="宋体" w:hAnsi="宋体" w:eastAsia="宋体" w:cs="宋体"/>
                <w:b/>
                <w:spacing w:val="2"/>
                <w:sz w:val="28"/>
              </w:rPr>
            </w:pPr>
            <w:r>
              <w:rPr>
                <w:rFonts w:ascii="宋体" w:hAnsi="宋体" w:eastAsia="宋体" w:cs="宋体"/>
                <w:b/>
                <w:spacing w:val="2"/>
                <w:sz w:val="28"/>
              </w:rPr>
              <w:t>噪声</w:t>
            </w:r>
          </w:p>
          <w:p>
            <w:pPr>
              <w:pStyle w:val="65"/>
              <w:widowControl w:val="0"/>
              <w:spacing w:before="215" w:line="367" w:lineRule="auto"/>
              <w:ind w:left="105" w:right="91" w:firstLine="480"/>
              <w:jc w:val="both"/>
              <w:rPr>
                <w:rFonts w:hint="default" w:ascii="Times New Roman" w:hAnsi="Times New Roman" w:eastAsia="宋体" w:cs="Times New Roman"/>
                <w:spacing w:val="-6"/>
                <w:sz w:val="24"/>
              </w:rPr>
            </w:pPr>
            <w:r>
              <w:rPr>
                <w:rFonts w:ascii="Times New Roman" w:eastAsia="Times New Roman"/>
                <w:sz w:val="24"/>
              </w:rPr>
              <w:t>202</w:t>
            </w:r>
            <w:r>
              <w:rPr>
                <w:rFonts w:hint="eastAsia" w:ascii="Times New Roman" w:eastAsia="Times New Roman"/>
                <w:sz w:val="24"/>
                <w:lang w:val="en-US" w:eastAsia="zh-CN"/>
              </w:rPr>
              <w:t>4</w:t>
            </w:r>
            <w:r>
              <w:rPr>
                <w:rFonts w:ascii="Times New Roman" w:eastAsia="Times New Roman"/>
                <w:sz w:val="24"/>
              </w:rPr>
              <w:t>年</w:t>
            </w:r>
            <w:r>
              <w:rPr>
                <w:rFonts w:hint="eastAsia" w:ascii="Times New Roman" w:eastAsia="Times New Roman"/>
                <w:sz w:val="24"/>
                <w:lang w:val="en-US" w:eastAsia="zh-CN"/>
              </w:rPr>
              <w:t>4</w:t>
            </w:r>
            <w:r>
              <w:rPr>
                <w:rFonts w:ascii="Times New Roman" w:eastAsia="Times New Roman"/>
                <w:sz w:val="24"/>
              </w:rPr>
              <w:t>月</w:t>
            </w:r>
            <w:r>
              <w:rPr>
                <w:rFonts w:hint="eastAsia" w:ascii="Times New Roman" w:eastAsia="Times New Roman"/>
                <w:sz w:val="24"/>
                <w:lang w:val="en-US" w:eastAsia="zh-CN"/>
              </w:rPr>
              <w:t>27</w:t>
            </w:r>
            <w:r>
              <w:rPr>
                <w:rFonts w:ascii="Times New Roman" w:eastAsia="Times New Roman"/>
                <w:sz w:val="24"/>
              </w:rPr>
              <w:t>日~</w:t>
            </w:r>
            <w:r>
              <w:rPr>
                <w:rFonts w:hint="eastAsia" w:ascii="Times New Roman" w:eastAsia="宋体"/>
                <w:sz w:val="24"/>
                <w:lang w:val="en-US" w:eastAsia="zh-CN"/>
              </w:rPr>
              <w:t>28</w:t>
            </w:r>
            <w:r>
              <w:rPr>
                <w:rFonts w:ascii="Times New Roman" w:eastAsia="Times New Roman"/>
                <w:sz w:val="24"/>
              </w:rPr>
              <w:t>日</w:t>
            </w:r>
            <w:r>
              <w:rPr>
                <w:rFonts w:hint="default" w:ascii="Times New Roman" w:hAnsi="Times New Roman" w:eastAsia="宋体" w:cs="Times New Roman"/>
                <w:spacing w:val="-6"/>
                <w:sz w:val="24"/>
              </w:rPr>
              <w:t>，对项目厂界噪声进行连续 2 天监测，每天昼</w:t>
            </w:r>
            <w:r>
              <w:rPr>
                <w:rFonts w:hint="eastAsia" w:ascii="Times New Roman" w:hAnsi="Times New Roman" w:eastAsia="宋体" w:cs="Times New Roman"/>
                <w:spacing w:val="-6"/>
                <w:sz w:val="24"/>
                <w:lang w:eastAsia="zh-CN"/>
              </w:rPr>
              <w:t>夜</w:t>
            </w:r>
            <w:r>
              <w:rPr>
                <w:rFonts w:hint="default" w:ascii="Times New Roman" w:hAnsi="Times New Roman" w:eastAsia="宋体" w:cs="Times New Roman"/>
                <w:spacing w:val="-6"/>
                <w:sz w:val="24"/>
              </w:rPr>
              <w:t>监测 1 次。监测结果见表 6.3-1。</w:t>
            </w: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宋体" w:cs="Times New Roman"/>
                <w:b/>
                <w:sz w:val="21"/>
                <w:lang w:val="en-US" w:eastAsia="zh-CN"/>
              </w:rPr>
            </w:pPr>
            <w:r>
              <w:rPr>
                <w:rFonts w:hint="default" w:ascii="Times New Roman" w:hAnsi="Times New Roman" w:eastAsia="宋体" w:cs="Times New Roman"/>
                <w:b/>
                <w:sz w:val="21"/>
              </w:rPr>
              <w:t>表 6.3-1</w:t>
            </w:r>
            <w:r>
              <w:rPr>
                <w:rFonts w:hint="eastAsia" w:ascii="Times New Roman" w:hAnsi="Times New Roman" w:eastAsia="宋体" w:cs="Times New Roman"/>
                <w:b/>
                <w:sz w:val="21"/>
                <w:lang w:val="en-US" w:eastAsia="zh-CN"/>
              </w:rPr>
              <w:t xml:space="preserve"> 厂界噪声</w:t>
            </w:r>
            <w:r>
              <w:rPr>
                <w:rFonts w:hint="default" w:ascii="Times New Roman" w:hAnsi="Times New Roman" w:eastAsia="宋体" w:cs="Times New Roman"/>
                <w:b/>
                <w:sz w:val="21"/>
              </w:rPr>
              <w:t>监测结果一览表</w:t>
            </w:r>
          </w:p>
          <w:tbl>
            <w:tblPr>
              <w:tblStyle w:val="24"/>
              <w:tblpPr w:leftFromText="180" w:rightFromText="180" w:vertAnchor="text" w:horzAnchor="margin" w:tblpXSpec="center" w:tblpY="335"/>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14"/>
              <w:gridCol w:w="1443"/>
              <w:gridCol w:w="586"/>
              <w:gridCol w:w="586"/>
              <w:gridCol w:w="586"/>
              <w:gridCol w:w="586"/>
              <w:gridCol w:w="198"/>
              <w:gridCol w:w="389"/>
              <w:gridCol w:w="586"/>
              <w:gridCol w:w="586"/>
              <w:gridCol w:w="617"/>
              <w:gridCol w:w="857"/>
              <w:gridCol w:w="8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13"/>
                  <w:noWrap w:val="0"/>
                  <w:vAlign w:val="center"/>
                </w:tcPr>
                <w:p>
                  <w:pPr>
                    <w:autoSpaceDE w:val="0"/>
                    <w:autoSpaceDN w:val="0"/>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工业企业厂界环境噪声检测结果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9" w:type="pct"/>
                  <w:vMerge w:val="restart"/>
                  <w:noWrap w:val="0"/>
                  <w:vAlign w:val="center"/>
                </w:tcPr>
                <w:p>
                  <w:pPr>
                    <w:tabs>
                      <w:tab w:val="left" w:pos="1255"/>
                      <w:tab w:val="left" w:pos="5940"/>
                    </w:tabs>
                    <w:adjustRightInd w:val="0"/>
                    <w:snapToGrid w:val="0"/>
                    <w:jc w:val="center"/>
                    <w:rPr>
                      <w:rFonts w:ascii="Times New Roman" w:hAnsi="Times New Roman"/>
                      <w:b/>
                      <w:color w:val="auto"/>
                      <w:sz w:val="21"/>
                      <w:szCs w:val="21"/>
                    </w:rPr>
                  </w:pPr>
                  <w:r>
                    <w:rPr>
                      <w:rFonts w:ascii="Times New Roman" w:hAnsi="Times New Roman"/>
                      <w:b/>
                      <w:color w:val="auto"/>
                      <w:sz w:val="21"/>
                      <w:szCs w:val="21"/>
                    </w:rPr>
                    <w:t>检测</w:t>
                  </w:r>
                </w:p>
                <w:p>
                  <w:pPr>
                    <w:tabs>
                      <w:tab w:val="left" w:pos="1255"/>
                      <w:tab w:val="left" w:pos="5940"/>
                    </w:tabs>
                    <w:adjustRightInd w:val="0"/>
                    <w:snapToGrid w:val="0"/>
                    <w:jc w:val="center"/>
                    <w:rPr>
                      <w:rFonts w:ascii="Times New Roman" w:hAnsi="Times New Roman"/>
                      <w:b/>
                      <w:color w:val="auto"/>
                      <w:sz w:val="21"/>
                      <w:szCs w:val="21"/>
                    </w:rPr>
                  </w:pPr>
                  <w:r>
                    <w:rPr>
                      <w:rFonts w:ascii="Times New Roman" w:hAnsi="Times New Roman"/>
                      <w:b/>
                      <w:color w:val="auto"/>
                      <w:sz w:val="21"/>
                      <w:szCs w:val="21"/>
                    </w:rPr>
                    <w:t>时间</w:t>
                  </w:r>
                </w:p>
              </w:tc>
              <w:tc>
                <w:tcPr>
                  <w:tcW w:w="802" w:type="pct"/>
                  <w:vMerge w:val="restart"/>
                  <w:noWrap w:val="0"/>
                  <w:vAlign w:val="center"/>
                </w:tcPr>
                <w:p>
                  <w:pPr>
                    <w:tabs>
                      <w:tab w:val="left" w:pos="1255"/>
                      <w:tab w:val="left" w:pos="5940"/>
                    </w:tabs>
                    <w:adjustRightInd w:val="0"/>
                    <w:snapToGrid w:val="0"/>
                    <w:jc w:val="center"/>
                    <w:rPr>
                      <w:rFonts w:ascii="Times New Roman" w:hAnsi="Times New Roman"/>
                      <w:b/>
                      <w:color w:val="auto"/>
                      <w:sz w:val="21"/>
                      <w:szCs w:val="21"/>
                    </w:rPr>
                  </w:pPr>
                  <w:r>
                    <w:rPr>
                      <w:rFonts w:ascii="Times New Roman" w:hAnsi="Times New Roman"/>
                      <w:b/>
                      <w:color w:val="auto"/>
                      <w:sz w:val="21"/>
                      <w:szCs w:val="21"/>
                    </w:rPr>
                    <w:t>检测点</w:t>
                  </w:r>
                </w:p>
              </w:tc>
              <w:tc>
                <w:tcPr>
                  <w:tcW w:w="1414" w:type="pct"/>
                  <w:gridSpan w:val="5"/>
                  <w:noWrap w:val="0"/>
                  <w:vAlign w:val="center"/>
                </w:tcPr>
                <w:p>
                  <w:pPr>
                    <w:autoSpaceDE w:val="0"/>
                    <w:autoSpaceDN w:val="0"/>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昼间噪声</w:t>
                  </w:r>
                </w:p>
              </w:tc>
              <w:tc>
                <w:tcPr>
                  <w:tcW w:w="2164" w:type="pct"/>
                  <w:gridSpan w:val="6"/>
                  <w:noWrap w:val="0"/>
                  <w:vAlign w:val="center"/>
                </w:tcPr>
                <w:p>
                  <w:pPr>
                    <w:autoSpaceDE w:val="0"/>
                    <w:autoSpaceDN w:val="0"/>
                    <w:adjustRightInd w:val="0"/>
                    <w:snapToGrid w:val="0"/>
                    <w:ind w:right="-120" w:rightChars="-50"/>
                    <w:jc w:val="center"/>
                    <w:rPr>
                      <w:rFonts w:ascii="Times New Roman" w:hAnsi="Times New Roman"/>
                      <w:b/>
                      <w:color w:val="auto"/>
                      <w:sz w:val="21"/>
                      <w:szCs w:val="21"/>
                    </w:rPr>
                  </w:pPr>
                  <w:r>
                    <w:rPr>
                      <w:rFonts w:ascii="Times New Roman" w:hAnsi="Times New Roman"/>
                      <w:b/>
                      <w:color w:val="auto"/>
                      <w:sz w:val="21"/>
                      <w:szCs w:val="21"/>
                    </w:rPr>
                    <w:t>夜间噪声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9" w:type="pct"/>
                  <w:vMerge w:val="continue"/>
                  <w:noWrap w:val="0"/>
                  <w:vAlign w:val="center"/>
                </w:tcPr>
                <w:p>
                  <w:pPr>
                    <w:tabs>
                      <w:tab w:val="left" w:pos="1255"/>
                      <w:tab w:val="left" w:pos="5940"/>
                    </w:tabs>
                    <w:adjustRightInd w:val="0"/>
                    <w:snapToGrid w:val="0"/>
                    <w:jc w:val="center"/>
                    <w:rPr>
                      <w:rFonts w:ascii="Times New Roman" w:hAnsi="Times New Roman"/>
                      <w:b/>
                      <w:color w:val="auto"/>
                      <w:sz w:val="21"/>
                      <w:szCs w:val="21"/>
                    </w:rPr>
                  </w:pPr>
                </w:p>
              </w:tc>
              <w:tc>
                <w:tcPr>
                  <w:tcW w:w="802" w:type="pct"/>
                  <w:vMerge w:val="continue"/>
                  <w:noWrap w:val="0"/>
                  <w:vAlign w:val="center"/>
                </w:tcPr>
                <w:p>
                  <w:pPr>
                    <w:tabs>
                      <w:tab w:val="left" w:pos="1255"/>
                      <w:tab w:val="left" w:pos="5940"/>
                    </w:tabs>
                    <w:adjustRightInd w:val="0"/>
                    <w:snapToGrid w:val="0"/>
                    <w:jc w:val="center"/>
                    <w:rPr>
                      <w:rFonts w:ascii="Times New Roman" w:hAnsi="Times New Roman"/>
                      <w:b/>
                      <w:color w:val="auto"/>
                      <w:sz w:val="21"/>
                      <w:szCs w:val="21"/>
                    </w:rPr>
                  </w:pPr>
                </w:p>
              </w:tc>
              <w:tc>
                <w:tcPr>
                  <w:tcW w:w="1414" w:type="pct"/>
                  <w:gridSpan w:val="5"/>
                  <w:noWrap w:val="0"/>
                  <w:vAlign w:val="center"/>
                </w:tcPr>
                <w:p>
                  <w:pPr>
                    <w:autoSpaceDE w:val="0"/>
                    <w:autoSpaceDN w:val="0"/>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L</w:t>
                  </w:r>
                  <w:r>
                    <w:rPr>
                      <w:rFonts w:ascii="Times New Roman" w:hAnsi="Times New Roman"/>
                      <w:b/>
                      <w:color w:val="auto"/>
                      <w:sz w:val="21"/>
                      <w:szCs w:val="21"/>
                      <w:vertAlign w:val="subscript"/>
                    </w:rPr>
                    <w:t>eq</w:t>
                  </w:r>
                  <w:r>
                    <w:rPr>
                      <w:rFonts w:ascii="Times New Roman" w:hAnsi="Times New Roman"/>
                      <w:b/>
                      <w:color w:val="auto"/>
                      <w:sz w:val="21"/>
                      <w:szCs w:val="21"/>
                    </w:rPr>
                    <w:t>（dB(A)）</w:t>
                  </w:r>
                </w:p>
              </w:tc>
              <w:tc>
                <w:tcPr>
                  <w:tcW w:w="1211" w:type="pct"/>
                  <w:gridSpan w:val="4"/>
                  <w:noWrap w:val="0"/>
                  <w:vAlign w:val="center"/>
                </w:tcPr>
                <w:p>
                  <w:pPr>
                    <w:autoSpaceDE w:val="0"/>
                    <w:autoSpaceDN w:val="0"/>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L</w:t>
                  </w:r>
                  <w:r>
                    <w:rPr>
                      <w:rFonts w:ascii="Times New Roman" w:hAnsi="Times New Roman"/>
                      <w:b/>
                      <w:color w:val="auto"/>
                      <w:sz w:val="21"/>
                      <w:szCs w:val="21"/>
                      <w:vertAlign w:val="subscript"/>
                    </w:rPr>
                    <w:t>eq</w:t>
                  </w:r>
                  <w:r>
                    <w:rPr>
                      <w:rFonts w:ascii="Times New Roman" w:hAnsi="Times New Roman"/>
                      <w:b/>
                      <w:color w:val="auto"/>
                      <w:sz w:val="21"/>
                      <w:szCs w:val="21"/>
                    </w:rPr>
                    <w:t>（dB(A)）</w:t>
                  </w:r>
                </w:p>
              </w:tc>
              <w:tc>
                <w:tcPr>
                  <w:tcW w:w="476" w:type="pct"/>
                  <w:vMerge w:val="restart"/>
                  <w:noWrap w:val="0"/>
                  <w:vAlign w:val="center"/>
                </w:tcPr>
                <w:p>
                  <w:pPr>
                    <w:autoSpaceDE w:val="0"/>
                    <w:autoSpaceDN w:val="0"/>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最大</w:t>
                  </w:r>
                </w:p>
                <w:p>
                  <w:pPr>
                    <w:autoSpaceDE w:val="0"/>
                    <w:autoSpaceDN w:val="0"/>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声级</w:t>
                  </w:r>
                </w:p>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dB(A)</w:t>
                  </w:r>
                </w:p>
              </w:tc>
              <w:tc>
                <w:tcPr>
                  <w:tcW w:w="476" w:type="pct"/>
                  <w:vMerge w:val="restar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主要</w:t>
                  </w:r>
                </w:p>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声源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9" w:type="pct"/>
                  <w:vMerge w:val="continue"/>
                  <w:noWrap w:val="0"/>
                  <w:vAlign w:val="center"/>
                </w:tcPr>
                <w:p>
                  <w:pPr>
                    <w:tabs>
                      <w:tab w:val="left" w:pos="1255"/>
                      <w:tab w:val="left" w:pos="5940"/>
                    </w:tabs>
                    <w:adjustRightInd w:val="0"/>
                    <w:snapToGrid w:val="0"/>
                    <w:jc w:val="center"/>
                    <w:rPr>
                      <w:rFonts w:ascii="Times New Roman" w:hAnsi="Times New Roman"/>
                      <w:b/>
                      <w:color w:val="auto"/>
                      <w:sz w:val="21"/>
                      <w:szCs w:val="21"/>
                    </w:rPr>
                  </w:pPr>
                </w:p>
              </w:tc>
              <w:tc>
                <w:tcPr>
                  <w:tcW w:w="802" w:type="pct"/>
                  <w:vMerge w:val="continue"/>
                  <w:noWrap w:val="0"/>
                  <w:vAlign w:val="center"/>
                </w:tcPr>
                <w:p>
                  <w:pPr>
                    <w:tabs>
                      <w:tab w:val="left" w:pos="1255"/>
                      <w:tab w:val="left" w:pos="5940"/>
                    </w:tabs>
                    <w:adjustRightInd w:val="0"/>
                    <w:snapToGrid w:val="0"/>
                    <w:jc w:val="center"/>
                    <w:rPr>
                      <w:rFonts w:ascii="Times New Roman" w:hAnsi="Times New Roman"/>
                      <w:b/>
                      <w:color w:val="auto"/>
                      <w:sz w:val="21"/>
                      <w:szCs w:val="21"/>
                    </w:rPr>
                  </w:pPr>
                </w:p>
              </w:tc>
              <w:tc>
                <w:tcPr>
                  <w:tcW w:w="326" w:type="pc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测量值</w:t>
                  </w:r>
                </w:p>
              </w:tc>
              <w:tc>
                <w:tcPr>
                  <w:tcW w:w="326" w:type="pc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背景值</w:t>
                  </w:r>
                </w:p>
              </w:tc>
              <w:tc>
                <w:tcPr>
                  <w:tcW w:w="326" w:type="pc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修正值</w:t>
                  </w:r>
                </w:p>
              </w:tc>
              <w:tc>
                <w:tcPr>
                  <w:tcW w:w="326" w:type="pc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修正</w:t>
                  </w:r>
                </w:p>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结果</w:t>
                  </w:r>
                </w:p>
              </w:tc>
              <w:tc>
                <w:tcPr>
                  <w:tcW w:w="326" w:type="pct"/>
                  <w:gridSpan w:val="2"/>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测量值</w:t>
                  </w:r>
                </w:p>
              </w:tc>
              <w:tc>
                <w:tcPr>
                  <w:tcW w:w="326" w:type="pc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背景值</w:t>
                  </w:r>
                </w:p>
              </w:tc>
              <w:tc>
                <w:tcPr>
                  <w:tcW w:w="326" w:type="pc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修正值</w:t>
                  </w:r>
                </w:p>
              </w:tc>
              <w:tc>
                <w:tcPr>
                  <w:tcW w:w="337" w:type="pct"/>
                  <w:noWrap w:val="0"/>
                  <w:vAlign w:val="center"/>
                </w:tcPr>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修正</w:t>
                  </w:r>
                </w:p>
                <w:p>
                  <w:pPr>
                    <w:adjustRightInd w:val="0"/>
                    <w:snapToGrid w:val="0"/>
                    <w:ind w:left="-120" w:leftChars="-50" w:right="-120" w:rightChars="-50"/>
                    <w:jc w:val="center"/>
                    <w:rPr>
                      <w:rFonts w:ascii="Times New Roman" w:hAnsi="Times New Roman"/>
                      <w:b/>
                      <w:color w:val="auto"/>
                      <w:sz w:val="21"/>
                      <w:szCs w:val="21"/>
                    </w:rPr>
                  </w:pPr>
                  <w:r>
                    <w:rPr>
                      <w:rFonts w:ascii="Times New Roman" w:hAnsi="Times New Roman"/>
                      <w:b/>
                      <w:color w:val="auto"/>
                      <w:sz w:val="21"/>
                      <w:szCs w:val="21"/>
                    </w:rPr>
                    <w:t>结果</w:t>
                  </w:r>
                </w:p>
              </w:tc>
              <w:tc>
                <w:tcPr>
                  <w:tcW w:w="476" w:type="pct"/>
                  <w:vMerge w:val="continue"/>
                  <w:noWrap w:val="0"/>
                  <w:vAlign w:val="center"/>
                </w:tcPr>
                <w:p>
                  <w:pPr>
                    <w:adjustRightInd w:val="0"/>
                    <w:snapToGrid w:val="0"/>
                    <w:ind w:left="-120" w:leftChars="-50" w:right="-120" w:rightChars="-50"/>
                    <w:jc w:val="center"/>
                    <w:rPr>
                      <w:rFonts w:ascii="Times New Roman" w:hAnsi="Times New Roman"/>
                      <w:b/>
                      <w:color w:val="auto"/>
                      <w:sz w:val="21"/>
                      <w:szCs w:val="21"/>
                    </w:rPr>
                  </w:pPr>
                </w:p>
              </w:tc>
              <w:tc>
                <w:tcPr>
                  <w:tcW w:w="476" w:type="pct"/>
                  <w:vMerge w:val="continue"/>
                  <w:noWrap w:val="0"/>
                  <w:vAlign w:val="center"/>
                </w:tcPr>
                <w:p>
                  <w:pPr>
                    <w:adjustRightInd w:val="0"/>
                    <w:snapToGrid w:val="0"/>
                    <w:ind w:left="-120" w:leftChars="-50" w:right="-120" w:rightChars="-50"/>
                    <w:jc w:val="center"/>
                    <w:rPr>
                      <w:rFonts w:ascii="Times New Roman" w:hAnsi="Times New Roman"/>
                      <w:b/>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9" w:type="pct"/>
                  <w:noWrap w:val="0"/>
                  <w:vAlign w:val="center"/>
                </w:tcPr>
                <w:p>
                  <w:pPr>
                    <w:jc w:val="center"/>
                    <w:rPr>
                      <w:rFonts w:hint="default" w:ascii="Times New Roman" w:hAnsi="Times New Roman" w:eastAsia="宋体"/>
                      <w:color w:val="auto"/>
                      <w:sz w:val="21"/>
                      <w:szCs w:val="21"/>
                      <w:lang w:val="en-US" w:eastAsia="zh-CN"/>
                    </w:rPr>
                  </w:pPr>
                  <w:r>
                    <w:rPr>
                      <w:rFonts w:hint="eastAsia" w:ascii="Times New Roman" w:hAnsi="Times New Roman" w:eastAsia="宋体"/>
                      <w:bCs/>
                      <w:color w:val="auto"/>
                      <w:sz w:val="21"/>
                      <w:szCs w:val="21"/>
                      <w:lang w:eastAsia="zh-CN"/>
                    </w:rPr>
                    <w:t>202</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27</w:t>
                  </w:r>
                </w:p>
              </w:tc>
              <w:tc>
                <w:tcPr>
                  <w:tcW w:w="802"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C1</w:t>
                  </w:r>
                </w:p>
                <w:p>
                  <w:pPr>
                    <w:jc w:val="center"/>
                    <w:rPr>
                      <w:rFonts w:hint="default" w:ascii="Times New Roman" w:hAnsi="Times New Roman"/>
                      <w:color w:val="auto"/>
                      <w:sz w:val="21"/>
                      <w:szCs w:val="21"/>
                      <w:lang w:val="en-US"/>
                    </w:rPr>
                  </w:pPr>
                  <w:r>
                    <w:rPr>
                      <w:rFonts w:hint="eastAsia" w:ascii="Times New Roman" w:hAnsi="Times New Roman" w:cs="Times New Roman"/>
                      <w:sz w:val="21"/>
                      <w:szCs w:val="21"/>
                      <w:lang w:val="en-US" w:eastAsia="zh-CN"/>
                    </w:rPr>
                    <w:t>（厂区南面）</w:t>
                  </w:r>
                </w:p>
              </w:tc>
              <w:tc>
                <w:tcPr>
                  <w:tcW w:w="32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56.6</w:t>
                  </w:r>
                </w:p>
              </w:tc>
              <w:tc>
                <w:tcPr>
                  <w:tcW w:w="32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ascii="Times New Roman" w:hAnsi="Times New Roman"/>
                      <w:color w:val="auto"/>
                      <w:sz w:val="21"/>
                      <w:szCs w:val="21"/>
                    </w:rPr>
                    <w:t>/</w:t>
                  </w:r>
                </w:p>
              </w:tc>
              <w:tc>
                <w:tcPr>
                  <w:tcW w:w="32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ascii="Times New Roman" w:hAnsi="Times New Roman"/>
                      <w:color w:val="auto"/>
                      <w:sz w:val="21"/>
                      <w:szCs w:val="21"/>
                    </w:rPr>
                    <w:t>/</w:t>
                  </w:r>
                </w:p>
              </w:tc>
              <w:tc>
                <w:tcPr>
                  <w:tcW w:w="32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57</w:t>
                  </w:r>
                </w:p>
              </w:tc>
              <w:tc>
                <w:tcPr>
                  <w:tcW w:w="326" w:type="pct"/>
                  <w:gridSpan w:val="2"/>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48.2</w:t>
                  </w:r>
                </w:p>
              </w:tc>
              <w:tc>
                <w:tcPr>
                  <w:tcW w:w="32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ascii="Times New Roman" w:hAnsi="Times New Roman"/>
                      <w:color w:val="auto"/>
                      <w:sz w:val="21"/>
                      <w:szCs w:val="21"/>
                    </w:rPr>
                    <w:t>/</w:t>
                  </w:r>
                </w:p>
              </w:tc>
              <w:tc>
                <w:tcPr>
                  <w:tcW w:w="32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ascii="Times New Roman" w:hAnsi="Times New Roman"/>
                      <w:color w:val="auto"/>
                      <w:sz w:val="21"/>
                      <w:szCs w:val="21"/>
                    </w:rPr>
                    <w:t>/</w:t>
                  </w:r>
                </w:p>
              </w:tc>
              <w:tc>
                <w:tcPr>
                  <w:tcW w:w="337"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48</w:t>
                  </w:r>
                </w:p>
              </w:tc>
              <w:tc>
                <w:tcPr>
                  <w:tcW w:w="47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53.0</w:t>
                  </w:r>
                </w:p>
              </w:tc>
              <w:tc>
                <w:tcPr>
                  <w:tcW w:w="476" w:type="pct"/>
                  <w:tcBorders>
                    <w:bottom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切割机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9" w:type="pct"/>
                  <w:tcBorders>
                    <w:bottom w:val="single" w:color="auto" w:sz="4" w:space="0"/>
                  </w:tcBorders>
                  <w:noWrap w:val="0"/>
                  <w:vAlign w:val="center"/>
                </w:tcPr>
                <w:p>
                  <w:pPr>
                    <w:jc w:val="center"/>
                    <w:rPr>
                      <w:rFonts w:hint="default" w:ascii="Times New Roman" w:hAnsi="Times New Roman"/>
                      <w:bCs/>
                      <w:color w:val="auto"/>
                      <w:sz w:val="21"/>
                      <w:szCs w:val="21"/>
                      <w:lang w:val="en-US" w:eastAsia="zh-CN"/>
                    </w:rPr>
                  </w:pPr>
                  <w:r>
                    <w:rPr>
                      <w:rFonts w:hint="eastAsia" w:ascii="Times New Roman" w:hAnsi="Times New Roman" w:eastAsia="宋体"/>
                      <w:bCs/>
                      <w:color w:val="auto"/>
                      <w:sz w:val="21"/>
                      <w:szCs w:val="21"/>
                      <w:lang w:eastAsia="zh-CN"/>
                    </w:rPr>
                    <w:t>202</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28</w:t>
                  </w:r>
                </w:p>
              </w:tc>
              <w:tc>
                <w:tcPr>
                  <w:tcW w:w="802" w:type="pct"/>
                  <w:tcBorders>
                    <w:bottom w:val="single" w:color="auto" w:sz="4" w:space="0"/>
                  </w:tcBorders>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C1</w:t>
                  </w:r>
                </w:p>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sz w:val="21"/>
                      <w:szCs w:val="21"/>
                      <w:lang w:val="en-US" w:eastAsia="zh-CN"/>
                    </w:rPr>
                    <w:t>（厂区南面）</w:t>
                  </w:r>
                </w:p>
              </w:tc>
              <w:tc>
                <w:tcPr>
                  <w:tcW w:w="326" w:type="pct"/>
                  <w:tcBorders>
                    <w:bottom w:val="single" w:color="auto" w:sz="4" w:space="0"/>
                  </w:tcBorders>
                  <w:noWrap w:val="0"/>
                  <w:vAlign w:val="center"/>
                </w:tcPr>
                <w:p>
                  <w:pPr>
                    <w:adjustRightInd w:val="0"/>
                    <w:snapToGrid w:val="0"/>
                    <w:jc w:val="center"/>
                    <w:rPr>
                      <w:rFonts w:hint="default"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58.2</w:t>
                  </w:r>
                </w:p>
              </w:tc>
              <w:tc>
                <w:tcPr>
                  <w:tcW w:w="326" w:type="pct"/>
                  <w:tcBorders>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bottom w:val="single" w:color="auto" w:sz="4" w:space="0"/>
                  </w:tcBorders>
                  <w:noWrap w:val="0"/>
                  <w:vAlign w:val="center"/>
                </w:tcPr>
                <w:p>
                  <w:pPr>
                    <w:adjustRightInd w:val="0"/>
                    <w:snapToGrid w:val="0"/>
                    <w:jc w:val="center"/>
                    <w:rPr>
                      <w:rFonts w:hint="default"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58</w:t>
                  </w:r>
                </w:p>
              </w:tc>
              <w:tc>
                <w:tcPr>
                  <w:tcW w:w="326" w:type="pct"/>
                  <w:gridSpan w:val="2"/>
                  <w:tcBorders>
                    <w:bottom w:val="single" w:color="auto" w:sz="4" w:space="0"/>
                  </w:tcBorders>
                  <w:noWrap w:val="0"/>
                  <w:vAlign w:val="center"/>
                </w:tcPr>
                <w:p>
                  <w:pPr>
                    <w:adjustRightInd w:val="0"/>
                    <w:snapToGrid w:val="0"/>
                    <w:jc w:val="center"/>
                    <w:rPr>
                      <w:rFonts w:hint="default"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48.9</w:t>
                  </w:r>
                </w:p>
              </w:tc>
              <w:tc>
                <w:tcPr>
                  <w:tcW w:w="326" w:type="pct"/>
                  <w:tcBorders>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37" w:type="pct"/>
                  <w:tcBorders>
                    <w:bottom w:val="single" w:color="auto" w:sz="4" w:space="0"/>
                  </w:tcBorders>
                  <w:noWrap w:val="0"/>
                  <w:vAlign w:val="center"/>
                </w:tcPr>
                <w:p>
                  <w:pPr>
                    <w:adjustRightInd w:val="0"/>
                    <w:snapToGrid w:val="0"/>
                    <w:jc w:val="center"/>
                    <w:rPr>
                      <w:rFonts w:hint="default"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49</w:t>
                  </w:r>
                </w:p>
              </w:tc>
              <w:tc>
                <w:tcPr>
                  <w:tcW w:w="47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54.6</w:t>
                  </w:r>
                </w:p>
              </w:tc>
              <w:tc>
                <w:tcPr>
                  <w:tcW w:w="47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切割机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9" w:type="pct"/>
                  <w:tcBorders>
                    <w:top w:val="single" w:color="auto" w:sz="4" w:space="0"/>
                    <w:bottom w:val="single" w:color="auto" w:sz="4" w:space="0"/>
                  </w:tcBorders>
                  <w:noWrap w:val="0"/>
                  <w:vAlign w:val="center"/>
                </w:tcPr>
                <w:p>
                  <w:pPr>
                    <w:jc w:val="center"/>
                    <w:rPr>
                      <w:rFonts w:hint="eastAsia" w:ascii="Times New Roman" w:hAnsi="Times New Roman" w:eastAsia="宋体"/>
                      <w:bCs/>
                      <w:color w:val="auto"/>
                      <w:sz w:val="21"/>
                      <w:szCs w:val="21"/>
                      <w:lang w:eastAsia="zh-CN"/>
                    </w:rPr>
                  </w:pPr>
                  <w:r>
                    <w:rPr>
                      <w:rFonts w:hint="eastAsia" w:ascii="Times New Roman" w:hAnsi="Times New Roman" w:eastAsia="宋体"/>
                      <w:bCs/>
                      <w:color w:val="auto"/>
                      <w:sz w:val="21"/>
                      <w:szCs w:val="21"/>
                      <w:lang w:eastAsia="zh-CN"/>
                    </w:rPr>
                    <w:t>202</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27</w:t>
                  </w:r>
                </w:p>
              </w:tc>
              <w:tc>
                <w:tcPr>
                  <w:tcW w:w="802" w:type="pct"/>
                  <w:tcBorders>
                    <w:top w:val="single" w:color="auto" w:sz="4" w:space="0"/>
                    <w:bottom w:val="single" w:color="auto" w:sz="4" w:space="0"/>
                  </w:tcBorders>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C2</w:t>
                  </w:r>
                </w:p>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sz w:val="21"/>
                      <w:szCs w:val="21"/>
                      <w:lang w:val="en-US" w:eastAsia="zh-CN"/>
                    </w:rPr>
                    <w:t>（厂区北面）</w:t>
                  </w:r>
                </w:p>
              </w:tc>
              <w:tc>
                <w:tcPr>
                  <w:tcW w:w="32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55.1</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55</w:t>
                  </w:r>
                </w:p>
              </w:tc>
              <w:tc>
                <w:tcPr>
                  <w:tcW w:w="326" w:type="pct"/>
                  <w:gridSpan w:val="2"/>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49.3</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37"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49</w:t>
                  </w:r>
                </w:p>
              </w:tc>
              <w:tc>
                <w:tcPr>
                  <w:tcW w:w="47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50.8</w:t>
                  </w:r>
                </w:p>
              </w:tc>
              <w:tc>
                <w:tcPr>
                  <w:tcW w:w="47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切割机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19" w:type="pct"/>
                  <w:tcBorders>
                    <w:top w:val="single" w:color="auto" w:sz="4" w:space="0"/>
                    <w:bottom w:val="single" w:color="auto" w:sz="4" w:space="0"/>
                  </w:tcBorders>
                  <w:noWrap w:val="0"/>
                  <w:vAlign w:val="center"/>
                </w:tcPr>
                <w:p>
                  <w:pPr>
                    <w:jc w:val="center"/>
                    <w:rPr>
                      <w:rFonts w:hint="eastAsia" w:ascii="Times New Roman" w:hAnsi="Times New Roman" w:eastAsia="宋体"/>
                      <w:bCs/>
                      <w:color w:val="auto"/>
                      <w:sz w:val="21"/>
                      <w:szCs w:val="21"/>
                      <w:lang w:eastAsia="zh-CN"/>
                    </w:rPr>
                  </w:pPr>
                  <w:r>
                    <w:rPr>
                      <w:rFonts w:hint="eastAsia" w:ascii="Times New Roman" w:hAnsi="Times New Roman" w:eastAsia="宋体"/>
                      <w:bCs/>
                      <w:color w:val="auto"/>
                      <w:sz w:val="21"/>
                      <w:szCs w:val="21"/>
                      <w:lang w:eastAsia="zh-CN"/>
                    </w:rPr>
                    <w:t>202</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4</w:t>
                  </w:r>
                  <w:r>
                    <w:rPr>
                      <w:rFonts w:hint="eastAsia" w:ascii="Times New Roman" w:hAnsi="Times New Roman" w:eastAsia="宋体"/>
                      <w:bCs/>
                      <w:color w:val="auto"/>
                      <w:sz w:val="21"/>
                      <w:szCs w:val="21"/>
                      <w:lang w:eastAsia="zh-CN"/>
                    </w:rPr>
                    <w:t>/</w:t>
                  </w:r>
                  <w:r>
                    <w:rPr>
                      <w:rFonts w:hint="eastAsia" w:ascii="Times New Roman" w:hAnsi="Times New Roman" w:eastAsia="宋体"/>
                      <w:bCs/>
                      <w:color w:val="auto"/>
                      <w:sz w:val="21"/>
                      <w:szCs w:val="21"/>
                      <w:lang w:val="en-US" w:eastAsia="zh-CN"/>
                    </w:rPr>
                    <w:t>28</w:t>
                  </w:r>
                </w:p>
              </w:tc>
              <w:tc>
                <w:tcPr>
                  <w:tcW w:w="802" w:type="pct"/>
                  <w:tcBorders>
                    <w:top w:val="single" w:color="auto" w:sz="4" w:space="0"/>
                    <w:bottom w:val="single" w:color="auto" w:sz="4" w:space="0"/>
                  </w:tcBorders>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C2</w:t>
                  </w:r>
                </w:p>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sz w:val="21"/>
                      <w:szCs w:val="21"/>
                      <w:lang w:val="en-US" w:eastAsia="zh-CN"/>
                    </w:rPr>
                    <w:t>（厂区北面）</w:t>
                  </w:r>
                </w:p>
              </w:tc>
              <w:tc>
                <w:tcPr>
                  <w:tcW w:w="32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57.6</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58</w:t>
                  </w:r>
                </w:p>
              </w:tc>
              <w:tc>
                <w:tcPr>
                  <w:tcW w:w="326" w:type="pct"/>
                  <w:gridSpan w:val="2"/>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47.8</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tcBorders>
                    <w:top w:val="single" w:color="auto" w:sz="4" w:space="0"/>
                    <w:bottom w:val="single" w:color="auto" w:sz="4" w:space="0"/>
                  </w:tcBorders>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37"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48</w:t>
                  </w:r>
                </w:p>
              </w:tc>
              <w:tc>
                <w:tcPr>
                  <w:tcW w:w="47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51.3</w:t>
                  </w:r>
                </w:p>
              </w:tc>
              <w:tc>
                <w:tcPr>
                  <w:tcW w:w="476" w:type="pct"/>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olor w:val="auto"/>
                      <w:kern w:val="2"/>
                      <w:sz w:val="21"/>
                      <w:szCs w:val="21"/>
                      <w:lang w:val="en-US" w:eastAsia="zh-CN" w:bidi="ar-SA"/>
                    </w:rPr>
                  </w:pPr>
                  <w:r>
                    <w:rPr>
                      <w:rFonts w:hint="eastAsia" w:ascii="Times New Roman" w:hAnsi="Times New Roman" w:eastAsia="宋体"/>
                      <w:color w:val="auto"/>
                      <w:kern w:val="2"/>
                      <w:sz w:val="21"/>
                      <w:szCs w:val="21"/>
                      <w:lang w:val="en-US" w:eastAsia="zh-CN" w:bidi="ar-SA"/>
                    </w:rPr>
                    <w:t>切割机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21" w:type="pct"/>
                  <w:gridSpan w:val="2"/>
                  <w:noWrap w:val="0"/>
                  <w:vAlign w:val="center"/>
                </w:tcPr>
                <w:p>
                  <w:pPr>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排放限值</w:t>
                  </w:r>
                </w:p>
              </w:tc>
              <w:tc>
                <w:tcPr>
                  <w:tcW w:w="326" w:type="pct"/>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65</w:t>
                  </w:r>
                </w:p>
              </w:tc>
              <w:tc>
                <w:tcPr>
                  <w:tcW w:w="326" w:type="pct"/>
                  <w:gridSpan w:val="2"/>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w:t>
                  </w:r>
                </w:p>
              </w:tc>
              <w:tc>
                <w:tcPr>
                  <w:tcW w:w="326" w:type="pct"/>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26" w:type="pct"/>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337" w:type="pct"/>
                  <w:noWrap w:val="0"/>
                  <w:vAlign w:val="center"/>
                </w:tcPr>
                <w:p>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55</w:t>
                  </w:r>
                </w:p>
              </w:tc>
              <w:tc>
                <w:tcPr>
                  <w:tcW w:w="476" w:type="pct"/>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476" w:type="pct"/>
                  <w:noWrap w:val="0"/>
                  <w:vAlign w:val="center"/>
                </w:tcPr>
                <w:p>
                  <w:pPr>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421" w:type="pct"/>
                  <w:gridSpan w:val="2"/>
                  <w:noWrap w:val="0"/>
                  <w:vAlign w:val="center"/>
                </w:tcPr>
                <w:p>
                  <w:pPr>
                    <w:adjustRightInd w:val="0"/>
                    <w:snapToGrid w:val="0"/>
                    <w:jc w:val="center"/>
                    <w:rPr>
                      <w:rFonts w:ascii="Times New Roman" w:hAnsi="Times New Roman"/>
                      <w:b/>
                      <w:bCs/>
                      <w:color w:val="auto"/>
                      <w:sz w:val="21"/>
                      <w:szCs w:val="21"/>
                    </w:rPr>
                  </w:pPr>
                  <w:r>
                    <w:rPr>
                      <w:rFonts w:ascii="Times New Roman" w:hAnsi="Times New Roman"/>
                      <w:b/>
                      <w:bCs/>
                      <w:color w:val="auto"/>
                      <w:sz w:val="21"/>
                      <w:szCs w:val="21"/>
                    </w:rPr>
                    <w:t>参考依据</w:t>
                  </w:r>
                </w:p>
              </w:tc>
              <w:tc>
                <w:tcPr>
                  <w:tcW w:w="3578" w:type="pct"/>
                  <w:gridSpan w:val="11"/>
                  <w:noWrap w:val="0"/>
                  <w:vAlign w:val="center"/>
                </w:tcPr>
                <w:p>
                  <w:pPr>
                    <w:autoSpaceDE w:val="0"/>
                    <w:autoSpaceDN w:val="0"/>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《工业企业厂界环境噪声排放标准》（GB 12348-2008）</w:t>
                  </w:r>
                  <w:r>
                    <w:rPr>
                      <w:rFonts w:hint="eastAsia" w:ascii="Times New Roman" w:hAnsi="Times New Roman" w:eastAsia="宋体"/>
                      <w:color w:val="auto"/>
                      <w:sz w:val="21"/>
                      <w:szCs w:val="21"/>
                      <w:lang w:val="en-US" w:eastAsia="zh-CN"/>
                    </w:rPr>
                    <w:t>3</w:t>
                  </w:r>
                  <w:r>
                    <w:rPr>
                      <w:rFonts w:hint="eastAsia" w:ascii="Times New Roman" w:hAnsi="Times New Roman" w:eastAsia="宋体"/>
                      <w:color w:val="auto"/>
                      <w:sz w:val="21"/>
                      <w:szCs w:val="21"/>
                    </w:rPr>
                    <w:t>类标准排放限值。</w:t>
                  </w:r>
                </w:p>
              </w:tc>
            </w:tr>
          </w:tbl>
          <w:p>
            <w:pPr>
              <w:widowControl w:val="0"/>
              <w:ind w:firstLine="480" w:firstLineChars="200"/>
              <w:jc w:val="both"/>
              <w:rPr>
                <w:rFonts w:hint="eastAsia" w:ascii="Times New Roman" w:hAnsi="Times New Roman" w:eastAsia="Times New Roman" w:cstheme="minorBidi"/>
                <w:kern w:val="0"/>
                <w:sz w:val="24"/>
                <w:szCs w:val="24"/>
                <w:lang w:val="zh-CN" w:eastAsia="zh-CN" w:bidi="ar-SA"/>
              </w:rPr>
            </w:pPr>
            <w:r>
              <w:rPr>
                <w:rFonts w:hint="eastAsia" w:ascii="Times New Roman" w:hAnsi="Times New Roman" w:eastAsia="Times New Roman" w:cstheme="minorBidi"/>
                <w:kern w:val="0"/>
                <w:sz w:val="24"/>
                <w:szCs w:val="24"/>
                <w:lang w:val="zh-CN" w:eastAsia="zh-CN" w:bidi="ar-SA"/>
              </w:rPr>
              <w:t>检测结果表明：验收监测期间，项目厂界噪声监测值均满足《工业企业厂界环境噪声排放标准》（GB 12348-2008）表1的</w:t>
            </w:r>
            <w:r>
              <w:rPr>
                <w:rFonts w:hint="eastAsia" w:ascii="Times New Roman" w:hAnsi="Times New Roman" w:eastAsia="Times New Roman" w:cstheme="minorBidi"/>
                <w:kern w:val="0"/>
                <w:sz w:val="24"/>
                <w:szCs w:val="24"/>
                <w:lang w:val="en-US" w:eastAsia="zh-CN" w:bidi="ar-SA"/>
              </w:rPr>
              <w:t>3</w:t>
            </w:r>
            <w:r>
              <w:rPr>
                <w:rFonts w:hint="eastAsia" w:ascii="Times New Roman" w:hAnsi="Times New Roman" w:eastAsia="Times New Roman" w:cstheme="minorBidi"/>
                <w:kern w:val="0"/>
                <w:sz w:val="24"/>
                <w:szCs w:val="24"/>
                <w:lang w:val="zh-CN" w:eastAsia="zh-CN" w:bidi="ar-SA"/>
              </w:rPr>
              <w:t>类标准限值要求。</w:t>
            </w:r>
          </w:p>
          <w:p>
            <w:pPr>
              <w:pStyle w:val="65"/>
              <w:widowControl w:val="0"/>
              <w:numPr>
                <w:ilvl w:val="1"/>
                <w:numId w:val="9"/>
              </w:numPr>
              <w:tabs>
                <w:tab w:val="left" w:pos="529"/>
              </w:tabs>
              <w:spacing w:before="132" w:after="0" w:line="360" w:lineRule="auto"/>
              <w:ind w:left="528" w:right="0" w:hanging="424"/>
              <w:jc w:val="left"/>
              <w:rPr>
                <w:rFonts w:ascii="宋体" w:hAnsi="宋体" w:eastAsia="宋体" w:cs="宋体"/>
                <w:b/>
                <w:spacing w:val="2"/>
                <w:sz w:val="28"/>
              </w:rPr>
            </w:pPr>
            <w:bookmarkStart w:id="33" w:name="_Toc12258"/>
            <w:bookmarkStart w:id="34" w:name="_Toc3323"/>
            <w:r>
              <w:rPr>
                <w:rFonts w:hint="eastAsia" w:ascii="宋体" w:hAnsi="宋体" w:eastAsia="宋体" w:cs="宋体"/>
                <w:b/>
                <w:spacing w:val="2"/>
                <w:sz w:val="28"/>
                <w:lang w:val="en-US" w:eastAsia="zh-CN"/>
              </w:rPr>
              <w:t>污染物总量控制</w:t>
            </w:r>
            <w:bookmarkEnd w:id="33"/>
            <w:bookmarkEnd w:id="34"/>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color w:val="000000"/>
                <w:kern w:val="0"/>
                <w:sz w:val="24"/>
                <w:szCs w:val="24"/>
                <w:highlight w:val="none"/>
                <w:lang w:val="en-US" w:eastAsia="zh-CN" w:bidi="ar-SA"/>
              </w:rPr>
            </w:pPr>
            <w:bookmarkStart w:id="35" w:name="_Toc7135"/>
            <w:r>
              <w:rPr>
                <w:rFonts w:hint="eastAsia" w:ascii="Times New Roman" w:hAnsi="Times New Roman" w:eastAsia="宋体" w:cs="Times New Roman"/>
                <w:color w:val="000000"/>
                <w:kern w:val="0"/>
                <w:sz w:val="24"/>
                <w:szCs w:val="24"/>
                <w:highlight w:val="none"/>
                <w:lang w:val="en-US" w:eastAsia="zh-CN" w:bidi="ar-SA"/>
              </w:rPr>
              <w:t>实施污染物排放总量控制是污染控制的重要举措，污染物排放应在确保满足达标排放的前提下，同时满足区域的污染物排放总量控制目标</w:t>
            </w:r>
            <w:r>
              <w:rPr>
                <w:rFonts w:hint="eastAsia" w:ascii="Times New Roman" w:hAnsi="Times New Roman" w:cs="Times New Roman"/>
                <w:color w:val="000000"/>
                <w:kern w:val="0"/>
                <w:sz w:val="24"/>
                <w:szCs w:val="24"/>
                <w:highlight w:val="none"/>
                <w:lang w:val="en-US" w:eastAsia="zh-CN" w:bidi="ar-SA"/>
              </w:rPr>
              <w:t>。</w:t>
            </w:r>
            <w:bookmarkEnd w:id="35"/>
          </w:p>
          <w:p>
            <w:pPr>
              <w:widowControl w:val="0"/>
              <w:spacing w:line="360" w:lineRule="auto"/>
              <w:ind w:firstLine="480" w:firstLineChars="200"/>
              <w:jc w:val="left"/>
              <w:rPr>
                <w:rFonts w:hint="eastAsia"/>
                <w:color w:val="000000"/>
                <w:highlight w:val="none"/>
                <w:lang w:val="en-US" w:eastAsia="zh-CN"/>
              </w:rPr>
            </w:pPr>
            <w:r>
              <w:rPr>
                <w:rFonts w:hint="eastAsia" w:ascii="Times New Roman" w:hAnsi="Times New Roman" w:cs="Times New Roman"/>
                <w:color w:val="000000"/>
                <w:kern w:val="0"/>
                <w:sz w:val="24"/>
                <w:szCs w:val="24"/>
                <w:highlight w:val="none"/>
                <w:lang w:val="en-US" w:eastAsia="zh-CN" w:bidi="ar-SA"/>
              </w:rPr>
              <w:t>本项目污染物总量控制指标：</w:t>
            </w:r>
            <w:r>
              <w:rPr>
                <w:rFonts w:hint="eastAsia"/>
                <w:color w:val="000000"/>
                <w:highlight w:val="none"/>
                <w:lang w:val="en-US" w:eastAsia="zh-CN"/>
              </w:rPr>
              <w:t>废水：COD：0.420t/a；NH-N：0.052t/a。</w:t>
            </w:r>
          </w:p>
          <w:p>
            <w:pPr>
              <w:pStyle w:val="31"/>
              <w:jc w:val="both"/>
              <w:rPr>
                <w:rFonts w:hint="default" w:ascii="Times New Roman" w:hAnsi="Times New Roman" w:cs="Times New Roman"/>
                <w:color w:val="auto"/>
                <w:sz w:val="24"/>
                <w:szCs w:val="24"/>
                <w:lang w:val="zh-CN" w:eastAsia="zh-CN"/>
              </w:rPr>
            </w:pPr>
          </w:p>
        </w:tc>
      </w:tr>
    </w:tbl>
    <w:p>
      <w:pPr>
        <w:rPr>
          <w:lang w:val="zh-CN"/>
        </w:rPr>
      </w:pPr>
    </w:p>
    <w:p>
      <w:pPr>
        <w:keepNext w:val="0"/>
        <w:keepLines w:val="0"/>
        <w:pageBreakBefore/>
        <w:widowControl/>
        <w:kinsoku/>
        <w:wordWrap/>
        <w:overflowPunct/>
        <w:topLinePunct w:val="0"/>
        <w:autoSpaceDE/>
        <w:autoSpaceDN/>
        <w:bidi w:val="0"/>
        <w:adjustRightInd w:val="0"/>
        <w:snapToGrid w:val="0"/>
        <w:spacing w:before="59"/>
        <w:ind w:right="0"/>
        <w:jc w:val="left"/>
        <w:textAlignment w:val="auto"/>
        <w:rPr>
          <w:b/>
          <w:sz w:val="28"/>
          <w:vertAlign w:val="baseline"/>
        </w:rPr>
      </w:pPr>
      <w:r>
        <w:rPr>
          <w:b/>
          <w:sz w:val="28"/>
        </w:rPr>
        <w:t>表七</w:t>
      </w:r>
      <w:r>
        <w:rPr>
          <w:rFonts w:hint="eastAsia"/>
          <w:b/>
          <w:sz w:val="28"/>
          <w:lang w:val="en-US" w:eastAsia="zh-CN"/>
        </w:rPr>
        <w:t xml:space="preserve">  </w:t>
      </w:r>
      <w:r>
        <w:rPr>
          <w:b/>
          <w:sz w:val="28"/>
        </w:rPr>
        <w:t>环保检查结果</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5" w:hRule="atLeast"/>
        </w:trPr>
        <w:tc>
          <w:tcPr>
            <w:tcW w:w="9241" w:type="dxa"/>
          </w:tcPr>
          <w:p>
            <w:pPr>
              <w:pStyle w:val="2"/>
              <w:keepNext w:val="0"/>
              <w:keepLines w:val="0"/>
              <w:pageBreakBefore w:val="0"/>
              <w:widowControl w:val="0"/>
              <w:numPr>
                <w:ilvl w:val="1"/>
                <w:numId w:val="10"/>
              </w:numPr>
              <w:tabs>
                <w:tab w:val="left" w:pos="699"/>
                <w:tab w:val="clear" w:pos="371"/>
                <w:tab w:val="clear" w:pos="432"/>
              </w:tabs>
              <w:kinsoku/>
              <w:wordWrap/>
              <w:overflowPunct/>
              <w:topLinePunct w:val="0"/>
              <w:autoSpaceDE w:val="0"/>
              <w:autoSpaceDN w:val="0"/>
              <w:bidi w:val="0"/>
              <w:adjustRightInd/>
              <w:snapToGrid/>
              <w:spacing w:before="0" w:after="0" w:line="240" w:lineRule="auto"/>
              <w:ind w:left="697" w:right="0" w:hanging="425"/>
              <w:jc w:val="both"/>
              <w:textAlignment w:val="auto"/>
              <w:rPr>
                <w:sz w:val="28"/>
                <w:szCs w:val="28"/>
              </w:rPr>
            </w:pPr>
            <w:r>
              <w:rPr>
                <w:sz w:val="28"/>
                <w:szCs w:val="28"/>
              </w:rPr>
              <w:t>环境影响评价与环评批复中环保措施及设施的落实情况</w:t>
            </w:r>
          </w:p>
          <w:p>
            <w:pPr>
              <w:keepNext w:val="0"/>
              <w:keepLines w:val="0"/>
              <w:pageBreakBefore w:val="0"/>
              <w:widowControl w:val="0"/>
              <w:tabs>
                <w:tab w:val="left" w:pos="907"/>
              </w:tabs>
              <w:kinsoku/>
              <w:wordWrap/>
              <w:overflowPunct/>
              <w:topLinePunct w:val="0"/>
              <w:autoSpaceDE w:val="0"/>
              <w:autoSpaceDN w:val="0"/>
              <w:bidi w:val="0"/>
              <w:adjustRightInd/>
              <w:snapToGrid/>
              <w:spacing w:before="0" w:line="240" w:lineRule="auto"/>
              <w:ind w:left="0" w:right="164" w:firstLine="0"/>
              <w:jc w:val="center"/>
              <w:textAlignment w:val="auto"/>
              <w:rPr>
                <w:b/>
                <w:sz w:val="7"/>
              </w:rPr>
            </w:pPr>
            <w:r>
              <w:rPr>
                <w:b/>
                <w:sz w:val="21"/>
              </w:rPr>
              <w:t>表</w:t>
            </w:r>
            <w:r>
              <w:rPr>
                <w:b/>
                <w:spacing w:val="-58"/>
                <w:sz w:val="21"/>
              </w:rPr>
              <w:t xml:space="preserve"> </w:t>
            </w:r>
            <w:r>
              <w:rPr>
                <w:rFonts w:ascii="Times New Roman" w:eastAsia="Times New Roman"/>
                <w:b/>
                <w:sz w:val="21"/>
              </w:rPr>
              <w:t>7.1-1</w:t>
            </w:r>
            <w:r>
              <w:rPr>
                <w:rFonts w:ascii="Times New Roman" w:eastAsia="Times New Roman"/>
                <w:b/>
                <w:sz w:val="21"/>
              </w:rPr>
              <w:tab/>
            </w:r>
            <w:r>
              <w:rPr>
                <w:b/>
                <w:sz w:val="21"/>
              </w:rPr>
              <w:t>环保设施、措</w:t>
            </w:r>
            <w:r>
              <w:rPr>
                <w:b/>
                <w:spacing w:val="-5"/>
                <w:sz w:val="21"/>
              </w:rPr>
              <w:t>施</w:t>
            </w:r>
            <w:r>
              <w:rPr>
                <w:b/>
                <w:sz w:val="21"/>
              </w:rPr>
              <w:t>落实情况一览表</w:t>
            </w:r>
          </w:p>
          <w:tbl>
            <w:tblPr>
              <w:tblStyle w:val="24"/>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6"/>
              <w:gridCol w:w="625"/>
              <w:gridCol w:w="852"/>
              <w:gridCol w:w="2914"/>
              <w:gridCol w:w="3076"/>
              <w:gridCol w:w="1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7" w:type="pct"/>
                  <w:vAlign w:val="center"/>
                </w:tcPr>
                <w:p>
                  <w:pPr>
                    <w:pStyle w:val="65"/>
                    <w:spacing w:line="268" w:lineRule="exact"/>
                    <w:ind w:left="146"/>
                    <w:rPr>
                      <w:rFonts w:hint="default" w:ascii="Times New Roman" w:hAnsi="Times New Roman" w:eastAsia="宋体" w:cs="Times New Roman"/>
                      <w:sz w:val="21"/>
                      <w:szCs w:val="21"/>
                    </w:rPr>
                  </w:pPr>
                  <w:r>
                    <w:rPr>
                      <w:rFonts w:hint="default" w:ascii="Times New Roman" w:hAnsi="Times New Roman" w:eastAsia="宋体" w:cs="Times New Roman"/>
                      <w:w w:val="100"/>
                      <w:sz w:val="21"/>
                      <w:szCs w:val="21"/>
                    </w:rPr>
                    <w:t>序</w:t>
                  </w:r>
                </w:p>
                <w:p>
                  <w:pPr>
                    <w:pStyle w:val="65"/>
                    <w:spacing w:before="4" w:line="252" w:lineRule="exact"/>
                    <w:ind w:left="146"/>
                    <w:rPr>
                      <w:rFonts w:hint="default" w:ascii="Times New Roman" w:hAnsi="Times New Roman" w:eastAsia="宋体" w:cs="Times New Roman"/>
                      <w:sz w:val="21"/>
                      <w:szCs w:val="21"/>
                    </w:rPr>
                  </w:pPr>
                  <w:r>
                    <w:rPr>
                      <w:rFonts w:hint="default" w:ascii="Times New Roman" w:hAnsi="Times New Roman" w:eastAsia="宋体" w:cs="Times New Roman"/>
                      <w:w w:val="100"/>
                      <w:sz w:val="21"/>
                      <w:szCs w:val="21"/>
                    </w:rPr>
                    <w:t>号</w:t>
                  </w:r>
                </w:p>
              </w:tc>
              <w:tc>
                <w:tcPr>
                  <w:tcW w:w="820" w:type="pct"/>
                  <w:gridSpan w:val="2"/>
                  <w:vAlign w:val="center"/>
                </w:tcPr>
                <w:p>
                  <w:pPr>
                    <w:pStyle w:val="65"/>
                    <w:spacing w:before="138"/>
                    <w:ind w:left="485" w:right="4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种类</w:t>
                  </w:r>
                </w:p>
              </w:tc>
              <w:tc>
                <w:tcPr>
                  <w:tcW w:w="1618" w:type="pct"/>
                  <w:vAlign w:val="center"/>
                </w:tcPr>
                <w:p>
                  <w:pPr>
                    <w:pStyle w:val="65"/>
                    <w:spacing w:before="138"/>
                    <w:ind w:left="101" w:right="9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环评及批复要求</w:t>
                  </w:r>
                </w:p>
              </w:tc>
              <w:tc>
                <w:tcPr>
                  <w:tcW w:w="1708" w:type="pct"/>
                  <w:vAlign w:val="center"/>
                </w:tcPr>
                <w:p>
                  <w:pPr>
                    <w:pStyle w:val="65"/>
                    <w:spacing w:before="138"/>
                    <w:ind w:left="89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实际建设情况</w:t>
                  </w:r>
                </w:p>
              </w:tc>
              <w:tc>
                <w:tcPr>
                  <w:tcW w:w="565" w:type="pct"/>
                  <w:vAlign w:val="center"/>
                </w:tcPr>
                <w:p>
                  <w:pPr>
                    <w:pStyle w:val="65"/>
                    <w:spacing w:before="138"/>
                    <w:ind w:left="131" w:right="1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落实</w:t>
                  </w:r>
                </w:p>
                <w:p>
                  <w:pPr>
                    <w:pStyle w:val="65"/>
                    <w:spacing w:before="138"/>
                    <w:ind w:left="131" w:right="1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7" w:type="pct"/>
                  <w:vMerge w:val="restart"/>
                  <w:vAlign w:val="center"/>
                </w:tcPr>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1</w:t>
                  </w:r>
                </w:p>
              </w:tc>
              <w:tc>
                <w:tcPr>
                  <w:tcW w:w="347" w:type="pct"/>
                  <w:vMerge w:val="restart"/>
                  <w:vAlign w:val="center"/>
                </w:tcPr>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废水</w:t>
                  </w:r>
                </w:p>
              </w:tc>
              <w:tc>
                <w:tcPr>
                  <w:tcW w:w="473" w:type="pct"/>
                  <w:vAlign w:val="center"/>
                </w:tcPr>
                <w:p>
                  <w:pPr>
                    <w:spacing w:line="300" w:lineRule="exact"/>
                    <w:jc w:val="center"/>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生产废水</w:t>
                  </w:r>
                </w:p>
                <w:p>
                  <w:pPr>
                    <w:spacing w:line="300" w:lineRule="exact"/>
                    <w:jc w:val="both"/>
                    <w:rPr>
                      <w:rFonts w:hint="default" w:ascii="Times New Roman" w:hAnsi="Times New Roman" w:eastAsia="宋体" w:cs="Times New Roman"/>
                      <w:bCs/>
                      <w:sz w:val="21"/>
                      <w:szCs w:val="21"/>
                      <w:lang w:eastAsia="zh-CN"/>
                    </w:rPr>
                  </w:pPr>
                </w:p>
              </w:tc>
              <w:tc>
                <w:tcPr>
                  <w:tcW w:w="1618" w:type="pct"/>
                  <w:vAlign w:val="center"/>
                </w:tcPr>
                <w:p>
                  <w:pPr>
                    <w:spacing w:line="30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生产废水循环使用不外排。</w:t>
                  </w:r>
                </w:p>
              </w:tc>
              <w:tc>
                <w:tcPr>
                  <w:tcW w:w="1708" w:type="pct"/>
                  <w:vAlign w:val="center"/>
                </w:tcPr>
                <w:p>
                  <w:pPr>
                    <w:spacing w:line="30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生产废水循环使用不外排。</w:t>
                  </w:r>
                </w:p>
              </w:tc>
              <w:tc>
                <w:tcPr>
                  <w:tcW w:w="565"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7" w:type="pct"/>
                  <w:vMerge w:val="continue"/>
                  <w:vAlign w:val="center"/>
                </w:tcPr>
                <w:p>
                  <w:pPr>
                    <w:spacing w:line="300" w:lineRule="exact"/>
                    <w:jc w:val="center"/>
                    <w:rPr>
                      <w:rFonts w:hint="default" w:ascii="Times New Roman" w:hAnsi="Times New Roman" w:eastAsia="宋体" w:cs="Times New Roman"/>
                      <w:bCs/>
                      <w:sz w:val="21"/>
                      <w:szCs w:val="21"/>
                      <w:lang w:eastAsia="zh-CN"/>
                    </w:rPr>
                  </w:pPr>
                </w:p>
              </w:tc>
              <w:tc>
                <w:tcPr>
                  <w:tcW w:w="347" w:type="pct"/>
                  <w:vMerge w:val="continue"/>
                  <w:vAlign w:val="center"/>
                </w:tcPr>
                <w:p>
                  <w:pPr>
                    <w:spacing w:line="300" w:lineRule="exact"/>
                    <w:jc w:val="center"/>
                    <w:rPr>
                      <w:rFonts w:hint="default" w:ascii="Times New Roman" w:hAnsi="Times New Roman" w:eastAsia="宋体" w:cs="Times New Roman"/>
                      <w:bCs/>
                      <w:sz w:val="21"/>
                      <w:szCs w:val="21"/>
                      <w:lang w:eastAsia="zh-CN"/>
                    </w:rPr>
                  </w:pPr>
                </w:p>
              </w:tc>
              <w:tc>
                <w:tcPr>
                  <w:tcW w:w="473" w:type="pct"/>
                  <w:vAlign w:val="center"/>
                </w:tcPr>
                <w:p>
                  <w:pPr>
                    <w:spacing w:line="300" w:lineRule="exact"/>
                    <w:jc w:val="center"/>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生活废水</w:t>
                  </w:r>
                </w:p>
              </w:tc>
              <w:tc>
                <w:tcPr>
                  <w:tcW w:w="1618" w:type="pct"/>
                  <w:tcBorders>
                    <w:top w:val="nil"/>
                  </w:tcBorders>
                  <w:vAlign w:val="center"/>
                </w:tcPr>
                <w:p>
                  <w:pPr>
                    <w:spacing w:line="30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生活污水采用生化预处理达到万州化工园污水处理厂工业废水接管标准后排入化工园区污水管网，送化工园区污水处理厂进行深度处理后排入长江</w:t>
                  </w:r>
                </w:p>
              </w:tc>
              <w:tc>
                <w:tcPr>
                  <w:tcW w:w="1708" w:type="pct"/>
                  <w:tcBorders>
                    <w:top w:val="nil"/>
                  </w:tcBorders>
                  <w:vAlign w:val="center"/>
                </w:tcPr>
                <w:p>
                  <w:pPr>
                    <w:spacing w:line="30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生活污水采用生化预处理达到万州化工园污水处理厂工业废水接管标准后排入化工园区污水管网，送化工园区污水处理厂进行深度处理后排入长江</w:t>
                  </w:r>
                </w:p>
              </w:tc>
              <w:tc>
                <w:tcPr>
                  <w:tcW w:w="565" w:type="pct"/>
                  <w:tcBorders>
                    <w:top w:val="nil"/>
                  </w:tcBorders>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87" w:type="pct"/>
                  <w:vAlign w:val="center"/>
                </w:tcPr>
                <w:p>
                  <w:pPr>
                    <w:spacing w:line="300" w:lineRule="exact"/>
                    <w:jc w:val="center"/>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2</w:t>
                  </w:r>
                </w:p>
              </w:tc>
              <w:tc>
                <w:tcPr>
                  <w:tcW w:w="347" w:type="pct"/>
                  <w:vAlign w:val="center"/>
                </w:tcPr>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噪声</w:t>
                  </w:r>
                </w:p>
              </w:tc>
              <w:tc>
                <w:tcPr>
                  <w:tcW w:w="473"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车间产噪设备</w:t>
                  </w:r>
                </w:p>
              </w:tc>
              <w:tc>
                <w:tcPr>
                  <w:tcW w:w="1618"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选用低噪的设备，合理布置、采用减震、建筑隔声</w:t>
                  </w:r>
                </w:p>
              </w:tc>
              <w:tc>
                <w:tcPr>
                  <w:tcW w:w="1708"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已合理布局，加强管理，选用低噪声设备，采取隔声、基础减震等措施</w:t>
                  </w:r>
                </w:p>
              </w:tc>
              <w:tc>
                <w:tcPr>
                  <w:tcW w:w="565" w:type="pct"/>
                  <w:vAlign w:val="center"/>
                </w:tcPr>
                <w:p>
                  <w:pPr>
                    <w:spacing w:line="300" w:lineRule="exact"/>
                    <w:jc w:val="center"/>
                    <w:rPr>
                      <w:rFonts w:hint="default" w:ascii="Times New Roman" w:hAnsi="Times New Roman" w:eastAsia="宋体" w:cs="Times New Roman"/>
                      <w:bCs/>
                      <w:sz w:val="21"/>
                      <w:szCs w:val="21"/>
                      <w:lang w:eastAsia="zh-CN"/>
                    </w:rPr>
                  </w:pPr>
                </w:p>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87" w:type="pct"/>
                  <w:vAlign w:val="center"/>
                </w:tcPr>
                <w:p>
                  <w:pPr>
                    <w:spacing w:line="300" w:lineRule="exact"/>
                    <w:jc w:val="center"/>
                    <w:rPr>
                      <w:rFonts w:hint="default"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3</w:t>
                  </w:r>
                </w:p>
              </w:tc>
              <w:tc>
                <w:tcPr>
                  <w:tcW w:w="347"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固废</w:t>
                  </w:r>
                </w:p>
              </w:tc>
              <w:tc>
                <w:tcPr>
                  <w:tcW w:w="473"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w:t>
                  </w:r>
                </w:p>
              </w:tc>
              <w:tc>
                <w:tcPr>
                  <w:tcW w:w="1618"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废玻璃交由玻璃原片供应厂回收利用处理</w:t>
                  </w:r>
                  <w:r>
                    <w:rPr>
                      <w:rFonts w:hint="eastAsia" w:ascii="Times New Roman" w:hAnsi="Times New Roman" w:eastAsia="宋体" w:cs="Times New Roman"/>
                      <w:bCs/>
                      <w:sz w:val="21"/>
                      <w:szCs w:val="21"/>
                      <w:lang w:eastAsia="zh-CN"/>
                    </w:rPr>
                    <w:t>；</w:t>
                  </w:r>
                  <w:r>
                    <w:rPr>
                      <w:rFonts w:hint="default" w:ascii="Times New Roman" w:hAnsi="Times New Roman" w:eastAsia="宋体" w:cs="Times New Roman"/>
                      <w:bCs/>
                      <w:sz w:val="21"/>
                      <w:szCs w:val="21"/>
                      <w:lang w:eastAsia="zh-CN"/>
                    </w:rPr>
                    <w:t>玻璃磨边粉末来自打磨和钻孔，沉淀水池下层玻璃粉末定期捞出交由玻璃原片厂回收利用处理；废包装交由原厂回收利用处理，不随意丢弃与处置；危险废物委托有资质单位进行收集处置。生活垃圾收集后由交园区市政环卫部门统一处理。</w:t>
                  </w:r>
                </w:p>
              </w:tc>
              <w:tc>
                <w:tcPr>
                  <w:tcW w:w="1708"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危险废物收集后暂存于危险废物暂存间暂存，定期交由重庆巨光实业有限公司处置，一般废料除回收利用外，包装袋等集中收集后外卖；生活垃圾由环卫部门统一处理。</w:t>
                  </w:r>
                </w:p>
              </w:tc>
              <w:tc>
                <w:tcPr>
                  <w:tcW w:w="565" w:type="pct"/>
                  <w:vAlign w:val="center"/>
                </w:tcPr>
                <w:p>
                  <w:pPr>
                    <w:spacing w:line="300" w:lineRule="exact"/>
                    <w:jc w:val="center"/>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eastAsia="zh-CN"/>
                    </w:rPr>
                    <w:t>已落实</w:t>
                  </w:r>
                </w:p>
              </w:tc>
            </w:tr>
          </w:tbl>
          <w:p>
            <w:pPr>
              <w:widowControl w:val="0"/>
              <w:spacing w:before="59"/>
              <w:ind w:right="0"/>
              <w:jc w:val="left"/>
              <w:rPr>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1" w:type="dxa"/>
          </w:tcPr>
          <w:p>
            <w:pPr>
              <w:pStyle w:val="2"/>
              <w:keepNext w:val="0"/>
              <w:keepLines w:val="0"/>
              <w:pageBreakBefore w:val="0"/>
              <w:widowControl w:val="0"/>
              <w:numPr>
                <w:ilvl w:val="1"/>
                <w:numId w:val="10"/>
              </w:numPr>
              <w:tabs>
                <w:tab w:val="left" w:pos="699"/>
                <w:tab w:val="clear" w:pos="371"/>
                <w:tab w:val="clear" w:pos="432"/>
              </w:tabs>
              <w:kinsoku/>
              <w:wordWrap/>
              <w:overflowPunct/>
              <w:topLinePunct w:val="0"/>
              <w:autoSpaceDE w:val="0"/>
              <w:autoSpaceDN w:val="0"/>
              <w:bidi w:val="0"/>
              <w:adjustRightInd/>
              <w:snapToGrid/>
              <w:spacing w:before="0" w:after="0" w:line="240" w:lineRule="auto"/>
              <w:ind w:left="697" w:right="0" w:hanging="425"/>
              <w:jc w:val="both"/>
              <w:textAlignment w:val="auto"/>
              <w:rPr>
                <w:sz w:val="28"/>
                <w:szCs w:val="28"/>
              </w:rPr>
            </w:pPr>
            <w:r>
              <w:rPr>
                <w:sz w:val="28"/>
                <w:szCs w:val="28"/>
              </w:rPr>
              <w:t>环保设施实际建成及运行情况</w:t>
            </w:r>
          </w:p>
          <w:p>
            <w:pPr>
              <w:pStyle w:val="9"/>
              <w:keepNext w:val="0"/>
              <w:keepLines w:val="0"/>
              <w:pageBreakBefore w:val="0"/>
              <w:widowControl w:val="0"/>
              <w:kinsoku/>
              <w:wordWrap/>
              <w:overflowPunct/>
              <w:topLinePunct w:val="0"/>
              <w:autoSpaceDE w:val="0"/>
              <w:autoSpaceDN w:val="0"/>
              <w:bidi w:val="0"/>
              <w:adjustRightInd/>
              <w:snapToGrid/>
              <w:spacing w:before="0" w:line="364" w:lineRule="auto"/>
              <w:ind w:left="0" w:right="0" w:firstLine="480"/>
              <w:jc w:val="both"/>
              <w:textAlignment w:val="auto"/>
            </w:pPr>
            <w:r>
              <w:rPr>
                <w:spacing w:val="-5"/>
              </w:rPr>
              <w:t>项目</w:t>
            </w:r>
            <w:r>
              <w:rPr>
                <w:rFonts w:hint="eastAsia"/>
                <w:spacing w:val="-5"/>
                <w:lang w:eastAsia="zh-CN"/>
              </w:rPr>
              <w:t>废水</w:t>
            </w:r>
            <w:r>
              <w:rPr>
                <w:spacing w:val="-5"/>
              </w:rPr>
              <w:t xml:space="preserve">处理设施于 </w:t>
            </w:r>
            <w:r>
              <w:rPr>
                <w:rFonts w:ascii="Times New Roman" w:eastAsia="Times New Roman"/>
              </w:rPr>
              <w:t>202</w:t>
            </w:r>
            <w:r>
              <w:rPr>
                <w:rFonts w:hint="eastAsia" w:ascii="Times New Roman" w:eastAsia="宋体"/>
                <w:lang w:val="en-US" w:eastAsia="zh-CN"/>
              </w:rPr>
              <w:t>4</w:t>
            </w:r>
            <w:r>
              <w:rPr>
                <w:rFonts w:ascii="Times New Roman" w:eastAsia="Times New Roman"/>
              </w:rPr>
              <w:t xml:space="preserve"> </w:t>
            </w:r>
            <w:r>
              <w:rPr>
                <w:spacing w:val="-29"/>
              </w:rPr>
              <w:t xml:space="preserve">年 </w:t>
            </w:r>
            <w:r>
              <w:rPr>
                <w:rFonts w:ascii="Times New Roman" w:eastAsia="Times New Roman"/>
              </w:rPr>
              <w:t>0</w:t>
            </w:r>
            <w:r>
              <w:rPr>
                <w:rFonts w:hint="eastAsia" w:ascii="Times New Roman"/>
                <w:lang w:val="en-US" w:eastAsia="zh-CN"/>
              </w:rPr>
              <w:t>3</w:t>
            </w:r>
            <w:r>
              <w:t>月建成。排污口按照相关要求设置，现场标识标牌齐全。</w:t>
            </w:r>
          </w:p>
          <w:p>
            <w:pPr>
              <w:pStyle w:val="2"/>
              <w:widowControl w:val="0"/>
              <w:numPr>
                <w:ilvl w:val="1"/>
                <w:numId w:val="10"/>
              </w:numPr>
              <w:tabs>
                <w:tab w:val="left" w:pos="699"/>
                <w:tab w:val="clear" w:pos="371"/>
                <w:tab w:val="clear" w:pos="432"/>
              </w:tabs>
              <w:spacing w:before="46" w:after="0" w:line="360" w:lineRule="auto"/>
              <w:ind w:left="698" w:right="0" w:hanging="424"/>
              <w:jc w:val="both"/>
              <w:rPr>
                <w:sz w:val="28"/>
                <w:szCs w:val="28"/>
              </w:rPr>
            </w:pPr>
            <w:r>
              <w:rPr>
                <w:sz w:val="28"/>
                <w:szCs w:val="28"/>
              </w:rPr>
              <w:t>突发性环境污染事故的应急制度，以及环境风险防范措施情况</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jc w:val="both"/>
              <w:textAlignment w:val="auto"/>
            </w:pPr>
            <w:r>
              <w:t>建立了环境风险防范制度。应急物资储备齐全，并定期对企业相关工作人员进行培训。</w:t>
            </w:r>
          </w:p>
          <w:p>
            <w:pPr>
              <w:pStyle w:val="2"/>
              <w:widowControl w:val="0"/>
              <w:numPr>
                <w:ilvl w:val="1"/>
                <w:numId w:val="10"/>
              </w:numPr>
              <w:tabs>
                <w:tab w:val="left" w:pos="699"/>
                <w:tab w:val="clear" w:pos="371"/>
                <w:tab w:val="clear" w:pos="432"/>
              </w:tabs>
              <w:spacing w:before="46" w:after="0" w:line="240" w:lineRule="auto"/>
              <w:ind w:left="698" w:right="0" w:hanging="424"/>
              <w:jc w:val="both"/>
              <w:rPr>
                <w:sz w:val="28"/>
                <w:szCs w:val="28"/>
              </w:rPr>
            </w:pPr>
            <w:r>
              <w:rPr>
                <w:sz w:val="28"/>
                <w:szCs w:val="28"/>
              </w:rPr>
              <w:t>环境保护档案管理情况</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pPr>
            <w:r>
              <w:rPr>
                <w:rFonts w:hint="eastAsia"/>
                <w:lang w:eastAsia="zh-CN"/>
              </w:rPr>
              <w:t>重庆美豪汽车玻璃有限公司</w:t>
            </w:r>
            <w:r>
              <w:t>环保档案有专人负责，项目完善了环境影响评价手续，编制了环境影响评价报告并取得了重庆市</w:t>
            </w:r>
            <w:r>
              <w:rPr>
                <w:rFonts w:hint="eastAsia"/>
                <w:lang w:eastAsia="zh-CN"/>
              </w:rPr>
              <w:t>万州区</w:t>
            </w:r>
            <w:r>
              <w:t>生态环境局的环评批复，环保审批文件及环境保护档案资料均已归类存档。企业环保档案较齐全，环保档案管理基本满足要求。</w:t>
            </w:r>
          </w:p>
          <w:p>
            <w:pPr>
              <w:pStyle w:val="2"/>
              <w:widowControl w:val="0"/>
              <w:numPr>
                <w:ilvl w:val="1"/>
                <w:numId w:val="10"/>
              </w:numPr>
              <w:tabs>
                <w:tab w:val="left" w:pos="699"/>
                <w:tab w:val="clear" w:pos="371"/>
                <w:tab w:val="clear" w:pos="432"/>
              </w:tabs>
              <w:spacing w:before="46" w:after="0" w:line="240" w:lineRule="auto"/>
              <w:ind w:left="698" w:right="0" w:hanging="424"/>
              <w:jc w:val="both"/>
              <w:rPr>
                <w:sz w:val="28"/>
                <w:szCs w:val="28"/>
              </w:rPr>
            </w:pPr>
            <w:r>
              <w:rPr>
                <w:sz w:val="28"/>
                <w:szCs w:val="28"/>
              </w:rPr>
              <w:t>公司现有环保管理制度及人员责任分工</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pPr>
            <w:r>
              <w:t>企业对环境保护工作比较重视，设立了环保管理机构，制定了《环境保护管理制度》，确定了各部门及岗位的环境保护目标和环保工作指标。公司总经理担任第一负责人，具体分管环境保护工作，并指定各部室领导为环保管理机构成员，落实本公司的环境保护工作，并协调公司与政府环保部门的工作。定期组织召开公司环保情况报告会和专题会议，实时掌控公司环保工作状况，改善公司环境状况，减少公司对周围环境的污染。公司制订了环境管理制度和环保设施维护和操作制度，各环保设施有专人负责保养、维护，并制定有针对性的岗位职责及考核目标。</w:t>
            </w:r>
          </w:p>
          <w:p>
            <w:pPr>
              <w:pStyle w:val="2"/>
              <w:widowControl w:val="0"/>
              <w:numPr>
                <w:ilvl w:val="1"/>
                <w:numId w:val="10"/>
              </w:numPr>
              <w:tabs>
                <w:tab w:val="left" w:pos="766"/>
                <w:tab w:val="clear" w:pos="371"/>
                <w:tab w:val="clear" w:pos="432"/>
              </w:tabs>
              <w:spacing w:before="58" w:after="0" w:line="360" w:lineRule="auto"/>
              <w:ind w:left="765" w:right="0" w:hanging="491"/>
              <w:jc w:val="both"/>
              <w:rPr>
                <w:sz w:val="28"/>
                <w:szCs w:val="28"/>
              </w:rPr>
            </w:pPr>
            <w:r>
              <w:rPr>
                <w:w w:val="95"/>
                <w:sz w:val="28"/>
                <w:szCs w:val="28"/>
              </w:rPr>
              <w:t>排污口的规范化设置</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658"/>
              <w:jc w:val="both"/>
              <w:textAlignment w:val="auto"/>
            </w:pPr>
            <w:r>
              <w:t>项目废</w:t>
            </w:r>
            <w:r>
              <w:rPr>
                <w:rFonts w:hint="eastAsia"/>
                <w:lang w:eastAsia="zh-CN"/>
              </w:rPr>
              <w:t>水</w:t>
            </w:r>
            <w:r>
              <w:t>排放口已进行规范化。</w:t>
            </w:r>
          </w:p>
          <w:p>
            <w:pPr>
              <w:pStyle w:val="2"/>
              <w:widowControl w:val="0"/>
              <w:numPr>
                <w:ilvl w:val="1"/>
                <w:numId w:val="10"/>
              </w:numPr>
              <w:tabs>
                <w:tab w:val="left" w:pos="766"/>
                <w:tab w:val="clear" w:pos="371"/>
                <w:tab w:val="clear" w:pos="432"/>
              </w:tabs>
              <w:spacing w:before="58" w:after="0" w:line="360" w:lineRule="auto"/>
              <w:ind w:left="765" w:right="0" w:hanging="491"/>
              <w:jc w:val="both"/>
              <w:rPr>
                <w:rFonts w:eastAsia="宋体"/>
                <w:w w:val="95"/>
                <w:sz w:val="28"/>
                <w:szCs w:val="28"/>
              </w:rPr>
            </w:pPr>
            <w:r>
              <w:rPr>
                <w:rFonts w:eastAsia="宋体"/>
                <w:w w:val="95"/>
                <w:sz w:val="28"/>
                <w:szCs w:val="28"/>
              </w:rPr>
              <w:t>环境保护监测机构、人员和仪器设备的配置情况</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658"/>
              <w:jc w:val="both"/>
              <w:textAlignment w:val="auto"/>
            </w:pPr>
            <w:r>
              <w:t>该项目委托具有资质的</w:t>
            </w:r>
            <w:r>
              <w:rPr>
                <w:rFonts w:hint="eastAsia"/>
                <w:lang w:eastAsia="zh-CN"/>
              </w:rPr>
              <w:t>重庆绿创环境检测技术有限公司</w:t>
            </w:r>
            <w:r>
              <w:t>对该项目进行监测。</w:t>
            </w:r>
          </w:p>
          <w:p>
            <w:pPr>
              <w:pStyle w:val="2"/>
              <w:widowControl w:val="0"/>
              <w:numPr>
                <w:ilvl w:val="1"/>
                <w:numId w:val="10"/>
              </w:numPr>
              <w:tabs>
                <w:tab w:val="left" w:pos="766"/>
                <w:tab w:val="clear" w:pos="371"/>
                <w:tab w:val="clear" w:pos="432"/>
              </w:tabs>
              <w:spacing w:before="58" w:after="0" w:line="360" w:lineRule="auto"/>
              <w:ind w:left="765" w:right="0" w:hanging="491"/>
              <w:jc w:val="both"/>
              <w:rPr>
                <w:rFonts w:eastAsia="宋体"/>
                <w:w w:val="95"/>
                <w:sz w:val="28"/>
                <w:szCs w:val="28"/>
              </w:rPr>
            </w:pPr>
            <w:r>
              <w:rPr>
                <w:rFonts w:eastAsia="宋体"/>
                <w:w w:val="95"/>
                <w:sz w:val="28"/>
                <w:szCs w:val="28"/>
              </w:rPr>
              <w:t>存在的问题</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1、完善危废台账记录；</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2、加强对危废间及危险品存放间管理。</w:t>
            </w:r>
          </w:p>
          <w:p>
            <w:pPr>
              <w:pStyle w:val="2"/>
              <w:widowControl w:val="0"/>
              <w:numPr>
                <w:ilvl w:val="1"/>
                <w:numId w:val="10"/>
              </w:numPr>
              <w:tabs>
                <w:tab w:val="left" w:pos="766"/>
                <w:tab w:val="clear" w:pos="371"/>
                <w:tab w:val="clear" w:pos="432"/>
              </w:tabs>
              <w:spacing w:before="58" w:after="0" w:line="240" w:lineRule="auto"/>
              <w:ind w:left="765" w:right="0" w:hanging="491"/>
              <w:jc w:val="both"/>
              <w:rPr>
                <w:rFonts w:eastAsia="宋体"/>
                <w:w w:val="95"/>
                <w:sz w:val="28"/>
                <w:szCs w:val="28"/>
              </w:rPr>
            </w:pPr>
            <w:r>
              <w:rPr>
                <w:rFonts w:eastAsia="宋体"/>
                <w:w w:val="95"/>
                <w:sz w:val="28"/>
                <w:szCs w:val="28"/>
              </w:rPr>
              <w:t>其它</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rPr>
            </w:pPr>
            <w:r>
              <w:rPr>
                <w:rFonts w:hint="default" w:ascii="Times New Roman" w:hAnsi="Times New Roman" w:eastAsia="宋体" w:cs="Times New Roman"/>
              </w:rPr>
              <w:t>该项目主要从事</w:t>
            </w:r>
            <w:r>
              <w:rPr>
                <w:rFonts w:hint="default" w:ascii="Times New Roman" w:hAnsi="Times New Roman" w:cs="Times New Roman"/>
                <w:bCs/>
                <w:color w:val="auto"/>
                <w:sz w:val="24"/>
                <w:lang w:val="en-US" w:eastAsia="zh-CN"/>
              </w:rPr>
              <w:t>半</w:t>
            </w:r>
            <w:r>
              <w:rPr>
                <w:rFonts w:hint="eastAsia" w:ascii="Times New Roman" w:hAnsi="Times New Roman" w:cs="Times New Roman"/>
                <w:bCs/>
                <w:color w:val="auto"/>
                <w:sz w:val="24"/>
                <w:lang w:val="en-US" w:eastAsia="zh-CN"/>
              </w:rPr>
              <w:t>汽车挡风玻璃</w:t>
            </w:r>
            <w:r>
              <w:rPr>
                <w:rFonts w:hint="default" w:ascii="Times New Roman" w:hAnsi="Times New Roman" w:cs="Times New Roman"/>
                <w:bCs/>
                <w:color w:val="auto"/>
                <w:sz w:val="24"/>
                <w:lang w:val="en-US" w:eastAsia="zh-CN"/>
              </w:rPr>
              <w:t>生产</w:t>
            </w:r>
            <w:r>
              <w:rPr>
                <w:rFonts w:hint="default" w:ascii="Times New Roman" w:hAnsi="Times New Roman" w:eastAsia="宋体" w:cs="Times New Roman"/>
              </w:rPr>
              <w:t>，行业划分属于</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eastAsia="zh-CN"/>
              </w:rPr>
              <w:t>其他玻璃制品</w:t>
            </w:r>
            <w:r>
              <w:rPr>
                <w:rFonts w:hint="default" w:ascii="Times New Roman" w:hAnsi="Times New Roman" w:cs="Times New Roman"/>
                <w:color w:val="auto"/>
                <w:sz w:val="24"/>
                <w:szCs w:val="24"/>
                <w:lang w:val="en-US" w:eastAsia="zh-CN"/>
              </w:rPr>
              <w:t>制造</w:t>
            </w:r>
            <w:r>
              <w:rPr>
                <w:rFonts w:hint="eastAsia" w:ascii="Times New Roman" w:hAnsi="Times New Roman" w:cs="Times New Roman"/>
                <w:color w:val="auto"/>
                <w:sz w:val="24"/>
                <w:szCs w:val="24"/>
                <w:lang w:val="en-US" w:eastAsia="zh-CN"/>
              </w:rPr>
              <w:t>”</w:t>
            </w:r>
            <w:r>
              <w:rPr>
                <w:rFonts w:hint="default" w:ascii="Times New Roman" w:hAnsi="Times New Roman" w:cs="Times New Roman"/>
                <w:bCs/>
                <w:color w:val="auto"/>
                <w:sz w:val="24"/>
                <w:lang w:val="en-US" w:eastAsia="zh-CN"/>
              </w:rPr>
              <w:t>。</w:t>
            </w:r>
            <w:r>
              <w:rPr>
                <w:rFonts w:hint="default" w:ascii="Times New Roman" w:hAnsi="Times New Roman" w:eastAsia="宋体" w:cs="Times New Roman"/>
              </w:rPr>
              <w:t>根据固定污染源排污许可证分类管理名录（2019 年版）的相关要求，属于登记管理，不需要办理排污许可证，仅需要在全国排污许可证信息管理平台上填报排污登记表，企业于 202</w:t>
            </w:r>
            <w:r>
              <w:rPr>
                <w:rFonts w:hint="default" w:ascii="Times New Roman" w:hAnsi="Times New Roman" w:eastAsia="宋体" w:cs="Times New Roman"/>
                <w:lang w:val="en-US" w:eastAsia="zh-CN"/>
              </w:rPr>
              <w:t>2</w:t>
            </w:r>
            <w:r>
              <w:rPr>
                <w:rFonts w:hint="default" w:ascii="Times New Roman" w:hAnsi="Times New Roman" w:eastAsia="宋体" w:cs="Times New Roman"/>
              </w:rPr>
              <w:t>年</w:t>
            </w:r>
            <w:r>
              <w:rPr>
                <w:rFonts w:hint="eastAsia" w:ascii="Times New Roman" w:hAnsi="Times New Roman" w:eastAsia="宋体" w:cs="Times New Roman"/>
                <w:lang w:val="en-US" w:eastAsia="zh-CN"/>
              </w:rPr>
              <w:t xml:space="preserve"> 3 </w:t>
            </w:r>
            <w:r>
              <w:rPr>
                <w:rFonts w:hint="default" w:ascii="Times New Roman" w:hAnsi="Times New Roman" w:eastAsia="宋体" w:cs="Times New Roman"/>
              </w:rPr>
              <w:t>月</w:t>
            </w:r>
            <w:r>
              <w:rPr>
                <w:rFonts w:hint="eastAsia" w:ascii="Times New Roman" w:hAnsi="Times New Roman" w:eastAsia="宋体" w:cs="Times New Roman"/>
                <w:lang w:val="en-US" w:eastAsia="zh-CN"/>
              </w:rPr>
              <w:t xml:space="preserve"> 2</w:t>
            </w:r>
            <w:r>
              <w:rPr>
                <w:rFonts w:hint="default" w:ascii="Times New Roman" w:hAnsi="Times New Roman" w:eastAsia="宋体" w:cs="Times New Roman"/>
              </w:rPr>
              <w:t xml:space="preserve"> 日完成固定污染源排污登记，登记编号：</w:t>
            </w:r>
            <w:r>
              <w:rPr>
                <w:rFonts w:hint="default" w:ascii="Times New Roman" w:hAnsi="Times New Roman" w:eastAsia="宋体" w:cs="Times New Roman"/>
                <w:lang w:val="en-US" w:eastAsia="zh-CN"/>
              </w:rPr>
              <w:t>91500101355671081C001W</w:t>
            </w:r>
            <w:r>
              <w:rPr>
                <w:rFonts w:hint="default" w:ascii="Times New Roman" w:hAnsi="Times New Roman" w:eastAsia="宋体" w:cs="Times New Roman"/>
              </w:rPr>
              <w:t>，项目在建设及试生产期间没有居民投诉。</w:t>
            </w: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10"/>
              <w:widowControl w:val="0"/>
              <w:numPr>
                <w:ilvl w:val="0"/>
                <w:numId w:val="0"/>
              </w:numPr>
              <w:ind w:left="1680" w:leftChars="0"/>
              <w:jc w:val="both"/>
            </w:pPr>
          </w:p>
          <w:p>
            <w:pPr>
              <w:pStyle w:val="31"/>
              <w:jc w:val="both"/>
              <w:rPr>
                <w:vertAlign w:val="baseline"/>
              </w:rPr>
            </w:pPr>
          </w:p>
        </w:tc>
      </w:tr>
    </w:tbl>
    <w:p>
      <w:pPr>
        <w:pStyle w:val="2"/>
        <w:keepNext w:val="0"/>
        <w:keepLines w:val="0"/>
        <w:widowControl w:val="0"/>
        <w:tabs>
          <w:tab w:val="left" w:pos="1120"/>
          <w:tab w:val="clear" w:pos="371"/>
          <w:tab w:val="clear" w:pos="432"/>
        </w:tabs>
        <w:autoSpaceDE w:val="0"/>
        <w:autoSpaceDN w:val="0"/>
        <w:adjustRightInd/>
        <w:snapToGrid/>
        <w:spacing w:before="219" w:after="0" w:line="240" w:lineRule="auto"/>
        <w:ind w:left="275" w:right="0" w:firstLine="0"/>
        <w:jc w:val="left"/>
        <w:outlineLvl w:val="1"/>
        <w:rPr>
          <w:rFonts w:ascii="宋体" w:hAnsi="宋体" w:eastAsia="宋体" w:cs="宋体"/>
          <w:bCs/>
          <w:spacing w:val="5"/>
          <w:kern w:val="0"/>
          <w:sz w:val="28"/>
          <w:szCs w:val="28"/>
          <w:lang w:val="zh-CN" w:bidi="zh-CN"/>
        </w:rPr>
      </w:pPr>
      <w:r>
        <w:rPr>
          <w:rFonts w:ascii="宋体" w:hAnsi="宋体" w:eastAsia="宋体" w:cs="宋体"/>
          <w:bCs/>
          <w:spacing w:val="5"/>
          <w:kern w:val="0"/>
          <w:sz w:val="28"/>
          <w:szCs w:val="28"/>
          <w:lang w:val="zh-CN" w:bidi="zh-CN"/>
        </w:rPr>
        <w:t>表八</w:t>
      </w:r>
      <w:r>
        <w:rPr>
          <w:rFonts w:ascii="宋体" w:hAnsi="宋体" w:eastAsia="宋体" w:cs="宋体"/>
          <w:bCs/>
          <w:spacing w:val="5"/>
          <w:kern w:val="0"/>
          <w:sz w:val="28"/>
          <w:szCs w:val="28"/>
          <w:lang w:val="zh-CN" w:bidi="zh-CN"/>
        </w:rPr>
        <w:tab/>
      </w:r>
      <w:r>
        <w:rPr>
          <w:rFonts w:ascii="宋体" w:hAnsi="宋体" w:eastAsia="宋体" w:cs="宋体"/>
          <w:bCs/>
          <w:spacing w:val="5"/>
          <w:kern w:val="0"/>
          <w:sz w:val="28"/>
          <w:szCs w:val="28"/>
          <w:lang w:val="zh-CN" w:bidi="zh-CN"/>
        </w:rPr>
        <w:t>验收结论及建议</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62"/>
              <w:widowControl w:val="0"/>
              <w:numPr>
                <w:ilvl w:val="1"/>
                <w:numId w:val="11"/>
              </w:numPr>
              <w:tabs>
                <w:tab w:val="left" w:pos="699"/>
              </w:tabs>
              <w:autoSpaceDE w:val="0"/>
              <w:autoSpaceDN w:val="0"/>
              <w:adjustRightInd/>
              <w:snapToGrid/>
              <w:spacing w:before="1" w:after="0" w:line="240" w:lineRule="auto"/>
              <w:ind w:left="698" w:right="0" w:hanging="424"/>
              <w:jc w:val="left"/>
              <w:rPr>
                <w:rFonts w:ascii="宋体" w:hAnsi="宋体" w:eastAsia="宋体" w:cs="宋体"/>
                <w:b/>
                <w:spacing w:val="2"/>
                <w:sz w:val="28"/>
              </w:rPr>
            </w:pPr>
            <w:r>
              <w:rPr>
                <w:rFonts w:ascii="宋体" w:hAnsi="宋体" w:eastAsia="宋体" w:cs="宋体"/>
                <w:b/>
                <w:spacing w:val="2"/>
                <w:sz w:val="28"/>
              </w:rPr>
              <w:t>项目概况</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eastAsia="zh-CN"/>
              </w:rPr>
            </w:pPr>
            <w:r>
              <w:rPr>
                <w:rFonts w:hint="eastAsia" w:ascii="Times New Roman" w:hAnsi="Times New Roman" w:eastAsia="宋体" w:cs="Times New Roman"/>
                <w:lang w:eastAsia="zh-CN"/>
              </w:rPr>
              <w:t>重庆美豪汽车玻璃有限公司在重庆市万州经济技术开发区九龙园（原盐气化工园区）建设“年产30万片汽车挡风玻璃项目”，该项目总投资1000万元，新征土地24991.7平方米，新建厂房和配套设施18118.32平方米，包括3座厂房和1栋综合楼，同时配套建设供水、供电等公用工程，建成后形成年产30万片汽车玻璃的生产能力</w:t>
            </w:r>
            <w:r>
              <w:rPr>
                <w:rFonts w:hint="default" w:ascii="Times New Roman" w:hAnsi="Times New Roman" w:eastAsia="宋体" w:cs="Times New Roman"/>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rPr>
            </w:pPr>
            <w:r>
              <w:rPr>
                <w:rFonts w:hint="default" w:ascii="Times New Roman" w:hAnsi="Times New Roman" w:eastAsia="宋体" w:cs="Times New Roman"/>
              </w:rPr>
              <w:t>总投资</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000</w:t>
            </w:r>
            <w:r>
              <w:rPr>
                <w:rFonts w:hint="default" w:ascii="Times New Roman" w:hAnsi="Times New Roman" w:eastAsia="宋体" w:cs="Times New Roman"/>
              </w:rPr>
              <w:t>万元，其中环保投资</w:t>
            </w:r>
            <w:r>
              <w:rPr>
                <w:rFonts w:hint="eastAsia" w:ascii="Times New Roman" w:hAnsi="Times New Roman" w:eastAsia="宋体" w:cs="Times New Roman"/>
                <w:lang w:val="en-US" w:eastAsia="zh-CN"/>
              </w:rPr>
              <w:t>85</w:t>
            </w:r>
            <w:r>
              <w:rPr>
                <w:rFonts w:hint="default" w:ascii="Times New Roman" w:hAnsi="Times New Roman" w:eastAsia="宋体" w:cs="Times New Roman"/>
              </w:rPr>
              <w:t>万元，占总投资的</w:t>
            </w:r>
            <w:r>
              <w:rPr>
                <w:rFonts w:hint="eastAsia" w:ascii="Times New Roman" w:hAnsi="Times New Roman" w:eastAsia="宋体" w:cs="Times New Roman"/>
                <w:lang w:val="en-US" w:eastAsia="zh-CN"/>
              </w:rPr>
              <w:t>8.5</w:t>
            </w:r>
            <w:r>
              <w:rPr>
                <w:rFonts w:hint="default" w:ascii="Times New Roman" w:hAnsi="Times New Roman" w:eastAsia="宋体" w:cs="Times New Roman"/>
              </w:rPr>
              <w:t>%。</w:t>
            </w:r>
          </w:p>
          <w:p>
            <w:pPr>
              <w:pStyle w:val="62"/>
              <w:widowControl w:val="0"/>
              <w:numPr>
                <w:ilvl w:val="1"/>
                <w:numId w:val="11"/>
              </w:numPr>
              <w:tabs>
                <w:tab w:val="left" w:pos="699"/>
              </w:tabs>
              <w:autoSpaceDE w:val="0"/>
              <w:autoSpaceDN w:val="0"/>
              <w:adjustRightInd/>
              <w:snapToGrid/>
              <w:spacing w:before="1" w:after="0" w:line="240" w:lineRule="auto"/>
              <w:ind w:left="698" w:right="0" w:hanging="424"/>
              <w:jc w:val="left"/>
              <w:rPr>
                <w:rFonts w:ascii="宋体" w:hAnsi="宋体" w:eastAsia="宋体" w:cs="宋体"/>
                <w:b/>
                <w:spacing w:val="2"/>
                <w:sz w:val="28"/>
              </w:rPr>
            </w:pPr>
            <w:r>
              <w:rPr>
                <w:rFonts w:ascii="宋体" w:hAnsi="宋体" w:eastAsia="宋体" w:cs="宋体"/>
                <w:b/>
                <w:spacing w:val="2"/>
                <w:sz w:val="28"/>
              </w:rPr>
              <w:t>主要污染物的防治措施</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eastAsia" w:cs="Times New Roman"/>
                <w:lang w:val="en-US" w:eastAsia="zh-CN"/>
              </w:rPr>
              <w:t>1、</w:t>
            </w:r>
            <w:r>
              <w:rPr>
                <w:rFonts w:hint="default" w:ascii="Times New Roman" w:hAnsi="Times New Roman" w:eastAsia="宋体" w:cs="Times New Roman"/>
                <w:lang w:val="en-US" w:eastAsia="zh-CN"/>
              </w:rPr>
              <w:t>水环境影响及环境保护措施</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废水：打磨阶段的生产过程中切割后的玻璃还需对边角进行磨光，在磨边机磨边的同时，在砂轮与玻璃接触部位冲水，以免产生玻璃粉尘。打磨冲洗水静置沉淀后，上层清液循环回用于打磨工序。所产生生产废水不外排。</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生活污水采用生化预处理达到万州化工园污水处理厂工业废水接管标准后排入化工园区污水管网，送化工园区污水处理厂进行深度处理后排入长江。</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eastAsia" w:cs="Times New Roman"/>
                <w:lang w:val="en-US" w:eastAsia="zh-CN"/>
              </w:rPr>
              <w:t>2、</w:t>
            </w:r>
            <w:r>
              <w:rPr>
                <w:rFonts w:hint="default" w:ascii="Times New Roman" w:hAnsi="Times New Roman" w:eastAsia="宋体" w:cs="Times New Roman"/>
                <w:lang w:val="en-US" w:eastAsia="zh-CN"/>
              </w:rPr>
              <w:t>声环境影响及环境保护措施</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项目噪声主要来自于切割机、打磨机、空压机等各种生产设备运行产生的 噪声，其声级值为70～90dB(A)。项目选用低噪声设备，经过合理布局、进行隔声、减震处理</w:t>
            </w:r>
            <w:r>
              <w:rPr>
                <w:rFonts w:hint="eastAsia" w:ascii="Times New Roman" w:hAnsi="Times New Roman" w:eastAsia="宋体" w:cs="Times New Roman"/>
                <w:lang w:val="en-US"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eastAsia="宋体" w:cs="Times New Roman"/>
                <w:lang w:val="en-US" w:eastAsia="zh-CN"/>
              </w:rPr>
              <w:t>固体废物环境保护措施</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本项目生产过程中产生的固体废物为一般工业固废、危险固废、生活垃圾。</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（1）一般固体废物</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废玻璃、玻璃磨边粉末交由玻璃原片供应厂回收利用处理。废包装主要是PVB胶片废包装、废弃的玻璃支撑木架等，外售废品回收站； 项目生产过程中会产生少量的PVB胶片边角料，不合格夹胶玻璃中产生少量废弃PVB胶，交由原厂回收利用处理，不随意丢弃与处置。</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（2）危险废物</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在机修过程中会产生含油废棉纱、废机油、废油墨桶及废丝网布等。在车间设置危险废物暂存间，集中收集暂存，委托有资质单位进行收集处置。</w:t>
            </w:r>
          </w:p>
          <w:p>
            <w:pPr>
              <w:pStyle w:val="9"/>
              <w:keepNext w:val="0"/>
              <w:keepLines w:val="0"/>
              <w:pageBreakBefore w:val="0"/>
              <w:widowControl w:val="0"/>
              <w:numPr>
                <w:ilvl w:val="0"/>
                <w:numId w:val="6"/>
              </w:numPr>
              <w:kinsoku/>
              <w:wordWrap/>
              <w:overflowPunct/>
              <w:topLinePunct w:val="0"/>
              <w:autoSpaceDE w:val="0"/>
              <w:autoSpaceDN w:val="0"/>
              <w:bidi w:val="0"/>
              <w:adjustRightInd/>
              <w:snapToGrid/>
              <w:spacing w:before="0" w:line="365" w:lineRule="auto"/>
              <w:ind w:left="0" w:leftChars="0" w:right="0" w:rightChars="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生活垃圾：收集后交由环卫部门处理。</w:t>
            </w:r>
          </w:p>
          <w:p>
            <w:pPr>
              <w:pStyle w:val="62"/>
              <w:widowControl w:val="0"/>
              <w:numPr>
                <w:ilvl w:val="1"/>
                <w:numId w:val="11"/>
              </w:numPr>
              <w:tabs>
                <w:tab w:val="left" w:pos="699"/>
              </w:tabs>
              <w:autoSpaceDE w:val="0"/>
              <w:autoSpaceDN w:val="0"/>
              <w:adjustRightInd/>
              <w:snapToGrid/>
              <w:spacing w:before="1" w:after="0" w:line="240" w:lineRule="auto"/>
              <w:ind w:left="698" w:right="0" w:hanging="424"/>
              <w:jc w:val="left"/>
              <w:rPr>
                <w:rFonts w:ascii="宋体" w:hAnsi="宋体" w:eastAsia="宋体" w:cs="宋体"/>
                <w:b/>
                <w:spacing w:val="2"/>
                <w:sz w:val="28"/>
              </w:rPr>
            </w:pPr>
            <w:r>
              <w:rPr>
                <w:rFonts w:ascii="宋体" w:hAnsi="宋体" w:eastAsia="宋体" w:cs="宋体"/>
                <w:b/>
                <w:spacing w:val="2"/>
                <w:sz w:val="28"/>
              </w:rPr>
              <w:t>监测结果</w:t>
            </w:r>
          </w:p>
          <w:p>
            <w:pPr>
              <w:pStyle w:val="62"/>
              <w:widowControl w:val="0"/>
              <w:numPr>
                <w:ilvl w:val="0"/>
                <w:numId w:val="12"/>
              </w:numPr>
              <w:tabs>
                <w:tab w:val="left" w:pos="1357"/>
              </w:tabs>
              <w:spacing w:before="110" w:after="0" w:line="240" w:lineRule="auto"/>
              <w:ind w:left="1357" w:right="0" w:hanging="601"/>
              <w:jc w:val="left"/>
              <w:rPr>
                <w:sz w:val="24"/>
              </w:rPr>
            </w:pPr>
            <w:r>
              <w:rPr>
                <w:sz w:val="24"/>
              </w:rPr>
              <w:t>废水</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检测结果表明：验收监测期间，项目生活废水检测结果符合满足《万州化工园污水处理厂工业废水接管标准》。</w:t>
            </w:r>
          </w:p>
          <w:p>
            <w:pPr>
              <w:pStyle w:val="62"/>
              <w:widowControl w:val="0"/>
              <w:numPr>
                <w:ilvl w:val="0"/>
                <w:numId w:val="12"/>
              </w:numPr>
              <w:tabs>
                <w:tab w:val="left" w:pos="1357"/>
              </w:tabs>
              <w:spacing w:before="0" w:after="0" w:line="303" w:lineRule="exact"/>
              <w:ind w:left="1357" w:right="0" w:hanging="601"/>
              <w:jc w:val="left"/>
              <w:rPr>
                <w:sz w:val="24"/>
              </w:rPr>
            </w:pPr>
            <w:r>
              <w:rPr>
                <w:sz w:val="24"/>
              </w:rPr>
              <w:t>噪声</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0" w:right="0" w:firstLine="482"/>
              <w:jc w:val="both"/>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验收监测期间，该项目厂界噪声昼夜间噪声满足《工业企业厂界环境噪声排放标准》（GB12348-2008）中的 3 类标准限值要求。</w:t>
            </w:r>
          </w:p>
          <w:p>
            <w:pPr>
              <w:pStyle w:val="62"/>
              <w:widowControl w:val="0"/>
              <w:numPr>
                <w:ilvl w:val="1"/>
                <w:numId w:val="11"/>
              </w:numPr>
              <w:tabs>
                <w:tab w:val="left" w:pos="699"/>
              </w:tabs>
              <w:autoSpaceDE w:val="0"/>
              <w:autoSpaceDN w:val="0"/>
              <w:adjustRightInd/>
              <w:snapToGrid/>
              <w:spacing w:before="1" w:after="0" w:line="240" w:lineRule="auto"/>
              <w:ind w:left="698" w:right="0" w:hanging="424"/>
              <w:jc w:val="left"/>
              <w:rPr>
                <w:rFonts w:ascii="宋体" w:hAnsi="宋体" w:eastAsia="宋体" w:cs="宋体"/>
                <w:b/>
                <w:spacing w:val="2"/>
                <w:sz w:val="28"/>
              </w:rPr>
            </w:pPr>
            <w:r>
              <w:rPr>
                <w:rFonts w:ascii="宋体" w:hAnsi="宋体" w:eastAsia="宋体" w:cs="宋体"/>
                <w:b/>
                <w:spacing w:val="2"/>
                <w:sz w:val="28"/>
              </w:rPr>
              <w:t>环境监测与管理</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278" w:right="278" w:firstLine="482"/>
              <w:jc w:val="both"/>
              <w:textAlignment w:val="auto"/>
            </w:pPr>
            <w:r>
              <w:rPr>
                <w:spacing w:val="-5"/>
              </w:rPr>
              <w:t>企业环保制度基本健全，环保审批手续及环保档案资料齐全；环保设施基本按环评</w:t>
            </w:r>
            <w:r>
              <w:rPr>
                <w:spacing w:val="-6"/>
              </w:rPr>
              <w:t>及批复要求落实，各项环保设施运行正常，施工和试生产期间未发现企业环境违法行为</w:t>
            </w:r>
            <w:r>
              <w:t>和环境投诉和扰民事件，验收监测中各类污染物达标排放。</w:t>
            </w:r>
          </w:p>
          <w:p>
            <w:pPr>
              <w:pStyle w:val="62"/>
              <w:widowControl w:val="0"/>
              <w:numPr>
                <w:ilvl w:val="1"/>
                <w:numId w:val="11"/>
              </w:numPr>
              <w:tabs>
                <w:tab w:val="left" w:pos="699"/>
              </w:tabs>
              <w:autoSpaceDE w:val="0"/>
              <w:autoSpaceDN w:val="0"/>
              <w:adjustRightInd/>
              <w:snapToGrid/>
              <w:spacing w:before="1" w:after="0" w:line="240" w:lineRule="auto"/>
              <w:ind w:left="698" w:right="0" w:hanging="424"/>
              <w:jc w:val="left"/>
              <w:rPr>
                <w:rFonts w:ascii="宋体" w:hAnsi="宋体" w:eastAsia="宋体" w:cs="宋体"/>
                <w:b/>
                <w:spacing w:val="2"/>
                <w:sz w:val="28"/>
              </w:rPr>
            </w:pPr>
            <w:r>
              <w:rPr>
                <w:rFonts w:ascii="宋体" w:hAnsi="宋体" w:eastAsia="宋体" w:cs="宋体"/>
                <w:b/>
                <w:spacing w:val="2"/>
                <w:sz w:val="28"/>
              </w:rPr>
              <w:t>综合结论</w:t>
            </w:r>
          </w:p>
          <w:p>
            <w:pPr>
              <w:pStyle w:val="9"/>
              <w:keepNext w:val="0"/>
              <w:keepLines w:val="0"/>
              <w:pageBreakBefore w:val="0"/>
              <w:widowControl w:val="0"/>
              <w:kinsoku/>
              <w:wordWrap/>
              <w:overflowPunct/>
              <w:topLinePunct w:val="0"/>
              <w:autoSpaceDE w:val="0"/>
              <w:autoSpaceDN w:val="0"/>
              <w:bidi w:val="0"/>
              <w:adjustRightInd/>
              <w:snapToGrid/>
              <w:spacing w:before="0" w:line="365" w:lineRule="auto"/>
              <w:ind w:left="102" w:right="102" w:firstLine="482"/>
              <w:jc w:val="both"/>
              <w:textAlignment w:val="auto"/>
            </w:pPr>
            <w:r>
              <w:rPr>
                <w:spacing w:val="-6"/>
              </w:rPr>
              <w:t>通过现场检查、资料查阅和监测，项目环保审批手续及环保档案资料齐全，公司设置了环保机构，配置了管理人员，建立了环境管理规章制度。项目环保设施及环境管理</w:t>
            </w:r>
            <w:r>
              <w:rPr>
                <w:spacing w:val="-4"/>
              </w:rPr>
              <w:t>措施按环评及批复要求落实，各环保设施运行正常，验收监测期间各类污染物均达标排</w:t>
            </w:r>
            <w:r>
              <w:rPr>
                <w:spacing w:val="-7"/>
              </w:rPr>
              <w:t>放，排放总量均满足项目环评及批复文件核定的总量指标要求，达到竣工环境保护验收</w:t>
            </w:r>
            <w:r>
              <w:t>条件。</w:t>
            </w:r>
          </w:p>
          <w:p>
            <w:pPr>
              <w:widowControl w:val="0"/>
              <w:jc w:val="both"/>
            </w:pPr>
          </w:p>
          <w:p>
            <w:pPr>
              <w:widowControl w:val="0"/>
              <w:spacing w:before="28" w:line="331" w:lineRule="auto"/>
              <w:ind w:left="101" w:right="98" w:firstLine="523"/>
              <w:jc w:val="left"/>
              <w:rPr>
                <w:rFonts w:hint="eastAsia" w:eastAsia="宋体"/>
                <w:b/>
                <w:sz w:val="26"/>
                <w:lang w:eastAsia="zh-CN"/>
              </w:rPr>
            </w:pPr>
            <w:r>
              <w:rPr>
                <w:b/>
                <w:spacing w:val="3"/>
                <w:w w:val="95"/>
                <w:sz w:val="26"/>
              </w:rPr>
              <w:t>建议：（</w:t>
            </w:r>
            <w:r>
              <w:rPr>
                <w:rFonts w:ascii="Times New Roman" w:eastAsia="Times New Roman"/>
                <w:b/>
                <w:spacing w:val="3"/>
                <w:w w:val="95"/>
                <w:sz w:val="26"/>
              </w:rPr>
              <w:t>1</w:t>
            </w:r>
            <w:r>
              <w:rPr>
                <w:b/>
                <w:spacing w:val="3"/>
                <w:w w:val="95"/>
                <w:sz w:val="26"/>
              </w:rPr>
              <w:t>）</w:t>
            </w:r>
            <w:r>
              <w:rPr>
                <w:rFonts w:hint="eastAsia"/>
                <w:b/>
                <w:w w:val="95"/>
                <w:sz w:val="26"/>
              </w:rPr>
              <w:t>加强环保培训，增强员工的环保意识</w:t>
            </w:r>
            <w:r>
              <w:rPr>
                <w:rFonts w:hint="eastAsia"/>
                <w:b/>
                <w:sz w:val="26"/>
                <w:lang w:eastAsia="zh-CN"/>
              </w:rPr>
              <w:t>。</w:t>
            </w: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p>
            <w:pPr>
              <w:pStyle w:val="10"/>
              <w:widowControl w:val="0"/>
              <w:numPr>
                <w:ilvl w:val="0"/>
                <w:numId w:val="0"/>
              </w:numPr>
              <w:ind w:leftChars="200"/>
              <w:jc w:val="both"/>
            </w:pPr>
          </w:p>
        </w:tc>
      </w:tr>
      <w:bookmarkEnd w:id="14"/>
      <w:bookmarkEnd w:id="15"/>
      <w:bookmarkEnd w:id="16"/>
    </w:tbl>
    <w:p>
      <w:pPr>
        <w:pStyle w:val="2"/>
        <w:keepNext/>
        <w:keepLines/>
        <w:pageBreakBefore/>
        <w:widowControl/>
        <w:kinsoku/>
        <w:wordWrap/>
        <w:overflowPunct/>
        <w:topLinePunct w:val="0"/>
        <w:autoSpaceDE/>
        <w:autoSpaceDN/>
        <w:bidi w:val="0"/>
        <w:adjustRightInd w:val="0"/>
        <w:snapToGrid w:val="0"/>
        <w:textAlignment w:val="auto"/>
      </w:pPr>
      <w:bookmarkStart w:id="36" w:name="_Toc28981"/>
      <w:bookmarkStart w:id="37" w:name="_Toc15077"/>
      <w:r>
        <w:rPr>
          <w:rFonts w:hint="eastAsia"/>
        </w:rPr>
        <w:t>1</w:t>
      </w:r>
      <w:r>
        <w:rPr>
          <w:rFonts w:hint="eastAsia"/>
          <w:lang w:val="en-US" w:eastAsia="zh-CN"/>
        </w:rPr>
        <w:t xml:space="preserve">1 </w:t>
      </w:r>
      <w:r>
        <w:t>附图附件</w:t>
      </w:r>
      <w:bookmarkEnd w:id="36"/>
      <w:bookmarkEnd w:id="37"/>
    </w:p>
    <w:p>
      <w:pPr>
        <w:pStyle w:val="3"/>
      </w:pPr>
      <w:bookmarkStart w:id="38" w:name="_Toc24074"/>
      <w:bookmarkStart w:id="39" w:name="_Toc15208"/>
      <w:r>
        <w:rPr>
          <w:rFonts w:hint="eastAsia"/>
        </w:rPr>
        <w:t>1</w:t>
      </w:r>
      <w:r>
        <w:rPr>
          <w:rFonts w:hint="eastAsia"/>
          <w:lang w:val="en-US" w:eastAsia="zh-CN"/>
        </w:rPr>
        <w:t>1</w:t>
      </w:r>
      <w:r>
        <w:t>.1附图:</w:t>
      </w:r>
      <w:bookmarkEnd w:id="38"/>
      <w:bookmarkEnd w:id="39"/>
    </w:p>
    <w:p>
      <w:pPr>
        <w:tabs>
          <w:tab w:val="left" w:pos="1455"/>
        </w:tabs>
        <w:spacing w:line="460" w:lineRule="atLeast"/>
        <w:ind w:firstLine="720" w:firstLineChars="300"/>
        <w:jc w:val="left"/>
        <w:rPr>
          <w:rFonts w:ascii="Times New Roman" w:hAnsi="Times New Roman" w:eastAsia="宋体"/>
          <w:color w:val="000000"/>
          <w:sz w:val="24"/>
          <w:szCs w:val="24"/>
        </w:rPr>
      </w:pPr>
      <w:r>
        <w:rPr>
          <w:rFonts w:ascii="Times New Roman" w:hAnsi="Times New Roman" w:eastAsia="宋体"/>
          <w:color w:val="000000"/>
          <w:sz w:val="24"/>
          <w:szCs w:val="24"/>
        </w:rPr>
        <w:t>附图1</w:t>
      </w:r>
      <w:r>
        <w:rPr>
          <w:rFonts w:hint="eastAsia" w:ascii="Times New Roman" w:hAnsi="Times New Roman" w:eastAsia="宋体"/>
          <w:color w:val="000000"/>
          <w:sz w:val="24"/>
          <w:szCs w:val="24"/>
          <w:lang w:val="en-US" w:eastAsia="zh-CN"/>
        </w:rPr>
        <w:t xml:space="preserve">  </w:t>
      </w:r>
      <w:r>
        <w:rPr>
          <w:rFonts w:ascii="Times New Roman" w:hAnsi="Times New Roman" w:eastAsia="宋体"/>
          <w:color w:val="000000"/>
          <w:sz w:val="24"/>
          <w:szCs w:val="24"/>
        </w:rPr>
        <w:t>项目地理位置图</w:t>
      </w:r>
      <w:r>
        <w:rPr>
          <w:rFonts w:ascii="Times New Roman" w:hAnsi="Times New Roman" w:eastAsia="宋体"/>
          <w:color w:val="000000"/>
          <w:sz w:val="24"/>
          <w:szCs w:val="24"/>
        </w:rPr>
        <w:tab/>
      </w:r>
    </w:p>
    <w:p>
      <w:pPr>
        <w:tabs>
          <w:tab w:val="left" w:pos="1455"/>
        </w:tabs>
        <w:spacing w:line="460" w:lineRule="atLeast"/>
        <w:ind w:firstLine="720" w:firstLineChars="3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附图2  厂区</w:t>
      </w:r>
      <w:r>
        <w:rPr>
          <w:rFonts w:hint="eastAsia" w:ascii="Times New Roman" w:hAnsi="Times New Roman" w:eastAsia="宋体"/>
          <w:color w:val="000000"/>
          <w:sz w:val="24"/>
          <w:szCs w:val="24"/>
          <w:lang w:eastAsia="zh-CN"/>
        </w:rPr>
        <w:t>总</w:t>
      </w:r>
      <w:r>
        <w:rPr>
          <w:rFonts w:hint="eastAsia" w:ascii="Times New Roman" w:hAnsi="Times New Roman" w:eastAsia="宋体"/>
          <w:color w:val="000000"/>
          <w:sz w:val="24"/>
          <w:szCs w:val="24"/>
        </w:rPr>
        <w:t>平面布置图</w:t>
      </w:r>
    </w:p>
    <w:p>
      <w:pPr>
        <w:pStyle w:val="31"/>
        <w:rPr>
          <w:rFonts w:hint="eastAsia"/>
          <w:lang w:val="en-US" w:eastAsia="zh-CN"/>
        </w:rPr>
      </w:pPr>
    </w:p>
    <w:p>
      <w:pPr>
        <w:pStyle w:val="31"/>
        <w:rPr>
          <w:rFonts w:hint="default"/>
          <w:lang w:val="en-US" w:eastAsia="zh-CN"/>
        </w:rPr>
      </w:pPr>
    </w:p>
    <w:p>
      <w:pPr>
        <w:pStyle w:val="3"/>
      </w:pPr>
      <w:bookmarkStart w:id="40" w:name="_Toc9016"/>
      <w:bookmarkStart w:id="41" w:name="_Toc31141"/>
      <w:r>
        <w:rPr>
          <w:rFonts w:hint="eastAsia"/>
        </w:rPr>
        <w:t>1</w:t>
      </w:r>
      <w:r>
        <w:rPr>
          <w:rFonts w:hint="eastAsia"/>
          <w:lang w:val="en-US" w:eastAsia="zh-CN"/>
        </w:rPr>
        <w:t>1</w:t>
      </w:r>
      <w:r>
        <w:t>.2附件:</w:t>
      </w:r>
      <w:bookmarkEnd w:id="40"/>
      <w:bookmarkEnd w:id="41"/>
    </w:p>
    <w:p>
      <w:pPr>
        <w:tabs>
          <w:tab w:val="left" w:pos="1455"/>
        </w:tabs>
        <w:spacing w:line="460" w:lineRule="atLeast"/>
        <w:ind w:firstLine="720" w:firstLineChars="300"/>
        <w:jc w:val="left"/>
        <w:rPr>
          <w:rFonts w:hint="eastAsia" w:ascii="Times New Roman" w:hAnsi="Times New Roman"/>
          <w:color w:val="000000"/>
          <w:sz w:val="24"/>
          <w:szCs w:val="24"/>
          <w:lang w:val="en-US" w:eastAsia="zh-CN"/>
        </w:rPr>
      </w:pPr>
      <w:r>
        <w:rPr>
          <w:rFonts w:ascii="Times New Roman" w:hAnsi="Times New Roman"/>
          <w:color w:val="000000"/>
          <w:sz w:val="24"/>
          <w:szCs w:val="24"/>
        </w:rPr>
        <w:t>附件1</w:t>
      </w:r>
      <w:r>
        <w:rPr>
          <w:rFonts w:hint="eastAsia" w:ascii="Times New Roman" w:hAnsi="Times New Roman"/>
          <w:color w:val="000000"/>
          <w:sz w:val="24"/>
          <w:szCs w:val="24"/>
          <w:lang w:val="en-US" w:eastAsia="zh-CN"/>
        </w:rPr>
        <w:t xml:space="preserve">  </w:t>
      </w:r>
      <w:r>
        <w:rPr>
          <w:rFonts w:hint="eastAsia" w:ascii="Times New Roman" w:hAnsi="Times New Roman"/>
          <w:color w:val="000000"/>
          <w:sz w:val="24"/>
          <w:szCs w:val="24"/>
          <w:lang w:eastAsia="zh-CN"/>
        </w:rPr>
        <w:t>环评</w:t>
      </w:r>
      <w:r>
        <w:rPr>
          <w:rFonts w:hint="eastAsia"/>
          <w:color w:val="000000"/>
          <w:sz w:val="24"/>
          <w:szCs w:val="24"/>
          <w:lang w:val="en-US" w:eastAsia="zh-CN"/>
        </w:rPr>
        <w:t>批准书</w:t>
      </w:r>
    </w:p>
    <w:p>
      <w:pPr>
        <w:tabs>
          <w:tab w:val="left" w:pos="1455"/>
        </w:tabs>
        <w:spacing w:line="460" w:lineRule="atLeast"/>
        <w:ind w:firstLine="720" w:firstLineChars="300"/>
        <w:jc w:val="left"/>
        <w:rPr>
          <w:rFonts w:hint="eastAsia"/>
          <w:color w:val="000000"/>
          <w:sz w:val="24"/>
          <w:szCs w:val="24"/>
          <w:lang w:val="en-US" w:eastAsia="zh-CN"/>
        </w:rPr>
      </w:pPr>
      <w:r>
        <w:rPr>
          <w:rFonts w:hint="eastAsia" w:ascii="Times New Roman" w:hAnsi="Times New Roman"/>
          <w:color w:val="000000"/>
          <w:sz w:val="24"/>
          <w:szCs w:val="24"/>
          <w:lang w:eastAsia="zh-CN"/>
        </w:rPr>
        <w:t>附件</w:t>
      </w:r>
      <w:r>
        <w:rPr>
          <w:rFonts w:hint="eastAsia" w:ascii="Times New Roman" w:hAnsi="Times New Roman"/>
          <w:color w:val="000000"/>
          <w:sz w:val="24"/>
          <w:szCs w:val="24"/>
          <w:lang w:val="en-US" w:eastAsia="zh-CN"/>
        </w:rPr>
        <w:t>2  竣工验收监测报告</w:t>
      </w:r>
      <w:r>
        <w:rPr>
          <w:rFonts w:hint="eastAsia"/>
          <w:color w:val="000000"/>
          <w:sz w:val="24"/>
          <w:szCs w:val="24"/>
          <w:lang w:val="en-US" w:eastAsia="zh-CN"/>
        </w:rPr>
        <w:t>（绿创环检字【2024】YS第028号）</w:t>
      </w:r>
    </w:p>
    <w:p>
      <w:pPr>
        <w:tabs>
          <w:tab w:val="left" w:pos="1455"/>
        </w:tabs>
        <w:spacing w:line="460" w:lineRule="atLeast"/>
        <w:ind w:firstLine="720" w:firstLineChars="300"/>
        <w:jc w:val="left"/>
        <w:rPr>
          <w:rFonts w:hint="eastAsia" w:ascii="Times New Roman" w:hAnsi="Times New Roman"/>
          <w:color w:val="000000"/>
          <w:sz w:val="24"/>
          <w:szCs w:val="24"/>
          <w:lang w:eastAsia="zh-CN"/>
        </w:rPr>
      </w:pPr>
      <w:r>
        <w:rPr>
          <w:rFonts w:hint="eastAsia" w:ascii="Times New Roman" w:hAnsi="Times New Roman"/>
          <w:color w:val="000000"/>
          <w:sz w:val="24"/>
          <w:szCs w:val="24"/>
          <w:lang w:val="en-US" w:eastAsia="zh-CN"/>
        </w:rPr>
        <w:t xml:space="preserve">附件3 </w:t>
      </w:r>
      <w:r>
        <w:rPr>
          <w:rFonts w:hint="eastAsia"/>
          <w:color w:val="000000"/>
          <w:sz w:val="24"/>
          <w:szCs w:val="24"/>
          <w:lang w:val="en-US" w:eastAsia="zh-CN"/>
        </w:rPr>
        <w:t xml:space="preserve"> 危废协议</w:t>
      </w:r>
    </w:p>
    <w:p>
      <w:pPr>
        <w:tabs>
          <w:tab w:val="left" w:pos="1455"/>
        </w:tabs>
        <w:spacing w:line="460" w:lineRule="atLeast"/>
        <w:ind w:firstLine="720" w:firstLineChars="300"/>
        <w:jc w:val="left"/>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附件</w:t>
      </w:r>
      <w:r>
        <w:rPr>
          <w:rFonts w:hint="eastAsia"/>
          <w:color w:val="000000"/>
          <w:sz w:val="24"/>
          <w:szCs w:val="24"/>
          <w:lang w:val="en-US" w:eastAsia="zh-CN"/>
        </w:rPr>
        <w:t>4</w:t>
      </w:r>
      <w:r>
        <w:rPr>
          <w:rFonts w:hint="eastAsia" w:ascii="Times New Roman" w:hAnsi="Times New Roman"/>
          <w:color w:val="000000"/>
          <w:sz w:val="24"/>
          <w:szCs w:val="24"/>
          <w:lang w:val="en-US" w:eastAsia="zh-CN"/>
        </w:rPr>
        <w:t xml:space="preserve"> </w:t>
      </w:r>
      <w:r>
        <w:rPr>
          <w:rFonts w:hint="eastAsia"/>
          <w:color w:val="000000"/>
          <w:sz w:val="24"/>
          <w:szCs w:val="24"/>
          <w:lang w:val="en-US" w:eastAsia="zh-CN"/>
        </w:rPr>
        <w:t xml:space="preserve"> 排污许可证</w:t>
      </w:r>
    </w:p>
    <w:p>
      <w:pPr>
        <w:pStyle w:val="12"/>
        <w:sectPr>
          <w:pgSz w:w="11905" w:h="16838"/>
          <w:pgMar w:top="1083" w:right="1440" w:bottom="1083" w:left="1440" w:header="851" w:footer="850" w:gutter="0"/>
          <w:pgBorders>
            <w:top w:val="none" w:sz="0" w:space="0"/>
            <w:left w:val="none" w:sz="0" w:space="0"/>
            <w:bottom w:val="none" w:sz="0" w:space="0"/>
            <w:right w:val="none" w:sz="0" w:space="0"/>
          </w:pgBorders>
          <w:cols w:space="0" w:num="1"/>
          <w:docGrid w:type="lines" w:linePitch="322" w:charSpace="0"/>
        </w:sectPr>
      </w:pPr>
    </w:p>
    <w:p>
      <w:pPr>
        <w:spacing w:after="0" w:line="360" w:lineRule="auto"/>
        <w:jc w:val="center"/>
        <w:rPr>
          <w:rFonts w:eastAsia="黑体"/>
          <w:b/>
          <w:sz w:val="21"/>
          <w:szCs w:val="21"/>
        </w:rPr>
      </w:pPr>
      <w:r>
        <w:rPr>
          <w:rFonts w:eastAsia="黑体"/>
          <w:b/>
          <w:sz w:val="21"/>
          <w:szCs w:val="21"/>
        </w:rPr>
        <w:t>建设项目工程竣工环境保护“三同时”验收登记表</w:t>
      </w:r>
    </w:p>
    <w:p>
      <w:pPr>
        <w:spacing w:after="0" w:line="240" w:lineRule="auto"/>
        <w:ind w:firstLine="103" w:firstLineChars="49"/>
        <w:rPr>
          <w:rFonts w:ascii="宋体" w:hAnsi="宋体" w:eastAsia="宋体"/>
          <w:b/>
          <w:sz w:val="21"/>
          <w:szCs w:val="21"/>
        </w:rPr>
      </w:pPr>
      <w:r>
        <w:rPr>
          <w:rFonts w:ascii="宋体" w:hAnsi="宋体" w:eastAsia="宋体"/>
          <w:b/>
          <w:sz w:val="21"/>
          <w:szCs w:val="21"/>
        </w:rPr>
        <w:t>填表单位（盖章）</w:t>
      </w:r>
      <w:r>
        <w:rPr>
          <w:rFonts w:ascii="宋体" w:hAnsi="宋体" w:eastAsia="宋体"/>
          <w:b/>
          <w:kern w:val="2"/>
          <w:sz w:val="21"/>
          <w:szCs w:val="21"/>
        </w:rPr>
        <w:t>：</w:t>
      </w:r>
      <w:r>
        <w:rPr>
          <w:rFonts w:ascii="宋体" w:hAnsi="宋体" w:eastAsia="宋体"/>
          <w:b/>
          <w:sz w:val="21"/>
          <w:szCs w:val="21"/>
        </w:rPr>
        <w:t xml:space="preserve">               </w:t>
      </w:r>
      <w:r>
        <w:rPr>
          <w:rFonts w:hint="eastAsia" w:ascii="宋体" w:hAnsi="宋体" w:eastAsia="宋体"/>
          <w:b/>
          <w:sz w:val="21"/>
          <w:szCs w:val="21"/>
        </w:rPr>
        <w:t xml:space="preserve">                      </w:t>
      </w:r>
      <w:r>
        <w:rPr>
          <w:rFonts w:ascii="宋体" w:hAnsi="宋体" w:eastAsia="宋体"/>
          <w:b/>
          <w:sz w:val="21"/>
          <w:szCs w:val="21"/>
        </w:rPr>
        <w:t xml:space="preserve">   填表人（签字）：         </w:t>
      </w:r>
      <w:r>
        <w:rPr>
          <w:rFonts w:hint="eastAsia" w:ascii="宋体" w:hAnsi="宋体" w:eastAsia="宋体"/>
          <w:b/>
          <w:sz w:val="21"/>
          <w:szCs w:val="21"/>
        </w:rPr>
        <w:t xml:space="preserve">    </w:t>
      </w:r>
      <w:r>
        <w:rPr>
          <w:rFonts w:ascii="宋体" w:hAnsi="宋体" w:eastAsia="宋体"/>
          <w:b/>
          <w:sz w:val="21"/>
          <w:szCs w:val="21"/>
        </w:rPr>
        <w:t xml:space="preserve">                     项目经办人（签字）：</w:t>
      </w:r>
    </w:p>
    <w:tbl>
      <w:tblPr>
        <w:tblStyle w:val="24"/>
        <w:tblW w:w="15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4"/>
        <w:gridCol w:w="1129"/>
        <w:gridCol w:w="649"/>
        <w:gridCol w:w="780"/>
        <w:gridCol w:w="1125"/>
        <w:gridCol w:w="211"/>
        <w:gridCol w:w="660"/>
        <w:gridCol w:w="254"/>
        <w:gridCol w:w="765"/>
        <w:gridCol w:w="150"/>
        <w:gridCol w:w="285"/>
        <w:gridCol w:w="814"/>
        <w:gridCol w:w="911"/>
        <w:gridCol w:w="244"/>
        <w:gridCol w:w="1166"/>
        <w:gridCol w:w="496"/>
        <w:gridCol w:w="854"/>
        <w:gridCol w:w="969"/>
        <w:gridCol w:w="816"/>
        <w:gridCol w:w="180"/>
        <w:gridCol w:w="345"/>
        <w:gridCol w:w="781"/>
        <w:gridCol w:w="42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restart"/>
            <w:noWrap w:val="0"/>
            <w:textDirection w:val="tbRlV"/>
            <w:vAlign w:val="center"/>
          </w:tcPr>
          <w:p>
            <w:pPr>
              <w:spacing w:after="0" w:line="240" w:lineRule="auto"/>
              <w:ind w:firstLine="1801" w:firstLineChars="1200"/>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建设项目</w:t>
            </w: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项目名称</w:t>
            </w:r>
          </w:p>
        </w:tc>
        <w:tc>
          <w:tcPr>
            <w:tcW w:w="4230" w:type="dxa"/>
            <w:gridSpan w:val="8"/>
            <w:noWrap w:val="0"/>
            <w:vAlign w:val="center"/>
          </w:tcPr>
          <w:p>
            <w:pPr>
              <w:spacing w:after="0" w:line="240" w:lineRule="auto"/>
              <w:rPr>
                <w:rFonts w:hint="eastAsia" w:ascii="Tahoma" w:hAnsi="Tahoma" w:eastAsia="微软雅黑" w:cs="Times New Roman"/>
                <w:kern w:val="2"/>
                <w:sz w:val="15"/>
                <w:szCs w:val="15"/>
              </w:rPr>
            </w:pPr>
            <w:r>
              <w:rPr>
                <w:rFonts w:hint="eastAsia" w:ascii="Tahoma" w:hAnsi="Tahoma" w:eastAsia="微软雅黑" w:cs="Times New Roman"/>
                <w:kern w:val="2"/>
                <w:sz w:val="15"/>
                <w:szCs w:val="15"/>
                <w:lang w:eastAsia="zh-CN"/>
              </w:rPr>
              <w:t>重庆美豪汽车玻璃有限公司</w:t>
            </w:r>
            <w:r>
              <w:rPr>
                <w:rFonts w:hint="eastAsia" w:ascii="Tahoma" w:hAnsi="Tahoma" w:eastAsia="微软雅黑" w:cs="Times New Roman"/>
                <w:kern w:val="2"/>
                <w:sz w:val="15"/>
                <w:szCs w:val="15"/>
              </w:rPr>
              <w:t xml:space="preserve"> </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项目代码</w:t>
            </w:r>
          </w:p>
        </w:tc>
        <w:tc>
          <w:tcPr>
            <w:tcW w:w="2760" w:type="dxa"/>
            <w:gridSpan w:val="4"/>
            <w:noWrap w:val="0"/>
            <w:vAlign w:val="center"/>
          </w:tcPr>
          <w:p>
            <w:pPr>
              <w:spacing w:after="0" w:line="240" w:lineRule="auto"/>
              <w:rPr>
                <w:rFonts w:hint="eastAsia"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w:t>
            </w:r>
          </w:p>
        </w:tc>
        <w:tc>
          <w:tcPr>
            <w:tcW w:w="969" w:type="dxa"/>
            <w:noWrap w:val="0"/>
            <w:vAlign w:val="center"/>
          </w:tcPr>
          <w:p>
            <w:pPr>
              <w:spacing w:after="0" w:line="240" w:lineRule="auto"/>
              <w:rPr>
                <w:rFonts w:hint="eastAsia" w:ascii="Tahoma" w:hAnsi="Tahoma" w:eastAsia="微软雅黑" w:cs="Times New Roman"/>
                <w:b/>
                <w:bCs/>
                <w:kern w:val="2"/>
                <w:sz w:val="15"/>
                <w:szCs w:val="15"/>
                <w:lang w:val="en-US" w:eastAsia="zh-CN"/>
              </w:rPr>
            </w:pPr>
            <w:r>
              <w:rPr>
                <w:rFonts w:hint="eastAsia" w:ascii="Tahoma" w:hAnsi="Tahoma" w:eastAsia="微软雅黑" w:cs="Times New Roman"/>
                <w:b/>
                <w:bCs/>
                <w:kern w:val="2"/>
                <w:sz w:val="15"/>
                <w:szCs w:val="15"/>
                <w:lang w:val="en-US" w:eastAsia="zh-CN"/>
              </w:rPr>
              <w:t>建设地点</w:t>
            </w:r>
          </w:p>
        </w:tc>
        <w:tc>
          <w:tcPr>
            <w:tcW w:w="2971" w:type="dxa"/>
            <w:gridSpan w:val="6"/>
            <w:noWrap w:val="0"/>
            <w:vAlign w:val="center"/>
          </w:tcPr>
          <w:p>
            <w:pPr>
              <w:spacing w:after="0" w:line="240" w:lineRule="auto"/>
              <w:rPr>
                <w:rFonts w:hint="eastAsia"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重庆市万州经济技术开发区九龙园（盐气化工园区）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行业类别（分类管理名录）</w:t>
            </w:r>
          </w:p>
        </w:tc>
        <w:tc>
          <w:tcPr>
            <w:tcW w:w="4230" w:type="dxa"/>
            <w:gridSpan w:val="8"/>
            <w:noWrap w:val="0"/>
            <w:vAlign w:val="center"/>
          </w:tcPr>
          <w:p>
            <w:pPr>
              <w:spacing w:after="0" w:line="240" w:lineRule="auto"/>
              <w:rPr>
                <w:rFonts w:hint="eastAsia"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其他玻璃制品</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建设性质</w:t>
            </w:r>
          </w:p>
        </w:tc>
        <w:tc>
          <w:tcPr>
            <w:tcW w:w="6700" w:type="dxa"/>
            <w:gridSpan w:val="11"/>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lang w:eastAsia="zh-CN"/>
              </w:rPr>
              <w:t>☑新建  □ 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设计生产能力</w:t>
            </w:r>
          </w:p>
        </w:tc>
        <w:tc>
          <w:tcPr>
            <w:tcW w:w="4230"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lang w:val="en-US" w:eastAsia="zh-CN"/>
              </w:rPr>
              <w:t>30万片/年汽车挡风玻璃</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实际生产能力</w:t>
            </w:r>
          </w:p>
        </w:tc>
        <w:tc>
          <w:tcPr>
            <w:tcW w:w="2760" w:type="dxa"/>
            <w:gridSpan w:val="4"/>
            <w:noWrap w:val="0"/>
            <w:vAlign w:val="center"/>
          </w:tcPr>
          <w:p>
            <w:pPr>
              <w:spacing w:after="0" w:line="240" w:lineRule="auto"/>
              <w:rPr>
                <w:rFonts w:hint="eastAsia"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30万片/年汽车挡风玻璃</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环评单位</w:t>
            </w:r>
          </w:p>
        </w:tc>
        <w:tc>
          <w:tcPr>
            <w:tcW w:w="2155" w:type="dxa"/>
            <w:gridSpan w:val="5"/>
            <w:noWrap w:val="0"/>
            <w:vAlign w:val="center"/>
          </w:tcPr>
          <w:p>
            <w:pPr>
              <w:spacing w:after="0" w:line="240" w:lineRule="auto"/>
              <w:rPr>
                <w:rFonts w:hint="eastAsia" w:ascii="Tahoma" w:hAnsi="Tahoma" w:eastAsia="微软雅黑" w:cs="Times New Roman"/>
                <w:kern w:val="2"/>
                <w:sz w:val="15"/>
                <w:szCs w:val="15"/>
              </w:rPr>
            </w:pPr>
            <w:r>
              <w:rPr>
                <w:rFonts w:hint="eastAsia" w:ascii="Tahoma" w:hAnsi="Tahoma" w:eastAsia="微软雅黑" w:cs="Times New Roman"/>
                <w:kern w:val="2"/>
                <w:sz w:val="15"/>
                <w:szCs w:val="15"/>
                <w:lang w:val="en-US" w:eastAsia="zh-CN"/>
              </w:rPr>
              <w:t>重庆大学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环评文件审批机关</w:t>
            </w:r>
          </w:p>
        </w:tc>
        <w:tc>
          <w:tcPr>
            <w:tcW w:w="4230" w:type="dxa"/>
            <w:gridSpan w:val="8"/>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lang w:eastAsia="zh-CN"/>
              </w:rPr>
              <w:t>万州区生态环境保护局</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审批文号</w:t>
            </w:r>
          </w:p>
        </w:tc>
        <w:tc>
          <w:tcPr>
            <w:tcW w:w="2760" w:type="dxa"/>
            <w:gridSpan w:val="4"/>
            <w:noWrap w:val="0"/>
            <w:vAlign w:val="center"/>
          </w:tcPr>
          <w:p>
            <w:pPr>
              <w:spacing w:after="0" w:line="240" w:lineRule="auto"/>
              <w:rPr>
                <w:rFonts w:hint="eastAsia"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渝（万）环准[2015] 276号</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环评文件类型</w:t>
            </w:r>
          </w:p>
        </w:tc>
        <w:tc>
          <w:tcPr>
            <w:tcW w:w="2155" w:type="dxa"/>
            <w:gridSpan w:val="5"/>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rPr>
              <w:t>环境影响报告</w:t>
            </w:r>
            <w:r>
              <w:rPr>
                <w:rFonts w:hint="eastAsia" w:ascii="Tahoma" w:hAnsi="Tahoma" w:eastAsia="微软雅黑" w:cs="Times New Roman"/>
                <w:kern w:val="2"/>
                <w:sz w:val="15"/>
                <w:szCs w:val="15"/>
                <w:lang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开工日期</w:t>
            </w:r>
          </w:p>
        </w:tc>
        <w:tc>
          <w:tcPr>
            <w:tcW w:w="4230" w:type="dxa"/>
            <w:gridSpan w:val="8"/>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eastAsia="zh-CN"/>
              </w:rPr>
              <w:t>20</w:t>
            </w:r>
            <w:r>
              <w:rPr>
                <w:rFonts w:hint="eastAsia" w:ascii="Tahoma" w:hAnsi="Tahoma" w:eastAsia="微软雅黑" w:cs="Times New Roman"/>
                <w:kern w:val="2"/>
                <w:sz w:val="15"/>
                <w:szCs w:val="15"/>
                <w:lang w:val="en-US" w:eastAsia="zh-CN"/>
              </w:rPr>
              <w:t>19</w:t>
            </w:r>
            <w:r>
              <w:rPr>
                <w:rFonts w:hint="eastAsia" w:ascii="Tahoma" w:hAnsi="Tahoma" w:eastAsia="微软雅黑" w:cs="Times New Roman"/>
                <w:kern w:val="2"/>
                <w:sz w:val="15"/>
                <w:szCs w:val="15"/>
                <w:lang w:eastAsia="zh-CN"/>
              </w:rPr>
              <w:t>.</w:t>
            </w:r>
            <w:r>
              <w:rPr>
                <w:rFonts w:hint="eastAsia" w:ascii="Tahoma" w:hAnsi="Tahoma" w:eastAsia="微软雅黑" w:cs="Times New Roman"/>
                <w:kern w:val="2"/>
                <w:sz w:val="15"/>
                <w:szCs w:val="15"/>
                <w:lang w:val="en-US" w:eastAsia="zh-CN"/>
              </w:rPr>
              <w:t>10</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竣工日期</w:t>
            </w:r>
          </w:p>
        </w:tc>
        <w:tc>
          <w:tcPr>
            <w:tcW w:w="2760" w:type="dxa"/>
            <w:gridSpan w:val="4"/>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rPr>
              <w:t>20</w:t>
            </w:r>
            <w:r>
              <w:rPr>
                <w:rFonts w:hint="eastAsia" w:ascii="Tahoma" w:hAnsi="Tahoma" w:eastAsia="微软雅黑" w:cs="Times New Roman"/>
                <w:kern w:val="2"/>
                <w:sz w:val="15"/>
                <w:szCs w:val="15"/>
                <w:lang w:val="en-US" w:eastAsia="zh-CN"/>
              </w:rPr>
              <w:t>24</w:t>
            </w:r>
            <w:r>
              <w:rPr>
                <w:rFonts w:hint="eastAsia" w:ascii="Tahoma" w:hAnsi="Tahoma" w:eastAsia="微软雅黑" w:cs="Times New Roman"/>
                <w:kern w:val="2"/>
                <w:sz w:val="15"/>
                <w:szCs w:val="15"/>
              </w:rPr>
              <w:t>.</w:t>
            </w:r>
            <w:r>
              <w:rPr>
                <w:rFonts w:hint="eastAsia" w:ascii="Tahoma" w:hAnsi="Tahoma" w:eastAsia="微软雅黑" w:cs="Times New Roman"/>
                <w:kern w:val="2"/>
                <w:sz w:val="15"/>
                <w:szCs w:val="15"/>
                <w:lang w:val="en-US" w:eastAsia="zh-CN"/>
              </w:rPr>
              <w:t>3</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排污许可证申领时间</w:t>
            </w:r>
          </w:p>
        </w:tc>
        <w:tc>
          <w:tcPr>
            <w:tcW w:w="2155" w:type="dxa"/>
            <w:gridSpan w:val="5"/>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环保设施设计单位</w:t>
            </w:r>
          </w:p>
        </w:tc>
        <w:tc>
          <w:tcPr>
            <w:tcW w:w="4230" w:type="dxa"/>
            <w:gridSpan w:val="8"/>
            <w:noWrap w:val="0"/>
            <w:vAlign w:val="center"/>
          </w:tcPr>
          <w:p>
            <w:pPr>
              <w:spacing w:after="0" w:line="240" w:lineRule="auto"/>
              <w:rPr>
                <w:rFonts w:hint="eastAsia" w:ascii="Tahoma" w:hAnsi="Tahoma" w:eastAsia="微软雅黑" w:cs="Times New Roman"/>
                <w:kern w:val="2"/>
                <w:sz w:val="15"/>
                <w:szCs w:val="15"/>
              </w:rPr>
            </w:pPr>
            <w:r>
              <w:rPr>
                <w:rFonts w:hint="eastAsia" w:ascii="Tahoma" w:hAnsi="Tahoma" w:eastAsia="微软雅黑" w:cs="Times New Roman"/>
                <w:kern w:val="2"/>
                <w:sz w:val="15"/>
                <w:szCs w:val="15"/>
                <w:lang w:eastAsia="zh-CN"/>
              </w:rPr>
              <w:t>重庆万世缘环保科技有限公司</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环保设施施工单位</w:t>
            </w:r>
          </w:p>
        </w:tc>
        <w:tc>
          <w:tcPr>
            <w:tcW w:w="2760" w:type="dxa"/>
            <w:gridSpan w:val="4"/>
            <w:noWrap w:val="0"/>
            <w:vAlign w:val="center"/>
          </w:tcPr>
          <w:p>
            <w:pPr>
              <w:spacing w:after="0" w:line="240" w:lineRule="auto"/>
              <w:rPr>
                <w:rFonts w:hint="eastAsia" w:ascii="Tahoma" w:hAnsi="Tahoma" w:eastAsia="微软雅黑" w:cs="Times New Roman"/>
                <w:kern w:val="2"/>
                <w:sz w:val="15"/>
                <w:szCs w:val="15"/>
              </w:rPr>
            </w:pPr>
            <w:r>
              <w:rPr>
                <w:rFonts w:hint="eastAsia" w:ascii="Tahoma" w:hAnsi="Tahoma" w:eastAsia="微软雅黑" w:cs="Times New Roman"/>
                <w:kern w:val="2"/>
                <w:sz w:val="15"/>
                <w:szCs w:val="15"/>
                <w:lang w:eastAsia="zh-CN"/>
              </w:rPr>
              <w:t>重庆美豪汽车玻璃有限公司</w:t>
            </w:r>
            <w:r>
              <w:rPr>
                <w:rFonts w:hint="eastAsia" w:ascii="Tahoma" w:hAnsi="Tahoma" w:eastAsia="微软雅黑" w:cs="Times New Roman"/>
                <w:kern w:val="2"/>
                <w:sz w:val="15"/>
                <w:szCs w:val="15"/>
              </w:rPr>
              <w:t xml:space="preserve"> </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本工程排污许可证编号</w:t>
            </w:r>
          </w:p>
        </w:tc>
        <w:tc>
          <w:tcPr>
            <w:tcW w:w="2155" w:type="dxa"/>
            <w:gridSpan w:val="5"/>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验收单位</w:t>
            </w:r>
          </w:p>
        </w:tc>
        <w:tc>
          <w:tcPr>
            <w:tcW w:w="4230" w:type="dxa"/>
            <w:gridSpan w:val="8"/>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lang w:eastAsia="zh-CN"/>
              </w:rPr>
              <w:t>重庆万世缘环保科技有限公司</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环保设施监测单位</w:t>
            </w:r>
          </w:p>
        </w:tc>
        <w:tc>
          <w:tcPr>
            <w:tcW w:w="2760" w:type="dxa"/>
            <w:gridSpan w:val="4"/>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lang w:eastAsia="zh-CN"/>
              </w:rPr>
              <w:t>重庆绿创环境检测技术有限公司</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验收监测时工况</w:t>
            </w:r>
          </w:p>
        </w:tc>
        <w:tc>
          <w:tcPr>
            <w:tcW w:w="2155" w:type="dxa"/>
            <w:gridSpan w:val="5"/>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投资总概算（万元）</w:t>
            </w:r>
          </w:p>
        </w:tc>
        <w:tc>
          <w:tcPr>
            <w:tcW w:w="4230" w:type="dxa"/>
            <w:gridSpan w:val="8"/>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1000</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环保投资总概算（万元）</w:t>
            </w:r>
          </w:p>
        </w:tc>
        <w:tc>
          <w:tcPr>
            <w:tcW w:w="2760" w:type="dxa"/>
            <w:gridSpan w:val="4"/>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79.5</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所占比例（%）</w:t>
            </w:r>
          </w:p>
        </w:tc>
        <w:tc>
          <w:tcPr>
            <w:tcW w:w="2155" w:type="dxa"/>
            <w:gridSpan w:val="5"/>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实际总投资</w:t>
            </w:r>
          </w:p>
        </w:tc>
        <w:tc>
          <w:tcPr>
            <w:tcW w:w="4230" w:type="dxa"/>
            <w:gridSpan w:val="8"/>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1000</w:t>
            </w: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实际环保投资（万元）</w:t>
            </w:r>
          </w:p>
        </w:tc>
        <w:tc>
          <w:tcPr>
            <w:tcW w:w="2760" w:type="dxa"/>
            <w:gridSpan w:val="4"/>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85</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所占比例（%）</w:t>
            </w:r>
          </w:p>
        </w:tc>
        <w:tc>
          <w:tcPr>
            <w:tcW w:w="2155" w:type="dxa"/>
            <w:gridSpan w:val="5"/>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废水治理（万元）</w:t>
            </w:r>
          </w:p>
        </w:tc>
        <w:tc>
          <w:tcPr>
            <w:tcW w:w="780" w:type="dxa"/>
            <w:noWrap w:val="0"/>
            <w:vAlign w:val="center"/>
          </w:tcPr>
          <w:p>
            <w:pPr>
              <w:spacing w:after="0" w:line="240" w:lineRule="auto"/>
              <w:rPr>
                <w:rFonts w:hint="default" w:ascii="Tahoma" w:hAnsi="Tahoma" w:eastAsia="微软雅黑" w:cs="Times New Roman"/>
                <w:kern w:val="2"/>
                <w:sz w:val="15"/>
                <w:szCs w:val="15"/>
                <w:lang w:val="en-US" w:eastAsia="zh-CN"/>
              </w:rPr>
            </w:pPr>
          </w:p>
        </w:tc>
        <w:tc>
          <w:tcPr>
            <w:tcW w:w="1336" w:type="dxa"/>
            <w:gridSpan w:val="2"/>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b/>
                <w:bCs/>
                <w:kern w:val="2"/>
                <w:sz w:val="15"/>
                <w:szCs w:val="15"/>
              </w:rPr>
              <w:t>废气治理（万元）</w:t>
            </w:r>
          </w:p>
        </w:tc>
        <w:tc>
          <w:tcPr>
            <w:tcW w:w="660" w:type="dxa"/>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12</w:t>
            </w:r>
          </w:p>
        </w:tc>
        <w:tc>
          <w:tcPr>
            <w:tcW w:w="1454" w:type="dxa"/>
            <w:gridSpan w:val="4"/>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b/>
                <w:bCs/>
                <w:kern w:val="2"/>
                <w:sz w:val="15"/>
                <w:szCs w:val="15"/>
              </w:rPr>
              <w:t>噪声治理（万元）</w:t>
            </w:r>
          </w:p>
        </w:tc>
        <w:tc>
          <w:tcPr>
            <w:tcW w:w="1725" w:type="dxa"/>
            <w:gridSpan w:val="2"/>
            <w:noWrap w:val="0"/>
            <w:vAlign w:val="center"/>
          </w:tcPr>
          <w:p>
            <w:pPr>
              <w:spacing w:after="0" w:line="240" w:lineRule="auto"/>
              <w:rPr>
                <w:rFonts w:hint="eastAsia" w:ascii="Tahoma" w:hAnsi="Tahoma" w:eastAsia="微软雅黑" w:cs="Times New Roman"/>
                <w:kern w:val="2"/>
                <w:sz w:val="15"/>
                <w:szCs w:val="15"/>
              </w:rPr>
            </w:pPr>
            <w:r>
              <w:rPr>
                <w:rFonts w:hint="eastAsia" w:ascii="Tahoma" w:hAnsi="Tahoma" w:eastAsia="微软雅黑" w:cs="Times New Roman"/>
                <w:kern w:val="2"/>
                <w:sz w:val="15"/>
                <w:szCs w:val="15"/>
                <w:lang w:val="en-US" w:eastAsia="zh-CN"/>
              </w:rPr>
              <w:t>2</w:t>
            </w:r>
          </w:p>
        </w:tc>
        <w:tc>
          <w:tcPr>
            <w:tcW w:w="1906" w:type="dxa"/>
            <w:gridSpan w:val="3"/>
            <w:noWrap w:val="0"/>
            <w:vAlign w:val="center"/>
          </w:tcPr>
          <w:p>
            <w:pPr>
              <w:spacing w:after="0" w:line="240" w:lineRule="auto"/>
              <w:rPr>
                <w:rFonts w:hint="eastAsia" w:ascii="Tahoma" w:hAnsi="Tahoma" w:eastAsia="微软雅黑" w:cs="Times New Roman"/>
                <w:kern w:val="2"/>
                <w:sz w:val="15"/>
                <w:szCs w:val="15"/>
                <w:lang w:val="en-US" w:eastAsia="zh-CN" w:bidi="ar-SA"/>
              </w:rPr>
            </w:pPr>
            <w:r>
              <w:rPr>
                <w:rFonts w:hint="eastAsia" w:ascii="Tahoma" w:hAnsi="Tahoma" w:eastAsia="微软雅黑" w:cs="Times New Roman"/>
                <w:b/>
                <w:bCs/>
                <w:kern w:val="2"/>
                <w:sz w:val="15"/>
                <w:szCs w:val="15"/>
              </w:rPr>
              <w:t>固体废物治理（万元）</w:t>
            </w:r>
          </w:p>
        </w:tc>
        <w:tc>
          <w:tcPr>
            <w:tcW w:w="854" w:type="dxa"/>
            <w:noWrap w:val="0"/>
            <w:vAlign w:val="center"/>
          </w:tcPr>
          <w:p>
            <w:pPr>
              <w:spacing w:after="0" w:line="240" w:lineRule="auto"/>
              <w:rPr>
                <w:rFonts w:hint="eastAsia"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4</w:t>
            </w:r>
          </w:p>
        </w:tc>
        <w:tc>
          <w:tcPr>
            <w:tcW w:w="1785" w:type="dxa"/>
            <w:gridSpan w:val="2"/>
            <w:noWrap w:val="0"/>
            <w:vAlign w:val="center"/>
          </w:tcPr>
          <w:p>
            <w:pPr>
              <w:spacing w:after="0" w:line="240" w:lineRule="auto"/>
              <w:rPr>
                <w:rFonts w:hint="eastAsia" w:ascii="Tahoma" w:hAnsi="Tahoma" w:eastAsia="微软雅黑" w:cs="Times New Roman"/>
                <w:kern w:val="2"/>
                <w:sz w:val="15"/>
                <w:szCs w:val="15"/>
              </w:rPr>
            </w:pPr>
            <w:r>
              <w:rPr>
                <w:rFonts w:hint="eastAsia" w:ascii="Tahoma" w:hAnsi="Tahoma" w:eastAsia="微软雅黑" w:cs="Times New Roman"/>
                <w:b/>
                <w:bCs/>
                <w:kern w:val="2"/>
                <w:sz w:val="15"/>
                <w:szCs w:val="15"/>
              </w:rPr>
              <w:t>绿化及生态（万元）</w:t>
            </w:r>
          </w:p>
        </w:tc>
        <w:tc>
          <w:tcPr>
            <w:tcW w:w="525" w:type="dxa"/>
            <w:gridSpan w:val="2"/>
            <w:noWrap w:val="0"/>
            <w:vAlign w:val="center"/>
          </w:tcPr>
          <w:p>
            <w:pPr>
              <w:spacing w:after="0" w:line="240" w:lineRule="auto"/>
              <w:rPr>
                <w:rFonts w:hint="default" w:ascii="Tahoma" w:hAnsi="Tahoma" w:eastAsia="微软雅黑" w:cs="Times New Roman"/>
                <w:kern w:val="2"/>
                <w:sz w:val="15"/>
                <w:szCs w:val="15"/>
                <w:lang w:val="en-US" w:eastAsia="zh-CN"/>
              </w:rPr>
            </w:pPr>
            <w:r>
              <w:rPr>
                <w:rFonts w:hint="eastAsia" w:ascii="Tahoma" w:hAnsi="Tahoma" w:eastAsia="微软雅黑" w:cs="Times New Roman"/>
                <w:kern w:val="2"/>
                <w:sz w:val="15"/>
                <w:szCs w:val="15"/>
                <w:lang w:val="en-US" w:eastAsia="zh-CN"/>
              </w:rPr>
              <w:t>0</w:t>
            </w:r>
          </w:p>
        </w:tc>
        <w:tc>
          <w:tcPr>
            <w:tcW w:w="1205" w:type="dxa"/>
            <w:gridSpan w:val="2"/>
            <w:noWrap w:val="0"/>
            <w:vAlign w:val="center"/>
          </w:tcPr>
          <w:p>
            <w:pPr>
              <w:spacing w:after="0" w:line="240" w:lineRule="auto"/>
              <w:rPr>
                <w:rFonts w:hint="default" w:ascii="Tahoma" w:hAnsi="Tahoma" w:eastAsia="微软雅黑" w:cs="Times New Roman"/>
                <w:b/>
                <w:bCs/>
                <w:kern w:val="2"/>
                <w:sz w:val="15"/>
                <w:szCs w:val="15"/>
                <w:lang w:val="en-US" w:eastAsia="zh-CN"/>
              </w:rPr>
            </w:pPr>
            <w:r>
              <w:rPr>
                <w:rFonts w:hint="eastAsia" w:ascii="Tahoma" w:hAnsi="Tahoma" w:eastAsia="微软雅黑" w:cs="Times New Roman"/>
                <w:b/>
                <w:bCs/>
                <w:kern w:val="2"/>
                <w:sz w:val="15"/>
                <w:szCs w:val="15"/>
              </w:rPr>
              <w:t>其他（万元）</w:t>
            </w:r>
          </w:p>
        </w:tc>
        <w:tc>
          <w:tcPr>
            <w:tcW w:w="425" w:type="dxa"/>
            <w:noWrap w:val="0"/>
            <w:vAlign w:val="center"/>
          </w:tcPr>
          <w:p>
            <w:pPr>
              <w:spacing w:after="0" w:line="240" w:lineRule="auto"/>
              <w:rPr>
                <w:rFonts w:hint="default" w:ascii="Tahoma" w:hAnsi="Tahoma" w:eastAsia="微软雅黑" w:cs="Times New Roman"/>
                <w:b/>
                <w:bCs/>
                <w:kern w:val="2"/>
                <w:sz w:val="15"/>
                <w:szCs w:val="15"/>
                <w:lang w:val="en-US" w:eastAsia="zh-CN"/>
              </w:rPr>
            </w:pPr>
            <w:r>
              <w:rPr>
                <w:rFonts w:hint="eastAsia" w:ascii="Tahoma" w:hAnsi="Tahoma" w:eastAsia="微软雅黑" w:cs="Times New Roman"/>
                <w:b w:val="0"/>
                <w:bCs w:val="0"/>
                <w:kern w:val="2"/>
                <w:sz w:val="15"/>
                <w:szCs w:val="15"/>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40" w:type="dxa"/>
            <w:vMerge w:val="continue"/>
            <w:noWrap w:val="0"/>
            <w:vAlign w:val="center"/>
          </w:tcPr>
          <w:p>
            <w:pPr>
              <w:spacing w:after="0"/>
              <w:rPr>
                <w:kern w:val="2"/>
                <w:sz w:val="15"/>
                <w:szCs w:val="15"/>
              </w:rPr>
            </w:pPr>
          </w:p>
        </w:tc>
        <w:tc>
          <w:tcPr>
            <w:tcW w:w="1952"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新增废水处理设施能力</w:t>
            </w:r>
          </w:p>
        </w:tc>
        <w:tc>
          <w:tcPr>
            <w:tcW w:w="4230" w:type="dxa"/>
            <w:gridSpan w:val="8"/>
            <w:noWrap w:val="0"/>
            <w:vAlign w:val="center"/>
          </w:tcPr>
          <w:p>
            <w:pPr>
              <w:spacing w:after="0" w:line="240" w:lineRule="auto"/>
              <w:rPr>
                <w:rFonts w:hint="default" w:ascii="Tahoma" w:hAnsi="Tahoma" w:eastAsia="微软雅黑" w:cs="Times New Roman"/>
                <w:b/>
                <w:kern w:val="2"/>
                <w:sz w:val="15"/>
                <w:szCs w:val="15"/>
                <w:lang w:val="en-US" w:eastAsia="zh-CN"/>
              </w:rPr>
            </w:pPr>
          </w:p>
        </w:tc>
        <w:tc>
          <w:tcPr>
            <w:tcW w:w="172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新增废气处理设施能力</w:t>
            </w:r>
          </w:p>
        </w:tc>
        <w:tc>
          <w:tcPr>
            <w:tcW w:w="2760" w:type="dxa"/>
            <w:gridSpan w:val="4"/>
            <w:noWrap w:val="0"/>
            <w:vAlign w:val="center"/>
          </w:tcPr>
          <w:p>
            <w:pPr>
              <w:spacing w:after="0" w:line="240" w:lineRule="auto"/>
              <w:rPr>
                <w:rFonts w:hint="eastAsia" w:ascii="Tahoma" w:hAnsi="Tahoma" w:eastAsia="微软雅黑" w:cs="Times New Roman"/>
                <w:b/>
                <w:kern w:val="2"/>
                <w:sz w:val="15"/>
                <w:szCs w:val="15"/>
                <w:lang w:val="en-US" w:eastAsia="zh-CN"/>
              </w:rPr>
            </w:pPr>
            <w:r>
              <w:rPr>
                <w:rFonts w:hint="eastAsia" w:ascii="Tahoma" w:hAnsi="Tahoma" w:eastAsia="微软雅黑" w:cs="Times New Roman"/>
                <w:b/>
                <w:kern w:val="2"/>
                <w:sz w:val="15"/>
                <w:szCs w:val="15"/>
                <w:lang w:val="en-US" w:eastAsia="zh-CN"/>
              </w:rPr>
              <w:t>/</w:t>
            </w: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年平均工作时</w:t>
            </w:r>
          </w:p>
        </w:tc>
        <w:tc>
          <w:tcPr>
            <w:tcW w:w="2155" w:type="dxa"/>
            <w:gridSpan w:val="5"/>
            <w:noWrap w:val="0"/>
            <w:vAlign w:val="center"/>
          </w:tcPr>
          <w:p>
            <w:pPr>
              <w:spacing w:after="0" w:line="240" w:lineRule="auto"/>
              <w:rPr>
                <w:rFonts w:hint="default" w:ascii="Tahoma" w:hAnsi="Tahoma" w:eastAsia="微软雅黑" w:cs="Times New Roman"/>
                <w:b/>
                <w:kern w:val="2"/>
                <w:sz w:val="15"/>
                <w:szCs w:val="15"/>
                <w:lang w:val="en-US" w:eastAsia="zh-CN"/>
              </w:rPr>
            </w:pPr>
            <w:r>
              <w:rPr>
                <w:rFonts w:hint="eastAsia" w:ascii="Tahoma" w:hAnsi="Tahoma" w:eastAsia="微软雅黑" w:cs="Times New Roman"/>
                <w:b w:val="0"/>
                <w:bCs/>
                <w:kern w:val="2"/>
                <w:sz w:val="15"/>
                <w:szCs w:val="15"/>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92" w:type="dxa"/>
            <w:gridSpan w:val="4"/>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运营单位</w:t>
            </w:r>
          </w:p>
        </w:tc>
        <w:tc>
          <w:tcPr>
            <w:tcW w:w="3795" w:type="dxa"/>
            <w:gridSpan w:val="6"/>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lang w:eastAsia="zh-CN"/>
              </w:rPr>
              <w:t>重庆美豪汽车玻璃有限公司</w:t>
            </w:r>
          </w:p>
        </w:tc>
        <w:tc>
          <w:tcPr>
            <w:tcW w:w="2160" w:type="dxa"/>
            <w:gridSpan w:val="4"/>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b/>
                <w:bCs/>
                <w:kern w:val="2"/>
                <w:sz w:val="15"/>
                <w:szCs w:val="15"/>
                <w:lang w:eastAsia="zh-CN"/>
              </w:rPr>
              <w:t>运营单位社会统一信用代码</w:t>
            </w:r>
          </w:p>
        </w:tc>
        <w:tc>
          <w:tcPr>
            <w:tcW w:w="2760" w:type="dxa"/>
            <w:gridSpan w:val="4"/>
            <w:noWrap w:val="0"/>
            <w:vAlign w:val="center"/>
          </w:tcPr>
          <w:p>
            <w:pPr>
              <w:spacing w:after="0" w:line="240" w:lineRule="auto"/>
              <w:rPr>
                <w:rFonts w:hint="eastAsia" w:ascii="Tahoma" w:hAnsi="Tahoma" w:eastAsia="微软雅黑" w:cs="Times New Roman"/>
                <w:kern w:val="2"/>
                <w:sz w:val="15"/>
                <w:szCs w:val="15"/>
                <w:lang w:eastAsia="zh-CN"/>
              </w:rPr>
            </w:pPr>
          </w:p>
        </w:tc>
        <w:tc>
          <w:tcPr>
            <w:tcW w:w="178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验收时间</w:t>
            </w:r>
          </w:p>
        </w:tc>
        <w:tc>
          <w:tcPr>
            <w:tcW w:w="2155" w:type="dxa"/>
            <w:gridSpan w:val="5"/>
            <w:noWrap w:val="0"/>
            <w:vAlign w:val="center"/>
          </w:tcPr>
          <w:p>
            <w:pPr>
              <w:spacing w:after="0" w:line="240" w:lineRule="auto"/>
              <w:rPr>
                <w:rFonts w:hint="eastAsia" w:ascii="Tahoma" w:hAnsi="Tahoma" w:eastAsia="微软雅黑" w:cs="Times New Roman"/>
                <w:kern w:val="2"/>
                <w:sz w:val="15"/>
                <w:szCs w:val="15"/>
                <w:lang w:eastAsia="zh-CN"/>
              </w:rPr>
            </w:pPr>
            <w:r>
              <w:rPr>
                <w:rFonts w:hint="eastAsia" w:ascii="Tahoma" w:hAnsi="Tahoma" w:eastAsia="微软雅黑" w:cs="Times New Roman"/>
                <w:kern w:val="2"/>
                <w:sz w:val="15"/>
                <w:szCs w:val="15"/>
              </w:rPr>
              <w:t>20</w:t>
            </w:r>
            <w:r>
              <w:rPr>
                <w:rFonts w:hint="eastAsia" w:ascii="Tahoma" w:hAnsi="Tahoma" w:eastAsia="微软雅黑" w:cs="Times New Roman"/>
                <w:kern w:val="2"/>
                <w:sz w:val="15"/>
                <w:szCs w:val="15"/>
                <w:lang w:val="en-US" w:eastAsia="zh-CN"/>
              </w:rPr>
              <w:t>24</w:t>
            </w:r>
            <w:r>
              <w:rPr>
                <w:rFonts w:hint="eastAsia" w:ascii="Tahoma" w:hAnsi="Tahoma" w:eastAsia="微软雅黑" w:cs="Times New Roman"/>
                <w:kern w:val="2"/>
                <w:sz w:val="15"/>
                <w:szCs w:val="15"/>
              </w:rPr>
              <w:t>.</w:t>
            </w:r>
            <w:r>
              <w:rPr>
                <w:rFonts w:hint="eastAsia" w:ascii="Tahoma" w:hAnsi="Tahoma" w:eastAsia="微软雅黑" w:cs="Times New Roman"/>
                <w:kern w:val="2"/>
                <w:sz w:val="15"/>
                <w:szCs w:val="15"/>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14" w:type="dxa"/>
            <w:gridSpan w:val="2"/>
            <w:vMerge w:val="restart"/>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污染</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物排</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放达</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标与</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总量</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控制（工</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业建</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设项</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目详填）</w:t>
            </w: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污染物</w:t>
            </w:r>
          </w:p>
        </w:tc>
        <w:tc>
          <w:tcPr>
            <w:tcW w:w="780" w:type="dxa"/>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原有排</w:t>
            </w:r>
          </w:p>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放量(1)</w:t>
            </w:r>
          </w:p>
        </w:tc>
        <w:tc>
          <w:tcPr>
            <w:tcW w:w="1125" w:type="dxa"/>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本期工程实际排放浓度(2)</w:t>
            </w:r>
          </w:p>
        </w:tc>
        <w:tc>
          <w:tcPr>
            <w:tcW w:w="1125" w:type="dxa"/>
            <w:gridSpan w:val="3"/>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本期工程允许排放浓度(3)</w:t>
            </w:r>
          </w:p>
        </w:tc>
        <w:tc>
          <w:tcPr>
            <w:tcW w:w="91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本期工程产生量(4)</w:t>
            </w:r>
          </w:p>
        </w:tc>
        <w:tc>
          <w:tcPr>
            <w:tcW w:w="1099"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本期工程自身削减量(5)</w:t>
            </w:r>
          </w:p>
        </w:tc>
        <w:tc>
          <w:tcPr>
            <w:tcW w:w="1155"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本期工程实际排放量(6)</w:t>
            </w:r>
          </w:p>
        </w:tc>
        <w:tc>
          <w:tcPr>
            <w:tcW w:w="1166" w:type="dxa"/>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本期工程核定排放总量(7)</w:t>
            </w:r>
          </w:p>
        </w:tc>
        <w:tc>
          <w:tcPr>
            <w:tcW w:w="1350"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本期工程“以新带老”削减量(8)</w:t>
            </w:r>
          </w:p>
        </w:tc>
        <w:tc>
          <w:tcPr>
            <w:tcW w:w="969" w:type="dxa"/>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全厂实际排放总量(9)</w:t>
            </w:r>
          </w:p>
        </w:tc>
        <w:tc>
          <w:tcPr>
            <w:tcW w:w="996"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全厂核定排放总量(10)</w:t>
            </w:r>
          </w:p>
        </w:tc>
        <w:tc>
          <w:tcPr>
            <w:tcW w:w="1126"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区域平衡替代削减量(11)</w:t>
            </w:r>
          </w:p>
        </w:tc>
        <w:tc>
          <w:tcPr>
            <w:tcW w:w="849"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废水</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化学需氧量</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氨氮</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石油类</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废气</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二氧化硫</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烟尘</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工业粉尘</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氮氧化物</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778" w:type="dxa"/>
            <w:gridSpan w:val="2"/>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工业固体废物</w:t>
            </w: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129" w:type="dxa"/>
            <w:vMerge w:val="restart"/>
            <w:noWrap w:val="0"/>
            <w:vAlign w:val="center"/>
          </w:tcPr>
          <w:p>
            <w:pPr>
              <w:spacing w:after="0" w:line="240" w:lineRule="auto"/>
              <w:rPr>
                <w:rFonts w:hint="eastAsia" w:ascii="Tahoma" w:hAnsi="Tahoma" w:eastAsia="微软雅黑" w:cs="Times New Roman"/>
                <w:b/>
                <w:kern w:val="2"/>
                <w:sz w:val="15"/>
                <w:szCs w:val="15"/>
              </w:rPr>
            </w:pPr>
            <w:r>
              <w:rPr>
                <w:rFonts w:hint="eastAsia" w:ascii="Tahoma" w:hAnsi="Tahoma" w:eastAsia="微软雅黑" w:cs="Times New Roman"/>
                <w:b/>
                <w:kern w:val="2"/>
                <w:sz w:val="15"/>
                <w:szCs w:val="15"/>
              </w:rPr>
              <w:t>与项目有关其他特征污染物</w:t>
            </w:r>
          </w:p>
        </w:tc>
        <w:tc>
          <w:tcPr>
            <w:tcW w:w="649" w:type="dxa"/>
            <w:noWrap w:val="0"/>
            <w:vAlign w:val="center"/>
          </w:tcPr>
          <w:p>
            <w:pPr>
              <w:spacing w:after="0" w:line="240" w:lineRule="auto"/>
              <w:rPr>
                <w:rFonts w:hint="eastAsia" w:ascii="Tahoma" w:hAnsi="Tahoma" w:eastAsia="微软雅黑" w:cs="Times New Roman"/>
                <w:b/>
                <w:kern w:val="2"/>
                <w:sz w:val="15"/>
                <w:szCs w:val="15"/>
              </w:rPr>
            </w:pP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14" w:type="dxa"/>
            <w:gridSpan w:val="2"/>
            <w:vMerge w:val="continue"/>
            <w:noWrap w:val="0"/>
            <w:vAlign w:val="center"/>
          </w:tcPr>
          <w:p>
            <w:pPr>
              <w:spacing w:after="0" w:line="240" w:lineRule="auto"/>
              <w:rPr>
                <w:rFonts w:hint="eastAsia" w:ascii="Tahoma" w:hAnsi="Tahoma" w:eastAsia="微软雅黑" w:cs="Times New Roman"/>
                <w:b/>
                <w:kern w:val="2"/>
                <w:sz w:val="15"/>
                <w:szCs w:val="15"/>
              </w:rPr>
            </w:pPr>
          </w:p>
        </w:tc>
        <w:tc>
          <w:tcPr>
            <w:tcW w:w="1129" w:type="dxa"/>
            <w:vMerge w:val="continue"/>
            <w:noWrap w:val="0"/>
            <w:vAlign w:val="center"/>
          </w:tcPr>
          <w:p>
            <w:pPr>
              <w:spacing w:after="0" w:line="240" w:lineRule="auto"/>
              <w:rPr>
                <w:rFonts w:hint="eastAsia" w:ascii="Tahoma" w:hAnsi="Tahoma" w:eastAsia="微软雅黑" w:cs="Times New Roman"/>
                <w:b/>
                <w:kern w:val="2"/>
                <w:sz w:val="15"/>
                <w:szCs w:val="15"/>
              </w:rPr>
            </w:pPr>
          </w:p>
        </w:tc>
        <w:tc>
          <w:tcPr>
            <w:tcW w:w="649" w:type="dxa"/>
            <w:noWrap w:val="0"/>
            <w:vAlign w:val="center"/>
          </w:tcPr>
          <w:p>
            <w:pPr>
              <w:spacing w:after="0" w:line="240" w:lineRule="auto"/>
              <w:rPr>
                <w:rFonts w:hint="eastAsia" w:ascii="Tahoma" w:hAnsi="Tahoma" w:eastAsia="微软雅黑" w:cs="Times New Roman"/>
                <w:b/>
                <w:kern w:val="2"/>
                <w:sz w:val="15"/>
                <w:szCs w:val="15"/>
              </w:rPr>
            </w:pPr>
          </w:p>
        </w:tc>
        <w:tc>
          <w:tcPr>
            <w:tcW w:w="780" w:type="dxa"/>
            <w:noWrap w:val="0"/>
            <w:vAlign w:val="center"/>
          </w:tcPr>
          <w:p>
            <w:pPr>
              <w:spacing w:after="0" w:line="240" w:lineRule="auto"/>
              <w:rPr>
                <w:rFonts w:hint="eastAsia" w:ascii="Tahoma" w:hAnsi="Tahoma" w:eastAsia="微软雅黑" w:cs="Times New Roman"/>
                <w:kern w:val="2"/>
                <w:sz w:val="15"/>
                <w:szCs w:val="15"/>
              </w:rPr>
            </w:pPr>
          </w:p>
        </w:tc>
        <w:tc>
          <w:tcPr>
            <w:tcW w:w="1125" w:type="dxa"/>
            <w:noWrap w:val="0"/>
            <w:vAlign w:val="center"/>
          </w:tcPr>
          <w:p>
            <w:pPr>
              <w:spacing w:after="0" w:line="240" w:lineRule="auto"/>
              <w:rPr>
                <w:rFonts w:hint="eastAsia" w:ascii="Tahoma" w:hAnsi="Tahoma" w:eastAsia="微软雅黑" w:cs="Times New Roman"/>
                <w:kern w:val="2"/>
                <w:sz w:val="15"/>
                <w:szCs w:val="15"/>
              </w:rPr>
            </w:pPr>
          </w:p>
        </w:tc>
        <w:tc>
          <w:tcPr>
            <w:tcW w:w="1125" w:type="dxa"/>
            <w:gridSpan w:val="3"/>
            <w:noWrap w:val="0"/>
            <w:vAlign w:val="center"/>
          </w:tcPr>
          <w:p>
            <w:pPr>
              <w:spacing w:after="0" w:line="240" w:lineRule="auto"/>
              <w:rPr>
                <w:rFonts w:hint="eastAsia" w:ascii="Tahoma" w:hAnsi="Tahoma" w:eastAsia="微软雅黑" w:cs="Times New Roman"/>
                <w:kern w:val="2"/>
                <w:sz w:val="15"/>
                <w:szCs w:val="15"/>
              </w:rPr>
            </w:pPr>
          </w:p>
        </w:tc>
        <w:tc>
          <w:tcPr>
            <w:tcW w:w="915" w:type="dxa"/>
            <w:gridSpan w:val="2"/>
            <w:noWrap w:val="0"/>
            <w:vAlign w:val="center"/>
          </w:tcPr>
          <w:p>
            <w:pPr>
              <w:spacing w:after="0" w:line="240" w:lineRule="auto"/>
              <w:rPr>
                <w:rFonts w:hint="eastAsia" w:ascii="Tahoma" w:hAnsi="Tahoma" w:eastAsia="微软雅黑" w:cs="Times New Roman"/>
                <w:kern w:val="2"/>
                <w:sz w:val="15"/>
                <w:szCs w:val="15"/>
              </w:rPr>
            </w:pPr>
          </w:p>
        </w:tc>
        <w:tc>
          <w:tcPr>
            <w:tcW w:w="1099" w:type="dxa"/>
            <w:gridSpan w:val="2"/>
            <w:noWrap w:val="0"/>
            <w:vAlign w:val="center"/>
          </w:tcPr>
          <w:p>
            <w:pPr>
              <w:spacing w:after="0" w:line="240" w:lineRule="auto"/>
              <w:rPr>
                <w:rFonts w:hint="eastAsia" w:ascii="Tahoma" w:hAnsi="Tahoma" w:eastAsia="微软雅黑" w:cs="Times New Roman"/>
                <w:kern w:val="2"/>
                <w:sz w:val="15"/>
                <w:szCs w:val="15"/>
              </w:rPr>
            </w:pPr>
          </w:p>
        </w:tc>
        <w:tc>
          <w:tcPr>
            <w:tcW w:w="1155" w:type="dxa"/>
            <w:gridSpan w:val="2"/>
            <w:noWrap w:val="0"/>
            <w:vAlign w:val="center"/>
          </w:tcPr>
          <w:p>
            <w:pPr>
              <w:spacing w:after="0" w:line="240" w:lineRule="auto"/>
              <w:rPr>
                <w:rFonts w:hint="eastAsia" w:ascii="Tahoma" w:hAnsi="Tahoma" w:eastAsia="微软雅黑" w:cs="Times New Roman"/>
                <w:kern w:val="2"/>
                <w:sz w:val="15"/>
                <w:szCs w:val="15"/>
              </w:rPr>
            </w:pPr>
          </w:p>
        </w:tc>
        <w:tc>
          <w:tcPr>
            <w:tcW w:w="1166" w:type="dxa"/>
            <w:noWrap w:val="0"/>
            <w:vAlign w:val="center"/>
          </w:tcPr>
          <w:p>
            <w:pPr>
              <w:spacing w:after="0" w:line="240" w:lineRule="auto"/>
              <w:rPr>
                <w:rFonts w:hint="eastAsia" w:ascii="Tahoma" w:hAnsi="Tahoma" w:eastAsia="微软雅黑" w:cs="Times New Roman"/>
                <w:kern w:val="2"/>
                <w:sz w:val="15"/>
                <w:szCs w:val="15"/>
              </w:rPr>
            </w:pPr>
          </w:p>
        </w:tc>
        <w:tc>
          <w:tcPr>
            <w:tcW w:w="1350" w:type="dxa"/>
            <w:gridSpan w:val="2"/>
            <w:noWrap w:val="0"/>
            <w:vAlign w:val="center"/>
          </w:tcPr>
          <w:p>
            <w:pPr>
              <w:spacing w:after="0" w:line="240" w:lineRule="auto"/>
              <w:rPr>
                <w:rFonts w:hint="eastAsia" w:ascii="Tahoma" w:hAnsi="Tahoma" w:eastAsia="微软雅黑" w:cs="Times New Roman"/>
                <w:kern w:val="2"/>
                <w:sz w:val="15"/>
                <w:szCs w:val="15"/>
              </w:rPr>
            </w:pPr>
          </w:p>
        </w:tc>
        <w:tc>
          <w:tcPr>
            <w:tcW w:w="969" w:type="dxa"/>
            <w:noWrap w:val="0"/>
            <w:vAlign w:val="center"/>
          </w:tcPr>
          <w:p>
            <w:pPr>
              <w:spacing w:after="0" w:line="240" w:lineRule="auto"/>
              <w:rPr>
                <w:rFonts w:hint="eastAsia" w:ascii="Tahoma" w:hAnsi="Tahoma" w:eastAsia="微软雅黑" w:cs="Times New Roman"/>
                <w:kern w:val="2"/>
                <w:sz w:val="15"/>
                <w:szCs w:val="15"/>
              </w:rPr>
            </w:pPr>
          </w:p>
        </w:tc>
        <w:tc>
          <w:tcPr>
            <w:tcW w:w="996" w:type="dxa"/>
            <w:gridSpan w:val="2"/>
            <w:noWrap w:val="0"/>
            <w:vAlign w:val="center"/>
          </w:tcPr>
          <w:p>
            <w:pPr>
              <w:spacing w:after="0" w:line="240" w:lineRule="auto"/>
              <w:rPr>
                <w:rFonts w:hint="eastAsia" w:ascii="Tahoma" w:hAnsi="Tahoma" w:eastAsia="微软雅黑" w:cs="Times New Roman"/>
                <w:kern w:val="2"/>
                <w:sz w:val="15"/>
                <w:szCs w:val="15"/>
              </w:rPr>
            </w:pPr>
          </w:p>
        </w:tc>
        <w:tc>
          <w:tcPr>
            <w:tcW w:w="1126" w:type="dxa"/>
            <w:gridSpan w:val="2"/>
            <w:noWrap w:val="0"/>
            <w:vAlign w:val="center"/>
          </w:tcPr>
          <w:p>
            <w:pPr>
              <w:spacing w:after="0" w:line="240" w:lineRule="auto"/>
              <w:rPr>
                <w:rFonts w:hint="eastAsia" w:ascii="Tahoma" w:hAnsi="Tahoma" w:eastAsia="微软雅黑" w:cs="Times New Roman"/>
                <w:kern w:val="2"/>
                <w:sz w:val="15"/>
                <w:szCs w:val="15"/>
              </w:rPr>
            </w:pPr>
          </w:p>
        </w:tc>
        <w:tc>
          <w:tcPr>
            <w:tcW w:w="849" w:type="dxa"/>
            <w:gridSpan w:val="2"/>
            <w:noWrap w:val="0"/>
            <w:vAlign w:val="center"/>
          </w:tcPr>
          <w:p>
            <w:pPr>
              <w:spacing w:after="0" w:line="240" w:lineRule="auto"/>
              <w:rPr>
                <w:rFonts w:hint="eastAsia" w:ascii="Tahoma" w:hAnsi="Tahoma" w:eastAsia="微软雅黑" w:cs="Times New Roman"/>
                <w:kern w:val="2"/>
                <w:sz w:val="15"/>
                <w:szCs w:val="15"/>
              </w:rPr>
            </w:pPr>
          </w:p>
        </w:tc>
      </w:tr>
    </w:tbl>
    <w:p>
      <w:pPr>
        <w:spacing w:after="0"/>
      </w:pPr>
      <w:r>
        <w:rPr>
          <w:b/>
          <w:sz w:val="15"/>
          <w:szCs w:val="15"/>
        </w:rPr>
        <w:t>注</w:t>
      </w:r>
      <w:r>
        <w:rPr>
          <w:sz w:val="15"/>
          <w:szCs w:val="15"/>
        </w:rPr>
        <w:t>：1、</w:t>
      </w:r>
      <w:r>
        <w:rPr>
          <w:spacing w:val="-4"/>
          <w:sz w:val="15"/>
          <w:szCs w:val="15"/>
        </w:rPr>
        <w:t>排放增减量：（+）表示增加，（-）表示减少。2、(12)=(6)-(8)-(11)，（9）= (4)-(5)-(8)- (11) +（1）。3、计量单位：废水排放量——万吨/年；废气排放量——万标立方米/年；工业固体废物排放</w:t>
      </w:r>
      <w:r>
        <w:rPr>
          <w:sz w:val="15"/>
          <w:szCs w:val="15"/>
        </w:rPr>
        <w:t>量——万吨/年；水污染物排放浓度——毫克/升</w:t>
      </w:r>
    </w:p>
    <w:sectPr>
      <w:footerReference r:id="rId9" w:type="default"/>
      <w:pgSz w:w="16838" w:h="11906" w:orient="landscape"/>
      <w:pgMar w:top="1134" w:right="1440" w:bottom="1797" w:left="56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38"/>
      </w:rPr>
    </w:pPr>
    <w:r>
      <w:fldChar w:fldCharType="begin"/>
    </w:r>
    <w:r>
      <w:rPr>
        <w:rStyle w:val="38"/>
      </w:rPr>
      <w:instrText xml:space="preserve">PAGE  </w:instrText>
    </w:r>
    <w:r>
      <w:fldChar w:fldCharType="separate"/>
    </w:r>
    <w:r>
      <w:rPr>
        <w:rStyle w:val="38"/>
      </w:rPr>
      <w:t>36</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27"/>
        <w:rFonts w:hint="eastAsia" w:eastAsia="宋体"/>
        <w:szCs w:val="21"/>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jc w:val="center"/>
                          </w:pPr>
                          <w:r>
                            <w:rPr>
                              <w:sz w:val="21"/>
                              <w:szCs w:val="21"/>
                            </w:rPr>
                            <w:fldChar w:fldCharType="begin"/>
                          </w:r>
                          <w:r>
                            <w:rPr>
                              <w:rStyle w:val="27"/>
                              <w:sz w:val="21"/>
                              <w:szCs w:val="21"/>
                            </w:rPr>
                            <w:instrText xml:space="preserve">PAGE  </w:instrText>
                          </w:r>
                          <w:r>
                            <w:rPr>
                              <w:sz w:val="21"/>
                              <w:szCs w:val="21"/>
                            </w:rPr>
                            <w:fldChar w:fldCharType="separate"/>
                          </w:r>
                          <w:r>
                            <w:rPr>
                              <w:rStyle w:val="27"/>
                              <w:sz w:val="21"/>
                              <w:szCs w:val="21"/>
                            </w:rPr>
                            <w:t>53</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5SrA0AgAAZg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UqwNAIAAGYEAAAOAAAAAAAAAAEAIAAAAB8BAABkcnMvZTJvRG9jLnhtbFBL&#10;BQYAAAAABgAGAFkBAADFBQAAAAA=&#10;">
              <v:fill on="f" focussize="0,0"/>
              <v:stroke on="f" weight="0.5pt"/>
              <v:imagedata o:title=""/>
              <o:lock v:ext="edit" aspectratio="f"/>
              <v:textbox inset="0mm,0mm,0mm,0mm" style="mso-fit-shape-to-text:t;">
                <w:txbxContent>
                  <w:p>
                    <w:pPr>
                      <w:tabs>
                        <w:tab w:val="center" w:pos="4153"/>
                        <w:tab w:val="right" w:pos="8306"/>
                      </w:tabs>
                      <w:jc w:val="center"/>
                    </w:pPr>
                    <w:r>
                      <w:rPr>
                        <w:sz w:val="21"/>
                        <w:szCs w:val="21"/>
                      </w:rPr>
                      <w:fldChar w:fldCharType="begin"/>
                    </w:r>
                    <w:r>
                      <w:rPr>
                        <w:rStyle w:val="27"/>
                        <w:sz w:val="21"/>
                        <w:szCs w:val="21"/>
                      </w:rPr>
                      <w:instrText xml:space="preserve">PAGE  </w:instrText>
                    </w:r>
                    <w:r>
                      <w:rPr>
                        <w:sz w:val="21"/>
                        <w:szCs w:val="21"/>
                      </w:rPr>
                      <w:fldChar w:fldCharType="separate"/>
                    </w:r>
                    <w:r>
                      <w:rPr>
                        <w:rStyle w:val="27"/>
                        <w:sz w:val="21"/>
                        <w:szCs w:val="21"/>
                      </w:rPr>
                      <w:t>53</w:t>
                    </w:r>
                    <w:r>
                      <w:rPr>
                        <w:sz w:val="21"/>
                        <w:szCs w:val="21"/>
                      </w:rPr>
                      <w:fldChar w:fldCharType="end"/>
                    </w:r>
                  </w:p>
                </w:txbxContent>
              </v:textbox>
            </v:shape>
          </w:pict>
        </mc:Fallback>
      </mc:AlternateContent>
    </w:r>
    <w:r>
      <w:rPr>
        <w:rFonts w:hint="eastAsia"/>
        <w:lang w:eastAsia="zh-CN"/>
      </w:rPr>
      <w:t>重庆美豪汽车玻璃有限公司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27"/>
        <w:rFonts w:hint="eastAsia" w:eastAsia="宋体"/>
        <w:szCs w:val="21"/>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spacing w:line="240" w:lineRule="auto"/>
      <w:jc w:val="both"/>
      <w:rPr>
        <w:rFonts w:hint="default"/>
        <w:sz w:val="21"/>
        <w:szCs w:val="21"/>
      </w:rPr>
    </w:pP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年产30万片汽车挡风玻璃项目</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 xml:space="preserve">                                </w:t>
    </w:r>
    <w:r>
      <w:rPr>
        <w:rFonts w:ascii="Times New Roman" w:hAnsi="Times New Roman" w:cs="Times New Roman" w:eastAsiaTheme="minorEastAsia"/>
        <w:color w:val="000000" w:themeColor="text1"/>
        <w:sz w:val="21"/>
        <w:szCs w:val="21"/>
        <w14:textFill>
          <w14:solidFill>
            <w14:schemeClr w14:val="tx1"/>
          </w14:solidFill>
        </w14:textFill>
      </w:rPr>
      <w:t>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3104"/>
    <w:multiLevelType w:val="singleLevel"/>
    <w:tmpl w:val="847E3104"/>
    <w:lvl w:ilvl="0" w:tentative="0">
      <w:start w:val="2"/>
      <w:numFmt w:val="decimal"/>
      <w:suff w:val="nothing"/>
      <w:lvlText w:val="（%1）"/>
      <w:lvlJc w:val="left"/>
    </w:lvl>
  </w:abstractNum>
  <w:abstractNum w:abstractNumId="1">
    <w:nsid w:val="9239341B"/>
    <w:multiLevelType w:val="multilevel"/>
    <w:tmpl w:val="9239341B"/>
    <w:lvl w:ilvl="0" w:tentative="0">
      <w:start w:val="5"/>
      <w:numFmt w:val="decimal"/>
      <w:lvlText w:val="%1"/>
      <w:lvlJc w:val="left"/>
      <w:pPr>
        <w:ind w:left="465" w:hanging="360"/>
        <w:jc w:val="left"/>
      </w:pPr>
      <w:rPr>
        <w:rFonts w:hint="default"/>
        <w:lang w:val="zh-CN" w:eastAsia="zh-CN" w:bidi="zh-CN"/>
      </w:rPr>
    </w:lvl>
    <w:lvl w:ilvl="1" w:tentative="0">
      <w:start w:val="1"/>
      <w:numFmt w:val="decimal"/>
      <w:lvlText w:val="%1.%2"/>
      <w:lvlJc w:val="left"/>
      <w:pPr>
        <w:ind w:left="465" w:hanging="360"/>
        <w:jc w:val="left"/>
      </w:pPr>
      <w:rPr>
        <w:rFonts w:hint="default" w:ascii="Times New Roman" w:hAnsi="Times New Roman" w:eastAsia="Times New Roman" w:cs="Times New Roman"/>
        <w:b/>
        <w:bCs/>
        <w:w w:val="100"/>
        <w:sz w:val="24"/>
        <w:szCs w:val="24"/>
        <w:lang w:val="zh-CN" w:eastAsia="zh-CN" w:bidi="zh-CN"/>
      </w:rPr>
    </w:lvl>
    <w:lvl w:ilvl="2" w:tentative="0">
      <w:start w:val="0"/>
      <w:numFmt w:val="bullet"/>
      <w:lvlText w:val="•"/>
      <w:lvlJc w:val="left"/>
      <w:pPr>
        <w:ind w:left="2223" w:hanging="360"/>
      </w:pPr>
      <w:rPr>
        <w:rFonts w:hint="default"/>
        <w:lang w:val="zh-CN" w:eastAsia="zh-CN" w:bidi="zh-CN"/>
      </w:rPr>
    </w:lvl>
    <w:lvl w:ilvl="3" w:tentative="0">
      <w:start w:val="0"/>
      <w:numFmt w:val="bullet"/>
      <w:lvlText w:val="•"/>
      <w:lvlJc w:val="left"/>
      <w:pPr>
        <w:ind w:left="3104" w:hanging="360"/>
      </w:pPr>
      <w:rPr>
        <w:rFonts w:hint="default"/>
        <w:lang w:val="zh-CN" w:eastAsia="zh-CN" w:bidi="zh-CN"/>
      </w:rPr>
    </w:lvl>
    <w:lvl w:ilvl="4" w:tentative="0">
      <w:start w:val="0"/>
      <w:numFmt w:val="bullet"/>
      <w:lvlText w:val="•"/>
      <w:lvlJc w:val="left"/>
      <w:pPr>
        <w:ind w:left="3986" w:hanging="360"/>
      </w:pPr>
      <w:rPr>
        <w:rFonts w:hint="default"/>
        <w:lang w:val="zh-CN" w:eastAsia="zh-CN" w:bidi="zh-CN"/>
      </w:rPr>
    </w:lvl>
    <w:lvl w:ilvl="5" w:tentative="0">
      <w:start w:val="0"/>
      <w:numFmt w:val="bullet"/>
      <w:lvlText w:val="•"/>
      <w:lvlJc w:val="left"/>
      <w:pPr>
        <w:ind w:left="4868" w:hanging="360"/>
      </w:pPr>
      <w:rPr>
        <w:rFonts w:hint="default"/>
        <w:lang w:val="zh-CN" w:eastAsia="zh-CN" w:bidi="zh-CN"/>
      </w:rPr>
    </w:lvl>
    <w:lvl w:ilvl="6" w:tentative="0">
      <w:start w:val="0"/>
      <w:numFmt w:val="bullet"/>
      <w:lvlText w:val="•"/>
      <w:lvlJc w:val="left"/>
      <w:pPr>
        <w:ind w:left="5749" w:hanging="360"/>
      </w:pPr>
      <w:rPr>
        <w:rFonts w:hint="default"/>
        <w:lang w:val="zh-CN" w:eastAsia="zh-CN" w:bidi="zh-CN"/>
      </w:rPr>
    </w:lvl>
    <w:lvl w:ilvl="7" w:tentative="0">
      <w:start w:val="0"/>
      <w:numFmt w:val="bullet"/>
      <w:lvlText w:val="•"/>
      <w:lvlJc w:val="left"/>
      <w:pPr>
        <w:ind w:left="6631" w:hanging="360"/>
      </w:pPr>
      <w:rPr>
        <w:rFonts w:hint="default"/>
        <w:lang w:val="zh-CN" w:eastAsia="zh-CN" w:bidi="zh-CN"/>
      </w:rPr>
    </w:lvl>
    <w:lvl w:ilvl="8" w:tentative="0">
      <w:start w:val="0"/>
      <w:numFmt w:val="bullet"/>
      <w:lvlText w:val="•"/>
      <w:lvlJc w:val="left"/>
      <w:pPr>
        <w:ind w:left="7512" w:hanging="360"/>
      </w:pPr>
      <w:rPr>
        <w:rFonts w:hint="default"/>
        <w:lang w:val="zh-CN" w:eastAsia="zh-CN" w:bidi="zh-CN"/>
      </w:rPr>
    </w:lvl>
  </w:abstractNum>
  <w:abstractNum w:abstractNumId="2">
    <w:nsid w:val="980A4427"/>
    <w:multiLevelType w:val="singleLevel"/>
    <w:tmpl w:val="980A4427"/>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3">
    <w:nsid w:val="BF205925"/>
    <w:multiLevelType w:val="multilevel"/>
    <w:tmpl w:val="BF205925"/>
    <w:lvl w:ilvl="0" w:tentative="0">
      <w:start w:val="2"/>
      <w:numFmt w:val="decimal"/>
      <w:lvlText w:val="%1"/>
      <w:lvlJc w:val="left"/>
      <w:pPr>
        <w:ind w:left="818" w:hanging="543"/>
        <w:jc w:val="left"/>
      </w:pPr>
      <w:rPr>
        <w:rFonts w:hint="default"/>
        <w:lang w:val="zh-CN" w:eastAsia="zh-CN" w:bidi="zh-CN"/>
      </w:rPr>
    </w:lvl>
    <w:lvl w:ilvl="1" w:tentative="0">
      <w:start w:val="6"/>
      <w:numFmt w:val="decimal"/>
      <w:lvlText w:val="%1.%2"/>
      <w:lvlJc w:val="left"/>
      <w:pPr>
        <w:ind w:left="818" w:hanging="543"/>
        <w:jc w:val="left"/>
      </w:pPr>
      <w:rPr>
        <w:rFonts w:hint="default"/>
        <w:lang w:val="zh-CN" w:eastAsia="zh-CN" w:bidi="zh-CN"/>
      </w:rPr>
    </w:lvl>
    <w:lvl w:ilvl="2" w:tentative="0">
      <w:start w:val="1"/>
      <w:numFmt w:val="decimal"/>
      <w:lvlText w:val="%1.%2.%3"/>
      <w:lvlJc w:val="left"/>
      <w:pPr>
        <w:ind w:left="764" w:hanging="543"/>
        <w:jc w:val="left"/>
      </w:pPr>
      <w:rPr>
        <w:rFonts w:hint="default" w:ascii="Times New Roman" w:hAnsi="Times New Roman" w:eastAsia="Times New Roman" w:cs="Times New Roman"/>
        <w:b/>
        <w:bCs/>
        <w:spacing w:val="-3"/>
        <w:w w:val="100"/>
        <w:sz w:val="24"/>
        <w:szCs w:val="24"/>
        <w:lang w:val="zh-CN" w:eastAsia="zh-CN" w:bidi="zh-CN"/>
      </w:rPr>
    </w:lvl>
    <w:lvl w:ilvl="3" w:tentative="0">
      <w:start w:val="1"/>
      <w:numFmt w:val="decimal"/>
      <w:lvlText w:val="（%4）"/>
      <w:lvlJc w:val="left"/>
      <w:pPr>
        <w:ind w:left="1357" w:hanging="601"/>
        <w:jc w:val="left"/>
      </w:pPr>
      <w:rPr>
        <w:rFonts w:hint="default" w:ascii="宋体" w:hAnsi="宋体" w:eastAsia="宋体" w:cs="宋体"/>
        <w:spacing w:val="-1"/>
        <w:w w:val="100"/>
        <w:sz w:val="22"/>
        <w:szCs w:val="22"/>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4">
    <w:nsid w:val="C8879AEF"/>
    <w:multiLevelType w:val="multilevel"/>
    <w:tmpl w:val="C8879AEF"/>
    <w:lvl w:ilvl="0" w:tentative="0">
      <w:start w:val="8"/>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right"/>
      </w:pPr>
      <w:rPr>
        <w:rFonts w:hint="default"/>
        <w:b/>
        <w:bCs/>
        <w:w w:val="99"/>
        <w:lang w:val="zh-CN" w:eastAsia="zh-CN" w:bidi="zh-CN"/>
      </w:rPr>
    </w:lvl>
    <w:lvl w:ilvl="2" w:tentative="0">
      <w:start w:val="1"/>
      <w:numFmt w:val="decimal"/>
      <w:lvlText w:val="（%3）"/>
      <w:lvlJc w:val="left"/>
      <w:pPr>
        <w:ind w:left="1134"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196" w:hanging="601"/>
      </w:pPr>
      <w:rPr>
        <w:rFonts w:hint="default"/>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5">
    <w:nsid w:val="CF092B84"/>
    <w:multiLevelType w:val="multilevel"/>
    <w:tmpl w:val="CF092B84"/>
    <w:lvl w:ilvl="0" w:tentative="0">
      <w:start w:val="2"/>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636"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23" w:hanging="548"/>
        <w:jc w:val="left"/>
      </w:pPr>
      <w:rPr>
        <w:rFonts w:hint="default" w:ascii="Calibri" w:hAnsi="Calibri" w:eastAsia="Calibri" w:cs="Calibri"/>
        <w:spacing w:val="-2"/>
        <w:w w:val="100"/>
        <w:sz w:val="24"/>
        <w:szCs w:val="24"/>
        <w:lang w:val="zh-CN" w:eastAsia="zh-CN" w:bidi="zh-CN"/>
      </w:rPr>
    </w:lvl>
    <w:lvl w:ilvl="3" w:tentative="0">
      <w:start w:val="0"/>
      <w:numFmt w:val="bullet"/>
      <w:lvlText w:val="•"/>
      <w:lvlJc w:val="left"/>
      <w:pPr>
        <w:ind w:left="2776" w:hanging="548"/>
      </w:pPr>
      <w:rPr>
        <w:rFonts w:hint="default"/>
        <w:lang w:val="zh-CN" w:eastAsia="zh-CN" w:bidi="zh-CN"/>
      </w:rPr>
    </w:lvl>
    <w:lvl w:ilvl="4" w:tentative="0">
      <w:start w:val="0"/>
      <w:numFmt w:val="bullet"/>
      <w:lvlText w:val="•"/>
      <w:lvlJc w:val="left"/>
      <w:pPr>
        <w:ind w:left="3755" w:hanging="548"/>
      </w:pPr>
      <w:rPr>
        <w:rFonts w:hint="default"/>
        <w:lang w:val="zh-CN" w:eastAsia="zh-CN" w:bidi="zh-CN"/>
      </w:rPr>
    </w:lvl>
    <w:lvl w:ilvl="5" w:tentative="0">
      <w:start w:val="0"/>
      <w:numFmt w:val="bullet"/>
      <w:lvlText w:val="•"/>
      <w:lvlJc w:val="left"/>
      <w:pPr>
        <w:ind w:left="4733" w:hanging="548"/>
      </w:pPr>
      <w:rPr>
        <w:rFonts w:hint="default"/>
        <w:lang w:val="zh-CN" w:eastAsia="zh-CN" w:bidi="zh-CN"/>
      </w:rPr>
    </w:lvl>
    <w:lvl w:ilvl="6" w:tentative="0">
      <w:start w:val="0"/>
      <w:numFmt w:val="bullet"/>
      <w:lvlText w:val="•"/>
      <w:lvlJc w:val="left"/>
      <w:pPr>
        <w:ind w:left="5712" w:hanging="548"/>
      </w:pPr>
      <w:rPr>
        <w:rFonts w:hint="default"/>
        <w:lang w:val="zh-CN" w:eastAsia="zh-CN" w:bidi="zh-CN"/>
      </w:rPr>
    </w:lvl>
    <w:lvl w:ilvl="7" w:tentative="0">
      <w:start w:val="0"/>
      <w:numFmt w:val="bullet"/>
      <w:lvlText w:val="•"/>
      <w:lvlJc w:val="left"/>
      <w:pPr>
        <w:ind w:left="6690" w:hanging="548"/>
      </w:pPr>
      <w:rPr>
        <w:rFonts w:hint="default"/>
        <w:lang w:val="zh-CN" w:eastAsia="zh-CN" w:bidi="zh-CN"/>
      </w:rPr>
    </w:lvl>
    <w:lvl w:ilvl="8" w:tentative="0">
      <w:start w:val="0"/>
      <w:numFmt w:val="bullet"/>
      <w:lvlText w:val="•"/>
      <w:lvlJc w:val="left"/>
      <w:pPr>
        <w:ind w:left="7669" w:hanging="548"/>
      </w:pPr>
      <w:rPr>
        <w:rFonts w:hint="default"/>
        <w:lang w:val="zh-CN" w:eastAsia="zh-CN" w:bidi="zh-CN"/>
      </w:rPr>
    </w:lvl>
  </w:abstractNum>
  <w:abstractNum w:abstractNumId="6">
    <w:nsid w:val="FFFFFFFB"/>
    <w:multiLevelType w:val="multilevel"/>
    <w:tmpl w:val="FFFFFFFB"/>
    <w:lvl w:ilvl="0" w:tentative="0">
      <w:start w:val="1"/>
      <w:numFmt w:val="decimal"/>
      <w:lvlText w:val="%1."/>
      <w:legacy w:legacy="1" w:legacySpace="144" w:legacyIndent="0"/>
      <w:lvlJc w:val="left"/>
    </w:lvl>
    <w:lvl w:ilvl="1" w:tentative="0">
      <w:start w:val="1"/>
      <w:numFmt w:val="decimal"/>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pStyle w:val="5"/>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7">
    <w:nsid w:val="03D62ECE"/>
    <w:multiLevelType w:val="multilevel"/>
    <w:tmpl w:val="03D62ECE"/>
    <w:lvl w:ilvl="0" w:tentative="0">
      <w:start w:val="3"/>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361"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18" w:hanging="543"/>
        <w:jc w:val="left"/>
      </w:pPr>
      <w:rPr>
        <w:rFonts w:hint="default" w:ascii="Times New Roman" w:hAnsi="Times New Roman" w:eastAsia="Times New Roman" w:cs="Times New Roman"/>
        <w:spacing w:val="-3"/>
        <w:w w:val="100"/>
        <w:sz w:val="24"/>
        <w:szCs w:val="24"/>
        <w:lang w:val="zh-CN" w:eastAsia="zh-CN" w:bidi="zh-CN"/>
      </w:rPr>
    </w:lvl>
    <w:lvl w:ilvl="3" w:tentative="0">
      <w:start w:val="1"/>
      <w:numFmt w:val="decimal"/>
      <w:lvlText w:val="（%4）"/>
      <w:lvlJc w:val="left"/>
      <w:pPr>
        <w:ind w:left="1237" w:hanging="601"/>
        <w:jc w:val="left"/>
      </w:pPr>
      <w:rPr>
        <w:rFonts w:hint="default" w:ascii="宋体" w:hAnsi="宋体" w:eastAsia="宋体" w:cs="宋体"/>
        <w:w w:val="100"/>
        <w:sz w:val="22"/>
        <w:szCs w:val="22"/>
        <w:lang w:val="zh-CN" w:eastAsia="zh-CN" w:bidi="zh-CN"/>
      </w:rPr>
    </w:lvl>
    <w:lvl w:ilvl="4" w:tentative="0">
      <w:start w:val="1"/>
      <w:numFmt w:val="decimal"/>
      <w:lvlText w:val="%5）"/>
      <w:lvlJc w:val="left"/>
      <w:pPr>
        <w:ind w:left="1117" w:hanging="361"/>
        <w:jc w:val="left"/>
      </w:pPr>
      <w:rPr>
        <w:rFonts w:hint="default" w:ascii="Times New Roman" w:hAnsi="Times New Roman" w:eastAsia="Times New Roman" w:cs="Times New Roman"/>
        <w:w w:val="100"/>
        <w:sz w:val="22"/>
        <w:szCs w:val="22"/>
        <w:lang w:val="zh-CN" w:eastAsia="zh-CN" w:bidi="zh-CN"/>
      </w:rPr>
    </w:lvl>
    <w:lvl w:ilvl="5" w:tentative="0">
      <w:start w:val="0"/>
      <w:numFmt w:val="bullet"/>
      <w:lvlText w:val="•"/>
      <w:lvlJc w:val="left"/>
      <w:pPr>
        <w:ind w:left="3636" w:hanging="361"/>
      </w:pPr>
      <w:rPr>
        <w:rFonts w:hint="default"/>
        <w:lang w:val="zh-CN" w:eastAsia="zh-CN" w:bidi="zh-CN"/>
      </w:rPr>
    </w:lvl>
    <w:lvl w:ilvl="6" w:tentative="0">
      <w:start w:val="0"/>
      <w:numFmt w:val="bullet"/>
      <w:lvlText w:val="•"/>
      <w:lvlJc w:val="left"/>
      <w:pPr>
        <w:ind w:left="4834" w:hanging="361"/>
      </w:pPr>
      <w:rPr>
        <w:rFonts w:hint="default"/>
        <w:lang w:val="zh-CN" w:eastAsia="zh-CN" w:bidi="zh-CN"/>
      </w:rPr>
    </w:lvl>
    <w:lvl w:ilvl="7" w:tentative="0">
      <w:start w:val="0"/>
      <w:numFmt w:val="bullet"/>
      <w:lvlText w:val="•"/>
      <w:lvlJc w:val="left"/>
      <w:pPr>
        <w:ind w:left="6032" w:hanging="361"/>
      </w:pPr>
      <w:rPr>
        <w:rFonts w:hint="default"/>
        <w:lang w:val="zh-CN" w:eastAsia="zh-CN" w:bidi="zh-CN"/>
      </w:rPr>
    </w:lvl>
    <w:lvl w:ilvl="8" w:tentative="0">
      <w:start w:val="0"/>
      <w:numFmt w:val="bullet"/>
      <w:lvlText w:val="•"/>
      <w:lvlJc w:val="left"/>
      <w:pPr>
        <w:ind w:left="7230" w:hanging="361"/>
      </w:pPr>
      <w:rPr>
        <w:rFonts w:hint="default"/>
        <w:lang w:val="zh-CN" w:eastAsia="zh-CN" w:bidi="zh-CN"/>
      </w:rPr>
    </w:lvl>
  </w:abstractNum>
  <w:abstractNum w:abstractNumId="8">
    <w:nsid w:val="22A7D05C"/>
    <w:multiLevelType w:val="singleLevel"/>
    <w:tmpl w:val="22A7D05C"/>
    <w:lvl w:ilvl="0" w:tentative="0">
      <w:start w:val="1"/>
      <w:numFmt w:val="decimal"/>
      <w:suff w:val="nothing"/>
      <w:lvlText w:val="%1、"/>
      <w:lvlJc w:val="left"/>
    </w:lvl>
  </w:abstractNum>
  <w:abstractNum w:abstractNumId="9">
    <w:nsid w:val="2A8F537B"/>
    <w:multiLevelType w:val="multilevel"/>
    <w:tmpl w:val="2A8F537B"/>
    <w:lvl w:ilvl="0" w:tentative="0">
      <w:start w:val="6"/>
      <w:numFmt w:val="decimal"/>
      <w:lvlText w:val="%1"/>
      <w:lvlJc w:val="left"/>
      <w:pPr>
        <w:ind w:left="528" w:hanging="423"/>
        <w:jc w:val="left"/>
      </w:pPr>
      <w:rPr>
        <w:rFonts w:hint="default"/>
        <w:lang w:val="zh-CN" w:eastAsia="zh-CN" w:bidi="zh-CN"/>
      </w:rPr>
    </w:lvl>
    <w:lvl w:ilvl="1" w:tentative="0">
      <w:start w:val="2"/>
      <w:numFmt w:val="decimal"/>
      <w:lvlText w:val="%1.%2"/>
      <w:lvlJc w:val="left"/>
      <w:pPr>
        <w:ind w:left="528" w:hanging="423"/>
        <w:jc w:val="left"/>
      </w:pPr>
      <w:rPr>
        <w:rFonts w:hint="default" w:ascii="Times New Roman" w:hAnsi="Times New Roman" w:eastAsia="Times New Roman" w:cs="Times New Roman"/>
        <w:b/>
        <w:bCs/>
        <w:w w:val="99"/>
        <w:sz w:val="28"/>
        <w:szCs w:val="28"/>
        <w:lang w:val="zh-CN" w:eastAsia="zh-CN" w:bidi="zh-CN"/>
      </w:rPr>
    </w:lvl>
    <w:lvl w:ilvl="2" w:tentative="0">
      <w:start w:val="1"/>
      <w:numFmt w:val="decimal"/>
      <w:lvlText w:val="%3）"/>
      <w:lvlJc w:val="left"/>
      <w:pPr>
        <w:ind w:left="946" w:hanging="36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92" w:hanging="361"/>
      </w:pPr>
      <w:rPr>
        <w:rFonts w:hint="default"/>
        <w:lang w:val="zh-CN" w:eastAsia="zh-CN" w:bidi="zh-CN"/>
      </w:rPr>
    </w:lvl>
    <w:lvl w:ilvl="4" w:tentative="0">
      <w:start w:val="0"/>
      <w:numFmt w:val="bullet"/>
      <w:lvlText w:val="•"/>
      <w:lvlJc w:val="left"/>
      <w:pPr>
        <w:ind w:left="3718" w:hanging="361"/>
      </w:pPr>
      <w:rPr>
        <w:rFonts w:hint="default"/>
        <w:lang w:val="zh-CN" w:eastAsia="zh-CN" w:bidi="zh-CN"/>
      </w:rPr>
    </w:lvl>
    <w:lvl w:ilvl="5" w:tentative="0">
      <w:start w:val="0"/>
      <w:numFmt w:val="bullet"/>
      <w:lvlText w:val="•"/>
      <w:lvlJc w:val="left"/>
      <w:pPr>
        <w:ind w:left="4644" w:hanging="361"/>
      </w:pPr>
      <w:rPr>
        <w:rFonts w:hint="default"/>
        <w:lang w:val="zh-CN" w:eastAsia="zh-CN" w:bidi="zh-CN"/>
      </w:rPr>
    </w:lvl>
    <w:lvl w:ilvl="6" w:tentative="0">
      <w:start w:val="0"/>
      <w:numFmt w:val="bullet"/>
      <w:lvlText w:val="•"/>
      <w:lvlJc w:val="left"/>
      <w:pPr>
        <w:ind w:left="5571" w:hanging="361"/>
      </w:pPr>
      <w:rPr>
        <w:rFonts w:hint="default"/>
        <w:lang w:val="zh-CN" w:eastAsia="zh-CN" w:bidi="zh-CN"/>
      </w:rPr>
    </w:lvl>
    <w:lvl w:ilvl="7" w:tentative="0">
      <w:start w:val="0"/>
      <w:numFmt w:val="bullet"/>
      <w:lvlText w:val="•"/>
      <w:lvlJc w:val="left"/>
      <w:pPr>
        <w:ind w:left="6497" w:hanging="361"/>
      </w:pPr>
      <w:rPr>
        <w:rFonts w:hint="default"/>
        <w:lang w:val="zh-CN" w:eastAsia="zh-CN" w:bidi="zh-CN"/>
      </w:rPr>
    </w:lvl>
    <w:lvl w:ilvl="8" w:tentative="0">
      <w:start w:val="0"/>
      <w:numFmt w:val="bullet"/>
      <w:lvlText w:val="•"/>
      <w:lvlJc w:val="left"/>
      <w:pPr>
        <w:ind w:left="7423" w:hanging="361"/>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135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86" w:hanging="601"/>
      </w:pPr>
      <w:rPr>
        <w:rFonts w:hint="default"/>
        <w:lang w:val="zh-CN" w:eastAsia="zh-CN" w:bidi="zh-CN"/>
      </w:rPr>
    </w:lvl>
    <w:lvl w:ilvl="2" w:tentative="0">
      <w:start w:val="0"/>
      <w:numFmt w:val="bullet"/>
      <w:lvlText w:val="•"/>
      <w:lvlJc w:val="left"/>
      <w:pPr>
        <w:ind w:left="3013" w:hanging="601"/>
      </w:pPr>
      <w:rPr>
        <w:rFonts w:hint="default"/>
        <w:lang w:val="zh-CN" w:eastAsia="zh-CN" w:bidi="zh-CN"/>
      </w:rPr>
    </w:lvl>
    <w:lvl w:ilvl="3" w:tentative="0">
      <w:start w:val="0"/>
      <w:numFmt w:val="bullet"/>
      <w:lvlText w:val="•"/>
      <w:lvlJc w:val="left"/>
      <w:pPr>
        <w:ind w:left="3839" w:hanging="601"/>
      </w:pPr>
      <w:rPr>
        <w:rFonts w:hint="default"/>
        <w:lang w:val="zh-CN" w:eastAsia="zh-CN" w:bidi="zh-CN"/>
      </w:rPr>
    </w:lvl>
    <w:lvl w:ilvl="4" w:tentative="0">
      <w:start w:val="0"/>
      <w:numFmt w:val="bullet"/>
      <w:lvlText w:val="•"/>
      <w:lvlJc w:val="left"/>
      <w:pPr>
        <w:ind w:left="4666"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319" w:hanging="601"/>
      </w:pPr>
      <w:rPr>
        <w:rFonts w:hint="default"/>
        <w:lang w:val="zh-CN" w:eastAsia="zh-CN" w:bidi="zh-CN"/>
      </w:rPr>
    </w:lvl>
    <w:lvl w:ilvl="7" w:tentative="0">
      <w:start w:val="0"/>
      <w:numFmt w:val="bullet"/>
      <w:lvlText w:val="•"/>
      <w:lvlJc w:val="left"/>
      <w:pPr>
        <w:ind w:left="7146" w:hanging="601"/>
      </w:pPr>
      <w:rPr>
        <w:rFonts w:hint="default"/>
        <w:lang w:val="zh-CN" w:eastAsia="zh-CN" w:bidi="zh-CN"/>
      </w:rPr>
    </w:lvl>
    <w:lvl w:ilvl="8" w:tentative="0">
      <w:start w:val="0"/>
      <w:numFmt w:val="bullet"/>
      <w:lvlText w:val="•"/>
      <w:lvlJc w:val="left"/>
      <w:pPr>
        <w:ind w:left="7972" w:hanging="601"/>
      </w:pPr>
      <w:rPr>
        <w:rFonts w:hint="default"/>
        <w:lang w:val="zh-CN" w:eastAsia="zh-CN" w:bidi="zh-CN"/>
      </w:rPr>
    </w:lvl>
  </w:abstractNum>
  <w:abstractNum w:abstractNumId="11">
    <w:nsid w:val="5A241D34"/>
    <w:multiLevelType w:val="multilevel"/>
    <w:tmpl w:val="5A241D34"/>
    <w:lvl w:ilvl="0" w:tentative="0">
      <w:start w:val="7"/>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left"/>
      </w:pPr>
      <w:rPr>
        <w:rFonts w:hint="default" w:ascii="Times New Roman" w:hAnsi="Times New Roman" w:eastAsia="Times New Roman" w:cs="Times New Roman"/>
        <w:b/>
        <w:bCs/>
        <w:w w:val="99"/>
        <w:sz w:val="28"/>
        <w:szCs w:val="28"/>
        <w:lang w:val="zh-CN" w:eastAsia="zh-CN" w:bidi="zh-CN"/>
      </w:rPr>
    </w:lvl>
    <w:lvl w:ilvl="2" w:tentative="0">
      <w:start w:val="0"/>
      <w:numFmt w:val="bullet"/>
      <w:lvlText w:val="•"/>
      <w:lvlJc w:val="left"/>
      <w:pPr>
        <w:ind w:left="2485" w:hanging="423"/>
      </w:pPr>
      <w:rPr>
        <w:rFonts w:hint="default"/>
        <w:lang w:val="zh-CN" w:eastAsia="zh-CN" w:bidi="zh-CN"/>
      </w:rPr>
    </w:lvl>
    <w:lvl w:ilvl="3" w:tentative="0">
      <w:start w:val="0"/>
      <w:numFmt w:val="bullet"/>
      <w:lvlText w:val="•"/>
      <w:lvlJc w:val="left"/>
      <w:pPr>
        <w:ind w:left="3377" w:hanging="423"/>
      </w:pPr>
      <w:rPr>
        <w:rFonts w:hint="default"/>
        <w:lang w:val="zh-CN" w:eastAsia="zh-CN" w:bidi="zh-CN"/>
      </w:rPr>
    </w:lvl>
    <w:lvl w:ilvl="4" w:tentative="0">
      <w:start w:val="0"/>
      <w:numFmt w:val="bullet"/>
      <w:lvlText w:val="•"/>
      <w:lvlJc w:val="left"/>
      <w:pPr>
        <w:ind w:left="4270" w:hanging="423"/>
      </w:pPr>
      <w:rPr>
        <w:rFonts w:hint="default"/>
        <w:lang w:val="zh-CN" w:eastAsia="zh-CN" w:bidi="zh-CN"/>
      </w:rPr>
    </w:lvl>
    <w:lvl w:ilvl="5" w:tentative="0">
      <w:start w:val="0"/>
      <w:numFmt w:val="bullet"/>
      <w:lvlText w:val="•"/>
      <w:lvlJc w:val="left"/>
      <w:pPr>
        <w:ind w:left="5163" w:hanging="423"/>
      </w:pPr>
      <w:rPr>
        <w:rFonts w:hint="default"/>
        <w:lang w:val="zh-CN" w:eastAsia="zh-CN" w:bidi="zh-CN"/>
      </w:rPr>
    </w:lvl>
    <w:lvl w:ilvl="6" w:tentative="0">
      <w:start w:val="0"/>
      <w:numFmt w:val="bullet"/>
      <w:lvlText w:val="•"/>
      <w:lvlJc w:val="left"/>
      <w:pPr>
        <w:ind w:left="6055" w:hanging="423"/>
      </w:pPr>
      <w:rPr>
        <w:rFonts w:hint="default"/>
        <w:lang w:val="zh-CN" w:eastAsia="zh-CN" w:bidi="zh-CN"/>
      </w:rPr>
    </w:lvl>
    <w:lvl w:ilvl="7" w:tentative="0">
      <w:start w:val="0"/>
      <w:numFmt w:val="bullet"/>
      <w:lvlText w:val="•"/>
      <w:lvlJc w:val="left"/>
      <w:pPr>
        <w:ind w:left="6948" w:hanging="423"/>
      </w:pPr>
      <w:rPr>
        <w:rFonts w:hint="default"/>
        <w:lang w:val="zh-CN" w:eastAsia="zh-CN" w:bidi="zh-CN"/>
      </w:rPr>
    </w:lvl>
    <w:lvl w:ilvl="8" w:tentative="0">
      <w:start w:val="0"/>
      <w:numFmt w:val="bullet"/>
      <w:lvlText w:val="•"/>
      <w:lvlJc w:val="left"/>
      <w:pPr>
        <w:ind w:left="7840" w:hanging="423"/>
      </w:pPr>
      <w:rPr>
        <w:rFonts w:hint="default"/>
        <w:lang w:val="zh-CN" w:eastAsia="zh-CN" w:bidi="zh-CN"/>
      </w:rPr>
    </w:lvl>
  </w:abstractNum>
  <w:num w:numId="1">
    <w:abstractNumId w:val="6"/>
  </w:num>
  <w:num w:numId="2">
    <w:abstractNumId w:val="2"/>
  </w:num>
  <w:num w:numId="3">
    <w:abstractNumId w:val="5"/>
  </w:num>
  <w:num w:numId="4">
    <w:abstractNumId w:val="8"/>
  </w:num>
  <w:num w:numId="5">
    <w:abstractNumId w:val="3"/>
  </w:num>
  <w:num w:numId="6">
    <w:abstractNumId w:val="0"/>
  </w:num>
  <w:num w:numId="7">
    <w:abstractNumId w:val="7"/>
  </w:num>
  <w:num w:numId="8">
    <w:abstractNumId w:val="1"/>
  </w:num>
  <w:num w:numId="9">
    <w:abstractNumId w:val="9"/>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6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ZjM5M2FmNTBlYmZkZTU2MTk1ZDlhZWM5OWE2YjgifQ=="/>
  </w:docVars>
  <w:rsids>
    <w:rsidRoot w:val="6A8C6B19"/>
    <w:rsid w:val="00034320"/>
    <w:rsid w:val="00050C34"/>
    <w:rsid w:val="00056734"/>
    <w:rsid w:val="000657CA"/>
    <w:rsid w:val="00097837"/>
    <w:rsid w:val="000A4BED"/>
    <w:rsid w:val="000B2A65"/>
    <w:rsid w:val="000C04E8"/>
    <w:rsid w:val="000E1F98"/>
    <w:rsid w:val="000F7E86"/>
    <w:rsid w:val="0010718E"/>
    <w:rsid w:val="0012160E"/>
    <w:rsid w:val="00121DFF"/>
    <w:rsid w:val="001234D6"/>
    <w:rsid w:val="00124F9C"/>
    <w:rsid w:val="0012584F"/>
    <w:rsid w:val="001575F9"/>
    <w:rsid w:val="001731EF"/>
    <w:rsid w:val="00194FA9"/>
    <w:rsid w:val="001B3AD0"/>
    <w:rsid w:val="001E0AA8"/>
    <w:rsid w:val="00224259"/>
    <w:rsid w:val="0023432C"/>
    <w:rsid w:val="00264C4C"/>
    <w:rsid w:val="00281054"/>
    <w:rsid w:val="002C32A5"/>
    <w:rsid w:val="002D40AB"/>
    <w:rsid w:val="002E384F"/>
    <w:rsid w:val="003004A2"/>
    <w:rsid w:val="00303AD2"/>
    <w:rsid w:val="00340315"/>
    <w:rsid w:val="00346FA2"/>
    <w:rsid w:val="00353ABB"/>
    <w:rsid w:val="0036026E"/>
    <w:rsid w:val="003629BC"/>
    <w:rsid w:val="003669B5"/>
    <w:rsid w:val="00370B63"/>
    <w:rsid w:val="00391130"/>
    <w:rsid w:val="003C40C3"/>
    <w:rsid w:val="003D3DF3"/>
    <w:rsid w:val="003E1A15"/>
    <w:rsid w:val="003F34BB"/>
    <w:rsid w:val="004246F1"/>
    <w:rsid w:val="0042794A"/>
    <w:rsid w:val="00433220"/>
    <w:rsid w:val="00454318"/>
    <w:rsid w:val="004A6743"/>
    <w:rsid w:val="004B3225"/>
    <w:rsid w:val="004B39E5"/>
    <w:rsid w:val="004C4627"/>
    <w:rsid w:val="004D3F74"/>
    <w:rsid w:val="004D74DD"/>
    <w:rsid w:val="004E7D2D"/>
    <w:rsid w:val="004F1C50"/>
    <w:rsid w:val="004F3DB5"/>
    <w:rsid w:val="005011CB"/>
    <w:rsid w:val="00541CAE"/>
    <w:rsid w:val="00576F25"/>
    <w:rsid w:val="005A5C85"/>
    <w:rsid w:val="005B68C8"/>
    <w:rsid w:val="005C1D8B"/>
    <w:rsid w:val="005F4A1A"/>
    <w:rsid w:val="005F7033"/>
    <w:rsid w:val="006068B4"/>
    <w:rsid w:val="0061251C"/>
    <w:rsid w:val="00624BC0"/>
    <w:rsid w:val="00635ED8"/>
    <w:rsid w:val="00660205"/>
    <w:rsid w:val="00670C3D"/>
    <w:rsid w:val="00670DB8"/>
    <w:rsid w:val="006763FE"/>
    <w:rsid w:val="0068092B"/>
    <w:rsid w:val="00685C67"/>
    <w:rsid w:val="00687F85"/>
    <w:rsid w:val="006A330D"/>
    <w:rsid w:val="006B2B67"/>
    <w:rsid w:val="006F2C9B"/>
    <w:rsid w:val="00712749"/>
    <w:rsid w:val="00713794"/>
    <w:rsid w:val="00715B2C"/>
    <w:rsid w:val="007855CB"/>
    <w:rsid w:val="00787D7C"/>
    <w:rsid w:val="007B778B"/>
    <w:rsid w:val="007C3BBD"/>
    <w:rsid w:val="007C3D92"/>
    <w:rsid w:val="007D1742"/>
    <w:rsid w:val="007D3984"/>
    <w:rsid w:val="007E3501"/>
    <w:rsid w:val="007F58B5"/>
    <w:rsid w:val="00825CF5"/>
    <w:rsid w:val="00843A0E"/>
    <w:rsid w:val="00850570"/>
    <w:rsid w:val="00885FBD"/>
    <w:rsid w:val="0089454D"/>
    <w:rsid w:val="00894696"/>
    <w:rsid w:val="008A0A71"/>
    <w:rsid w:val="008B10EF"/>
    <w:rsid w:val="008E0E51"/>
    <w:rsid w:val="008E6CD4"/>
    <w:rsid w:val="008E75EF"/>
    <w:rsid w:val="009366C1"/>
    <w:rsid w:val="00937388"/>
    <w:rsid w:val="00946150"/>
    <w:rsid w:val="00985279"/>
    <w:rsid w:val="009C2510"/>
    <w:rsid w:val="009F4475"/>
    <w:rsid w:val="00A25548"/>
    <w:rsid w:val="00A34D4C"/>
    <w:rsid w:val="00A4098F"/>
    <w:rsid w:val="00A533E3"/>
    <w:rsid w:val="00A80172"/>
    <w:rsid w:val="00A94B7D"/>
    <w:rsid w:val="00AC44B5"/>
    <w:rsid w:val="00AC705A"/>
    <w:rsid w:val="00AD343E"/>
    <w:rsid w:val="00AD66E8"/>
    <w:rsid w:val="00B14654"/>
    <w:rsid w:val="00B14E37"/>
    <w:rsid w:val="00B35FA6"/>
    <w:rsid w:val="00B46396"/>
    <w:rsid w:val="00B51644"/>
    <w:rsid w:val="00B64ADC"/>
    <w:rsid w:val="00B70569"/>
    <w:rsid w:val="00B7473B"/>
    <w:rsid w:val="00B85EC4"/>
    <w:rsid w:val="00B868DC"/>
    <w:rsid w:val="00B9549C"/>
    <w:rsid w:val="00BB01A2"/>
    <w:rsid w:val="00BB1405"/>
    <w:rsid w:val="00BB2029"/>
    <w:rsid w:val="00BB7100"/>
    <w:rsid w:val="00BD2570"/>
    <w:rsid w:val="00BE08E1"/>
    <w:rsid w:val="00BE723F"/>
    <w:rsid w:val="00C2272F"/>
    <w:rsid w:val="00C22BDC"/>
    <w:rsid w:val="00C47C5B"/>
    <w:rsid w:val="00C7130D"/>
    <w:rsid w:val="00C85052"/>
    <w:rsid w:val="00CB59A6"/>
    <w:rsid w:val="00CC27AA"/>
    <w:rsid w:val="00CC3467"/>
    <w:rsid w:val="00CD0FF7"/>
    <w:rsid w:val="00CD59AE"/>
    <w:rsid w:val="00D038B6"/>
    <w:rsid w:val="00D110B1"/>
    <w:rsid w:val="00D21D16"/>
    <w:rsid w:val="00D34F3D"/>
    <w:rsid w:val="00D904EC"/>
    <w:rsid w:val="00D90914"/>
    <w:rsid w:val="00D91C72"/>
    <w:rsid w:val="00DA4FE6"/>
    <w:rsid w:val="00DB003E"/>
    <w:rsid w:val="00DB4AB8"/>
    <w:rsid w:val="00DB6B83"/>
    <w:rsid w:val="00DC11FA"/>
    <w:rsid w:val="00DD49DE"/>
    <w:rsid w:val="00DE1FA5"/>
    <w:rsid w:val="00DF2A94"/>
    <w:rsid w:val="00E04CFA"/>
    <w:rsid w:val="00E04E50"/>
    <w:rsid w:val="00E31C44"/>
    <w:rsid w:val="00E47B20"/>
    <w:rsid w:val="00E541E8"/>
    <w:rsid w:val="00E761D3"/>
    <w:rsid w:val="00E85679"/>
    <w:rsid w:val="00EC33CC"/>
    <w:rsid w:val="00EE10BD"/>
    <w:rsid w:val="00EE22B2"/>
    <w:rsid w:val="00EE4AD3"/>
    <w:rsid w:val="00EE797F"/>
    <w:rsid w:val="00EF0B0F"/>
    <w:rsid w:val="00EF47DC"/>
    <w:rsid w:val="00F03557"/>
    <w:rsid w:val="00F062CD"/>
    <w:rsid w:val="00F1339B"/>
    <w:rsid w:val="00F20A61"/>
    <w:rsid w:val="00F531EC"/>
    <w:rsid w:val="00F631E2"/>
    <w:rsid w:val="00F80BA1"/>
    <w:rsid w:val="00F811B2"/>
    <w:rsid w:val="00F855A1"/>
    <w:rsid w:val="00F96BB0"/>
    <w:rsid w:val="00FD2C47"/>
    <w:rsid w:val="00FD3858"/>
    <w:rsid w:val="00FD6645"/>
    <w:rsid w:val="00FF10D6"/>
    <w:rsid w:val="00FF2D10"/>
    <w:rsid w:val="00FF727F"/>
    <w:rsid w:val="01331C81"/>
    <w:rsid w:val="01526522"/>
    <w:rsid w:val="01CF6C4A"/>
    <w:rsid w:val="01E8034C"/>
    <w:rsid w:val="024708C4"/>
    <w:rsid w:val="027D11F8"/>
    <w:rsid w:val="02A47C12"/>
    <w:rsid w:val="031156D4"/>
    <w:rsid w:val="032A2CC5"/>
    <w:rsid w:val="0339727C"/>
    <w:rsid w:val="035B78A4"/>
    <w:rsid w:val="039303A1"/>
    <w:rsid w:val="03B66DBB"/>
    <w:rsid w:val="03C95D69"/>
    <w:rsid w:val="03F630F7"/>
    <w:rsid w:val="03F64C51"/>
    <w:rsid w:val="042571A6"/>
    <w:rsid w:val="04371C26"/>
    <w:rsid w:val="045F748A"/>
    <w:rsid w:val="046D1B5D"/>
    <w:rsid w:val="04731F39"/>
    <w:rsid w:val="048A17F8"/>
    <w:rsid w:val="04905B8A"/>
    <w:rsid w:val="04B916B8"/>
    <w:rsid w:val="04CD36FF"/>
    <w:rsid w:val="04F119E5"/>
    <w:rsid w:val="04F23C64"/>
    <w:rsid w:val="04F94195"/>
    <w:rsid w:val="0590764F"/>
    <w:rsid w:val="05A23342"/>
    <w:rsid w:val="05A743C6"/>
    <w:rsid w:val="05B54982"/>
    <w:rsid w:val="0627031F"/>
    <w:rsid w:val="0667369C"/>
    <w:rsid w:val="06B268E6"/>
    <w:rsid w:val="06B72CC9"/>
    <w:rsid w:val="06F47F3C"/>
    <w:rsid w:val="07765EBE"/>
    <w:rsid w:val="07A77539"/>
    <w:rsid w:val="07CA6357"/>
    <w:rsid w:val="08021DBF"/>
    <w:rsid w:val="080268EB"/>
    <w:rsid w:val="08275F0C"/>
    <w:rsid w:val="083A0718"/>
    <w:rsid w:val="08560F6B"/>
    <w:rsid w:val="08853A17"/>
    <w:rsid w:val="089433F0"/>
    <w:rsid w:val="08E832F6"/>
    <w:rsid w:val="08ED5089"/>
    <w:rsid w:val="091374D3"/>
    <w:rsid w:val="092B5DEE"/>
    <w:rsid w:val="096A2B9D"/>
    <w:rsid w:val="0983556A"/>
    <w:rsid w:val="09D05346"/>
    <w:rsid w:val="09DB240D"/>
    <w:rsid w:val="09E36E59"/>
    <w:rsid w:val="0A187E23"/>
    <w:rsid w:val="0A271715"/>
    <w:rsid w:val="0A7F27E3"/>
    <w:rsid w:val="0A9E7496"/>
    <w:rsid w:val="0B7D7164"/>
    <w:rsid w:val="0B9608C0"/>
    <w:rsid w:val="0BA56B58"/>
    <w:rsid w:val="0BAE38DD"/>
    <w:rsid w:val="0BBE3187"/>
    <w:rsid w:val="0BC47B0A"/>
    <w:rsid w:val="0C1050D5"/>
    <w:rsid w:val="0C426263"/>
    <w:rsid w:val="0C6A437E"/>
    <w:rsid w:val="0C8239E2"/>
    <w:rsid w:val="0CA86BB6"/>
    <w:rsid w:val="0CBD481A"/>
    <w:rsid w:val="0DA71941"/>
    <w:rsid w:val="0DD13F4A"/>
    <w:rsid w:val="0DE4177D"/>
    <w:rsid w:val="0DF21979"/>
    <w:rsid w:val="0EB46C19"/>
    <w:rsid w:val="0EBB009A"/>
    <w:rsid w:val="0F5F0BE0"/>
    <w:rsid w:val="0F8B0743"/>
    <w:rsid w:val="0FC92BCC"/>
    <w:rsid w:val="0FE1712C"/>
    <w:rsid w:val="103F0874"/>
    <w:rsid w:val="10416587"/>
    <w:rsid w:val="10750CA0"/>
    <w:rsid w:val="109072EA"/>
    <w:rsid w:val="1171758C"/>
    <w:rsid w:val="11D24132"/>
    <w:rsid w:val="11F74600"/>
    <w:rsid w:val="12053B00"/>
    <w:rsid w:val="12226FFD"/>
    <w:rsid w:val="127C2AC4"/>
    <w:rsid w:val="12AD4026"/>
    <w:rsid w:val="130D16DD"/>
    <w:rsid w:val="132D011C"/>
    <w:rsid w:val="13395BF1"/>
    <w:rsid w:val="133F3A40"/>
    <w:rsid w:val="13456CBD"/>
    <w:rsid w:val="134D675D"/>
    <w:rsid w:val="135A3FB5"/>
    <w:rsid w:val="13661ADB"/>
    <w:rsid w:val="13814C45"/>
    <w:rsid w:val="13AE7D2D"/>
    <w:rsid w:val="13D65EA0"/>
    <w:rsid w:val="14056C1F"/>
    <w:rsid w:val="14183FD9"/>
    <w:rsid w:val="142E1332"/>
    <w:rsid w:val="144D67C7"/>
    <w:rsid w:val="14C37AA1"/>
    <w:rsid w:val="150A70C4"/>
    <w:rsid w:val="152D3536"/>
    <w:rsid w:val="157271EC"/>
    <w:rsid w:val="15967861"/>
    <w:rsid w:val="15BB7B15"/>
    <w:rsid w:val="15E57B99"/>
    <w:rsid w:val="16046724"/>
    <w:rsid w:val="168141CE"/>
    <w:rsid w:val="168A3200"/>
    <w:rsid w:val="17367F15"/>
    <w:rsid w:val="176B165F"/>
    <w:rsid w:val="179E2CFE"/>
    <w:rsid w:val="17B17961"/>
    <w:rsid w:val="180238A1"/>
    <w:rsid w:val="186E1F1C"/>
    <w:rsid w:val="190265CA"/>
    <w:rsid w:val="19B972D0"/>
    <w:rsid w:val="19C604C4"/>
    <w:rsid w:val="19EB1173"/>
    <w:rsid w:val="1A0103F5"/>
    <w:rsid w:val="1A4C6BF6"/>
    <w:rsid w:val="1AAB5F7A"/>
    <w:rsid w:val="1AFC4CEC"/>
    <w:rsid w:val="1B0A4371"/>
    <w:rsid w:val="1B233F15"/>
    <w:rsid w:val="1B7455B7"/>
    <w:rsid w:val="1BB10CAF"/>
    <w:rsid w:val="1BF76289"/>
    <w:rsid w:val="1C114030"/>
    <w:rsid w:val="1C8D3F32"/>
    <w:rsid w:val="1CB26044"/>
    <w:rsid w:val="1CE96EA4"/>
    <w:rsid w:val="1D080412"/>
    <w:rsid w:val="1D08086F"/>
    <w:rsid w:val="1D2A1171"/>
    <w:rsid w:val="1D632114"/>
    <w:rsid w:val="1D6A023C"/>
    <w:rsid w:val="1D9803AF"/>
    <w:rsid w:val="1DC679C1"/>
    <w:rsid w:val="1DD9126D"/>
    <w:rsid w:val="1E3D2F4F"/>
    <w:rsid w:val="1E817713"/>
    <w:rsid w:val="1E8B51F6"/>
    <w:rsid w:val="1E9013B4"/>
    <w:rsid w:val="1E901AAD"/>
    <w:rsid w:val="1EBC290B"/>
    <w:rsid w:val="1EC35CFA"/>
    <w:rsid w:val="1ECD3794"/>
    <w:rsid w:val="1ECF54EC"/>
    <w:rsid w:val="1ED81D36"/>
    <w:rsid w:val="1F1B2467"/>
    <w:rsid w:val="1F62201B"/>
    <w:rsid w:val="1F7F237F"/>
    <w:rsid w:val="1FC532EB"/>
    <w:rsid w:val="1FE33E45"/>
    <w:rsid w:val="1FEA05A2"/>
    <w:rsid w:val="2010676A"/>
    <w:rsid w:val="208F2033"/>
    <w:rsid w:val="20E06834"/>
    <w:rsid w:val="20F86365"/>
    <w:rsid w:val="21316CAE"/>
    <w:rsid w:val="2246299A"/>
    <w:rsid w:val="22583A06"/>
    <w:rsid w:val="22721464"/>
    <w:rsid w:val="227B7A91"/>
    <w:rsid w:val="22AF0805"/>
    <w:rsid w:val="237D201D"/>
    <w:rsid w:val="23AA6AFD"/>
    <w:rsid w:val="23DB6515"/>
    <w:rsid w:val="23E82294"/>
    <w:rsid w:val="23EC24BE"/>
    <w:rsid w:val="241528AD"/>
    <w:rsid w:val="24582AAB"/>
    <w:rsid w:val="245918E6"/>
    <w:rsid w:val="2481344E"/>
    <w:rsid w:val="24C23F96"/>
    <w:rsid w:val="24CE5ADE"/>
    <w:rsid w:val="252466B1"/>
    <w:rsid w:val="25381017"/>
    <w:rsid w:val="25421AFB"/>
    <w:rsid w:val="257D5A30"/>
    <w:rsid w:val="258B26CE"/>
    <w:rsid w:val="25B413A7"/>
    <w:rsid w:val="25D93676"/>
    <w:rsid w:val="25E65AEA"/>
    <w:rsid w:val="25FA4B70"/>
    <w:rsid w:val="267E3E43"/>
    <w:rsid w:val="26920D65"/>
    <w:rsid w:val="26AB313E"/>
    <w:rsid w:val="26CF55A5"/>
    <w:rsid w:val="273A1A95"/>
    <w:rsid w:val="276C7FA4"/>
    <w:rsid w:val="27C53483"/>
    <w:rsid w:val="27F357C2"/>
    <w:rsid w:val="27F9396B"/>
    <w:rsid w:val="288275CD"/>
    <w:rsid w:val="289D232A"/>
    <w:rsid w:val="291B225C"/>
    <w:rsid w:val="294A3B5B"/>
    <w:rsid w:val="29772727"/>
    <w:rsid w:val="297A029F"/>
    <w:rsid w:val="29AF6635"/>
    <w:rsid w:val="2A6D114D"/>
    <w:rsid w:val="2AA64AFB"/>
    <w:rsid w:val="2ACD0D36"/>
    <w:rsid w:val="2ADC20EA"/>
    <w:rsid w:val="2B2A34B0"/>
    <w:rsid w:val="2B4816C1"/>
    <w:rsid w:val="2C54363D"/>
    <w:rsid w:val="2C560423"/>
    <w:rsid w:val="2C6608B2"/>
    <w:rsid w:val="2C6E04FD"/>
    <w:rsid w:val="2C8F6E47"/>
    <w:rsid w:val="2C9A0EE3"/>
    <w:rsid w:val="2CDE04A7"/>
    <w:rsid w:val="2D013A1E"/>
    <w:rsid w:val="2D194BC2"/>
    <w:rsid w:val="2D2813E7"/>
    <w:rsid w:val="2D4A3D6A"/>
    <w:rsid w:val="2D613AE4"/>
    <w:rsid w:val="2DCC0829"/>
    <w:rsid w:val="2DEB30E2"/>
    <w:rsid w:val="2E6E12C8"/>
    <w:rsid w:val="2E7B77B3"/>
    <w:rsid w:val="2E945A61"/>
    <w:rsid w:val="2E977E6D"/>
    <w:rsid w:val="2EB15ED7"/>
    <w:rsid w:val="2F9972E0"/>
    <w:rsid w:val="2FA02041"/>
    <w:rsid w:val="2FB1533B"/>
    <w:rsid w:val="300476C7"/>
    <w:rsid w:val="30263A95"/>
    <w:rsid w:val="30273F20"/>
    <w:rsid w:val="30565D21"/>
    <w:rsid w:val="30584E05"/>
    <w:rsid w:val="306F244D"/>
    <w:rsid w:val="30A1459E"/>
    <w:rsid w:val="30EA335D"/>
    <w:rsid w:val="311C08A9"/>
    <w:rsid w:val="311E17FA"/>
    <w:rsid w:val="312F3BE1"/>
    <w:rsid w:val="31BF2BE0"/>
    <w:rsid w:val="31EB7BC6"/>
    <w:rsid w:val="320D6599"/>
    <w:rsid w:val="32514FC3"/>
    <w:rsid w:val="32814A12"/>
    <w:rsid w:val="32DF7AF0"/>
    <w:rsid w:val="32E35080"/>
    <w:rsid w:val="32FC6DFD"/>
    <w:rsid w:val="332F4419"/>
    <w:rsid w:val="339521A4"/>
    <w:rsid w:val="33C37581"/>
    <w:rsid w:val="33C453CA"/>
    <w:rsid w:val="33FA42B7"/>
    <w:rsid w:val="340236BB"/>
    <w:rsid w:val="34A55824"/>
    <w:rsid w:val="34A55FD1"/>
    <w:rsid w:val="34D8279F"/>
    <w:rsid w:val="35060910"/>
    <w:rsid w:val="358B5653"/>
    <w:rsid w:val="35BF4F60"/>
    <w:rsid w:val="35E50231"/>
    <w:rsid w:val="36047784"/>
    <w:rsid w:val="36A111CF"/>
    <w:rsid w:val="36E566E0"/>
    <w:rsid w:val="36F971B1"/>
    <w:rsid w:val="373B6AF8"/>
    <w:rsid w:val="37627E58"/>
    <w:rsid w:val="37EF7D82"/>
    <w:rsid w:val="37F662C9"/>
    <w:rsid w:val="38B5309B"/>
    <w:rsid w:val="38C834F0"/>
    <w:rsid w:val="38E6506B"/>
    <w:rsid w:val="392F00D9"/>
    <w:rsid w:val="39AE3CFE"/>
    <w:rsid w:val="39FC639A"/>
    <w:rsid w:val="3A111F1C"/>
    <w:rsid w:val="3AC86342"/>
    <w:rsid w:val="3B375E37"/>
    <w:rsid w:val="3B3F348C"/>
    <w:rsid w:val="3B4130A6"/>
    <w:rsid w:val="3B5D442F"/>
    <w:rsid w:val="3B8636FC"/>
    <w:rsid w:val="3BD760D5"/>
    <w:rsid w:val="3BFA7896"/>
    <w:rsid w:val="3C0F6D83"/>
    <w:rsid w:val="3C1F3AC1"/>
    <w:rsid w:val="3C794E0D"/>
    <w:rsid w:val="3C9B240F"/>
    <w:rsid w:val="3CA109F6"/>
    <w:rsid w:val="3CD820AD"/>
    <w:rsid w:val="3CF64299"/>
    <w:rsid w:val="3D166C28"/>
    <w:rsid w:val="3D191EBD"/>
    <w:rsid w:val="3D3C0E60"/>
    <w:rsid w:val="3D690DCA"/>
    <w:rsid w:val="3D744A85"/>
    <w:rsid w:val="3DA0429D"/>
    <w:rsid w:val="3DA351F2"/>
    <w:rsid w:val="3DB66C5D"/>
    <w:rsid w:val="3DCF5EB9"/>
    <w:rsid w:val="3DEA3FE0"/>
    <w:rsid w:val="3ECD79B3"/>
    <w:rsid w:val="3F157615"/>
    <w:rsid w:val="3F383F9C"/>
    <w:rsid w:val="3F4B550C"/>
    <w:rsid w:val="3F506CC9"/>
    <w:rsid w:val="3F5964F8"/>
    <w:rsid w:val="3F740E51"/>
    <w:rsid w:val="3F7C77CB"/>
    <w:rsid w:val="3F9A4B2C"/>
    <w:rsid w:val="3FBA06F6"/>
    <w:rsid w:val="40343D71"/>
    <w:rsid w:val="404C382A"/>
    <w:rsid w:val="406F19D7"/>
    <w:rsid w:val="40FE3EF6"/>
    <w:rsid w:val="412610EA"/>
    <w:rsid w:val="4161544B"/>
    <w:rsid w:val="41697754"/>
    <w:rsid w:val="41A64BA4"/>
    <w:rsid w:val="41DA3187"/>
    <w:rsid w:val="41FF4BE4"/>
    <w:rsid w:val="422E62C2"/>
    <w:rsid w:val="425751D9"/>
    <w:rsid w:val="427C16A9"/>
    <w:rsid w:val="42AA3695"/>
    <w:rsid w:val="42F004F3"/>
    <w:rsid w:val="43422597"/>
    <w:rsid w:val="438E451F"/>
    <w:rsid w:val="43A63334"/>
    <w:rsid w:val="43A65A39"/>
    <w:rsid w:val="43E628F2"/>
    <w:rsid w:val="43EA755B"/>
    <w:rsid w:val="43EB7AFB"/>
    <w:rsid w:val="43F07E6B"/>
    <w:rsid w:val="43FB4D75"/>
    <w:rsid w:val="445361BF"/>
    <w:rsid w:val="4486770D"/>
    <w:rsid w:val="44BB1862"/>
    <w:rsid w:val="45141826"/>
    <w:rsid w:val="456E2D3D"/>
    <w:rsid w:val="46080D77"/>
    <w:rsid w:val="46154BC6"/>
    <w:rsid w:val="46765817"/>
    <w:rsid w:val="46B36F40"/>
    <w:rsid w:val="46B6476D"/>
    <w:rsid w:val="477471F7"/>
    <w:rsid w:val="478B5AFD"/>
    <w:rsid w:val="47E2067E"/>
    <w:rsid w:val="47ED0C36"/>
    <w:rsid w:val="47F83E7B"/>
    <w:rsid w:val="48313B85"/>
    <w:rsid w:val="48390B1D"/>
    <w:rsid w:val="488859FB"/>
    <w:rsid w:val="48A27529"/>
    <w:rsid w:val="48AF39D0"/>
    <w:rsid w:val="48C071CD"/>
    <w:rsid w:val="48C63718"/>
    <w:rsid w:val="48F43E99"/>
    <w:rsid w:val="48FA7EDF"/>
    <w:rsid w:val="49045D12"/>
    <w:rsid w:val="492072CA"/>
    <w:rsid w:val="49887FC1"/>
    <w:rsid w:val="49AA1E60"/>
    <w:rsid w:val="49B33F47"/>
    <w:rsid w:val="49BB4B10"/>
    <w:rsid w:val="49E14099"/>
    <w:rsid w:val="4A3161ED"/>
    <w:rsid w:val="4A4E6313"/>
    <w:rsid w:val="4AB84E72"/>
    <w:rsid w:val="4AC537B7"/>
    <w:rsid w:val="4AE97C1F"/>
    <w:rsid w:val="4B052AB6"/>
    <w:rsid w:val="4B235DE5"/>
    <w:rsid w:val="4B29263E"/>
    <w:rsid w:val="4B4F66EA"/>
    <w:rsid w:val="4BAC1C07"/>
    <w:rsid w:val="4BCD0EC1"/>
    <w:rsid w:val="4BEC36D6"/>
    <w:rsid w:val="4C260519"/>
    <w:rsid w:val="4C42103E"/>
    <w:rsid w:val="4C675BBA"/>
    <w:rsid w:val="4CC2308A"/>
    <w:rsid w:val="4CC8273D"/>
    <w:rsid w:val="4CCA42E5"/>
    <w:rsid w:val="4CE103A8"/>
    <w:rsid w:val="4D094286"/>
    <w:rsid w:val="4D415110"/>
    <w:rsid w:val="4D7712FD"/>
    <w:rsid w:val="4DD329E0"/>
    <w:rsid w:val="4DF025FC"/>
    <w:rsid w:val="4E0679D6"/>
    <w:rsid w:val="4E4101BE"/>
    <w:rsid w:val="4E481196"/>
    <w:rsid w:val="4E7D1B40"/>
    <w:rsid w:val="4E894E48"/>
    <w:rsid w:val="4EF131D3"/>
    <w:rsid w:val="4EF242C4"/>
    <w:rsid w:val="4EF54A41"/>
    <w:rsid w:val="4F066929"/>
    <w:rsid w:val="4F0D108F"/>
    <w:rsid w:val="4F152018"/>
    <w:rsid w:val="4F505DC7"/>
    <w:rsid w:val="4F68065C"/>
    <w:rsid w:val="4FBE33CD"/>
    <w:rsid w:val="4FD040A0"/>
    <w:rsid w:val="4FF9279F"/>
    <w:rsid w:val="501C6CBB"/>
    <w:rsid w:val="502830BF"/>
    <w:rsid w:val="503F087B"/>
    <w:rsid w:val="50440A3E"/>
    <w:rsid w:val="50450B9D"/>
    <w:rsid w:val="50630C74"/>
    <w:rsid w:val="50886B10"/>
    <w:rsid w:val="5184017C"/>
    <w:rsid w:val="51A95C89"/>
    <w:rsid w:val="520376A3"/>
    <w:rsid w:val="521D05AC"/>
    <w:rsid w:val="5230313E"/>
    <w:rsid w:val="52592377"/>
    <w:rsid w:val="525A32F0"/>
    <w:rsid w:val="52C60894"/>
    <w:rsid w:val="52CA3970"/>
    <w:rsid w:val="52E31529"/>
    <w:rsid w:val="5348325B"/>
    <w:rsid w:val="53B51C0C"/>
    <w:rsid w:val="541F7EF1"/>
    <w:rsid w:val="5543253F"/>
    <w:rsid w:val="55486203"/>
    <w:rsid w:val="55685505"/>
    <w:rsid w:val="557F4FEE"/>
    <w:rsid w:val="55AB575C"/>
    <w:rsid w:val="56012821"/>
    <w:rsid w:val="56286B6D"/>
    <w:rsid w:val="5646409D"/>
    <w:rsid w:val="565C44BC"/>
    <w:rsid w:val="569C79DB"/>
    <w:rsid w:val="569E194D"/>
    <w:rsid w:val="56B15DEB"/>
    <w:rsid w:val="56D114E7"/>
    <w:rsid w:val="56D76AC3"/>
    <w:rsid w:val="573B7734"/>
    <w:rsid w:val="57AA60A4"/>
    <w:rsid w:val="57B307B8"/>
    <w:rsid w:val="57FF7D01"/>
    <w:rsid w:val="58477D48"/>
    <w:rsid w:val="58607B3C"/>
    <w:rsid w:val="58994606"/>
    <w:rsid w:val="589E7E84"/>
    <w:rsid w:val="589F3000"/>
    <w:rsid w:val="58BD0C6F"/>
    <w:rsid w:val="58F66D60"/>
    <w:rsid w:val="59A044B9"/>
    <w:rsid w:val="59B634CD"/>
    <w:rsid w:val="5A107AF6"/>
    <w:rsid w:val="5A5B1AC2"/>
    <w:rsid w:val="5A670914"/>
    <w:rsid w:val="5A8B1203"/>
    <w:rsid w:val="5ACB320D"/>
    <w:rsid w:val="5AE2105E"/>
    <w:rsid w:val="5AFE69E6"/>
    <w:rsid w:val="5B126296"/>
    <w:rsid w:val="5B1749E2"/>
    <w:rsid w:val="5BAD4E9C"/>
    <w:rsid w:val="5BCE6206"/>
    <w:rsid w:val="5BD96904"/>
    <w:rsid w:val="5C3D7264"/>
    <w:rsid w:val="5C4559A2"/>
    <w:rsid w:val="5C795CCA"/>
    <w:rsid w:val="5C8752FC"/>
    <w:rsid w:val="5C910D46"/>
    <w:rsid w:val="5C930C12"/>
    <w:rsid w:val="5CC54BA8"/>
    <w:rsid w:val="5CC7715C"/>
    <w:rsid w:val="5CCF71B5"/>
    <w:rsid w:val="5CD11B9E"/>
    <w:rsid w:val="5CD20B2A"/>
    <w:rsid w:val="5D0E0843"/>
    <w:rsid w:val="5D131F93"/>
    <w:rsid w:val="5D1C4ADB"/>
    <w:rsid w:val="5D954237"/>
    <w:rsid w:val="5E100F81"/>
    <w:rsid w:val="5E4755BA"/>
    <w:rsid w:val="5E7B2C2D"/>
    <w:rsid w:val="5EC013F2"/>
    <w:rsid w:val="5F1B764F"/>
    <w:rsid w:val="5F1D30CA"/>
    <w:rsid w:val="5F9206A9"/>
    <w:rsid w:val="5FA026CC"/>
    <w:rsid w:val="5FBB673B"/>
    <w:rsid w:val="5FCD72AD"/>
    <w:rsid w:val="604C0C84"/>
    <w:rsid w:val="608B6A7B"/>
    <w:rsid w:val="60BB4FB2"/>
    <w:rsid w:val="60DF2BFB"/>
    <w:rsid w:val="60F30A64"/>
    <w:rsid w:val="61384A0A"/>
    <w:rsid w:val="61641086"/>
    <w:rsid w:val="616B793B"/>
    <w:rsid w:val="6184421F"/>
    <w:rsid w:val="61C01E1C"/>
    <w:rsid w:val="61C86CA3"/>
    <w:rsid w:val="61CF0E01"/>
    <w:rsid w:val="62116619"/>
    <w:rsid w:val="621970BF"/>
    <w:rsid w:val="62763D2F"/>
    <w:rsid w:val="62C01B71"/>
    <w:rsid w:val="62D228D0"/>
    <w:rsid w:val="62E56E06"/>
    <w:rsid w:val="62EB6259"/>
    <w:rsid w:val="62F32570"/>
    <w:rsid w:val="630617C4"/>
    <w:rsid w:val="630B6DE6"/>
    <w:rsid w:val="63141482"/>
    <w:rsid w:val="635E3F7F"/>
    <w:rsid w:val="63C23956"/>
    <w:rsid w:val="63EF27D4"/>
    <w:rsid w:val="63FB6077"/>
    <w:rsid w:val="646F579F"/>
    <w:rsid w:val="65433540"/>
    <w:rsid w:val="654D6439"/>
    <w:rsid w:val="655E54C2"/>
    <w:rsid w:val="65885141"/>
    <w:rsid w:val="65B35B99"/>
    <w:rsid w:val="65BB3C4B"/>
    <w:rsid w:val="660B335F"/>
    <w:rsid w:val="67032B17"/>
    <w:rsid w:val="67760B74"/>
    <w:rsid w:val="67D84A08"/>
    <w:rsid w:val="68063A92"/>
    <w:rsid w:val="683F1354"/>
    <w:rsid w:val="6866197D"/>
    <w:rsid w:val="68694F49"/>
    <w:rsid w:val="68C0224A"/>
    <w:rsid w:val="68C124DE"/>
    <w:rsid w:val="68DE1D98"/>
    <w:rsid w:val="68FE6154"/>
    <w:rsid w:val="69DD2B0E"/>
    <w:rsid w:val="69DF1DD3"/>
    <w:rsid w:val="69F05568"/>
    <w:rsid w:val="6A0F3B85"/>
    <w:rsid w:val="6A4D163E"/>
    <w:rsid w:val="6A8C6B19"/>
    <w:rsid w:val="6AF2373B"/>
    <w:rsid w:val="6B367A63"/>
    <w:rsid w:val="6B5871D6"/>
    <w:rsid w:val="6B6643D7"/>
    <w:rsid w:val="6BCB5EFA"/>
    <w:rsid w:val="6BDE06EC"/>
    <w:rsid w:val="6C144BF0"/>
    <w:rsid w:val="6C9304FE"/>
    <w:rsid w:val="6CA36525"/>
    <w:rsid w:val="6CD416A9"/>
    <w:rsid w:val="6CDF57DC"/>
    <w:rsid w:val="6E391797"/>
    <w:rsid w:val="6E513D4E"/>
    <w:rsid w:val="6E9B2131"/>
    <w:rsid w:val="6ED633CC"/>
    <w:rsid w:val="6EDD38DE"/>
    <w:rsid w:val="6EE57196"/>
    <w:rsid w:val="6EF66D91"/>
    <w:rsid w:val="6EFD3207"/>
    <w:rsid w:val="6F1748FB"/>
    <w:rsid w:val="6F2C03FD"/>
    <w:rsid w:val="6F4253F4"/>
    <w:rsid w:val="6F437AF8"/>
    <w:rsid w:val="6FBA2403"/>
    <w:rsid w:val="6FF44496"/>
    <w:rsid w:val="6FF80CBC"/>
    <w:rsid w:val="70183E19"/>
    <w:rsid w:val="702029A9"/>
    <w:rsid w:val="70461C2B"/>
    <w:rsid w:val="709B3F75"/>
    <w:rsid w:val="70C1488E"/>
    <w:rsid w:val="70D358B4"/>
    <w:rsid w:val="70D85F9B"/>
    <w:rsid w:val="70DB15B1"/>
    <w:rsid w:val="70E26CF1"/>
    <w:rsid w:val="70E93029"/>
    <w:rsid w:val="71467126"/>
    <w:rsid w:val="71CB3AC6"/>
    <w:rsid w:val="71F46ABC"/>
    <w:rsid w:val="71F672E5"/>
    <w:rsid w:val="72783FFE"/>
    <w:rsid w:val="729F2122"/>
    <w:rsid w:val="72D674C1"/>
    <w:rsid w:val="72EE5331"/>
    <w:rsid w:val="73D4169F"/>
    <w:rsid w:val="746B28A2"/>
    <w:rsid w:val="749964BF"/>
    <w:rsid w:val="749C05EB"/>
    <w:rsid w:val="74FB2290"/>
    <w:rsid w:val="75305C68"/>
    <w:rsid w:val="7554101F"/>
    <w:rsid w:val="75A45C2E"/>
    <w:rsid w:val="75C22EDB"/>
    <w:rsid w:val="75D01965"/>
    <w:rsid w:val="75E84C97"/>
    <w:rsid w:val="75EC47DD"/>
    <w:rsid w:val="76125E26"/>
    <w:rsid w:val="763C4EAA"/>
    <w:rsid w:val="763F4074"/>
    <w:rsid w:val="7697627D"/>
    <w:rsid w:val="76AC37F0"/>
    <w:rsid w:val="76C171CA"/>
    <w:rsid w:val="77095D26"/>
    <w:rsid w:val="773C5543"/>
    <w:rsid w:val="77680380"/>
    <w:rsid w:val="77C23E38"/>
    <w:rsid w:val="77C90159"/>
    <w:rsid w:val="77EA0D07"/>
    <w:rsid w:val="7831723E"/>
    <w:rsid w:val="78510525"/>
    <w:rsid w:val="78686336"/>
    <w:rsid w:val="788A3B42"/>
    <w:rsid w:val="78B2791D"/>
    <w:rsid w:val="78CF4594"/>
    <w:rsid w:val="78DD44DF"/>
    <w:rsid w:val="79393FA7"/>
    <w:rsid w:val="796857F0"/>
    <w:rsid w:val="79940979"/>
    <w:rsid w:val="79BE2EB7"/>
    <w:rsid w:val="79C94977"/>
    <w:rsid w:val="79FF10D8"/>
    <w:rsid w:val="7A064909"/>
    <w:rsid w:val="7A1B5018"/>
    <w:rsid w:val="7A2C1258"/>
    <w:rsid w:val="7AA96CD3"/>
    <w:rsid w:val="7ADD5F87"/>
    <w:rsid w:val="7B1D3565"/>
    <w:rsid w:val="7B6A08C6"/>
    <w:rsid w:val="7B6E672A"/>
    <w:rsid w:val="7B9A6366"/>
    <w:rsid w:val="7BEE18EF"/>
    <w:rsid w:val="7C3518B1"/>
    <w:rsid w:val="7C3B10D3"/>
    <w:rsid w:val="7C475D5D"/>
    <w:rsid w:val="7C6C4E03"/>
    <w:rsid w:val="7C746E51"/>
    <w:rsid w:val="7C976514"/>
    <w:rsid w:val="7CD30E81"/>
    <w:rsid w:val="7CF53687"/>
    <w:rsid w:val="7E024E93"/>
    <w:rsid w:val="7E3644BD"/>
    <w:rsid w:val="7E6E3701"/>
    <w:rsid w:val="7EAE7885"/>
    <w:rsid w:val="7EB10BA2"/>
    <w:rsid w:val="7EC01CB4"/>
    <w:rsid w:val="7ECB117E"/>
    <w:rsid w:val="7ED20A0D"/>
    <w:rsid w:val="7ED60F5E"/>
    <w:rsid w:val="7F0D0736"/>
    <w:rsid w:val="7F63424F"/>
    <w:rsid w:val="7FAC1137"/>
    <w:rsid w:val="7FEB7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Times New Roman" w:hAnsi="Times New Roman" w:eastAsia="宋体" w:cstheme="minorBidi"/>
      <w:sz w:val="24"/>
      <w:szCs w:val="22"/>
      <w:lang w:val="en-US" w:eastAsia="zh-CN" w:bidi="ar-SA"/>
    </w:rPr>
  </w:style>
  <w:style w:type="paragraph" w:styleId="2">
    <w:name w:val="heading 1"/>
    <w:basedOn w:val="1"/>
    <w:next w:val="1"/>
    <w:autoRedefine/>
    <w:qFormat/>
    <w:uiPriority w:val="9"/>
    <w:pPr>
      <w:keepNext/>
      <w:keepLines/>
      <w:tabs>
        <w:tab w:val="left" w:pos="371"/>
        <w:tab w:val="left" w:pos="432"/>
      </w:tabs>
      <w:spacing w:before="120"/>
      <w:jc w:val="center"/>
      <w:outlineLvl w:val="0"/>
    </w:pPr>
    <w:rPr>
      <w:rFonts w:ascii="黑体" w:hAnsi="黑体"/>
      <w:b/>
      <w:kern w:val="44"/>
      <w:sz w:val="32"/>
    </w:rPr>
  </w:style>
  <w:style w:type="paragraph" w:styleId="3">
    <w:name w:val="heading 2"/>
    <w:basedOn w:val="1"/>
    <w:next w:val="1"/>
    <w:autoRedefine/>
    <w:qFormat/>
    <w:uiPriority w:val="9"/>
    <w:pPr>
      <w:keepNext/>
      <w:keepLines/>
      <w:tabs>
        <w:tab w:val="left" w:pos="541"/>
        <w:tab w:val="left" w:pos="576"/>
      </w:tabs>
      <w:spacing w:before="120"/>
      <w:outlineLvl w:val="1"/>
    </w:pPr>
    <w:rPr>
      <w:b/>
      <w:sz w:val="28"/>
      <w:szCs w:val="26"/>
    </w:rPr>
  </w:style>
  <w:style w:type="paragraph" w:styleId="4">
    <w:name w:val="heading 3"/>
    <w:basedOn w:val="1"/>
    <w:next w:val="1"/>
    <w:autoRedefine/>
    <w:qFormat/>
    <w:uiPriority w:val="0"/>
    <w:pPr>
      <w:keepNext/>
      <w:keepLines/>
      <w:tabs>
        <w:tab w:val="left" w:pos="0"/>
        <w:tab w:val="left" w:pos="91"/>
        <w:tab w:val="left" w:pos="132"/>
        <w:tab w:val="left" w:pos="377"/>
        <w:tab w:val="left" w:pos="479"/>
        <w:tab w:val="left" w:pos="561"/>
        <w:tab w:val="left" w:pos="582"/>
        <w:tab w:val="left" w:pos="643"/>
      </w:tabs>
      <w:outlineLvl w:val="2"/>
    </w:pPr>
    <w:rPr>
      <w:b/>
      <w:szCs w:val="26"/>
    </w:rPr>
  </w:style>
  <w:style w:type="paragraph" w:styleId="5">
    <w:name w:val="heading 4"/>
    <w:basedOn w:val="1"/>
    <w:next w:val="1"/>
    <w:autoRedefine/>
    <w:qFormat/>
    <w:uiPriority w:val="0"/>
    <w:pPr>
      <w:keepNext/>
      <w:keepLines/>
      <w:numPr>
        <w:ilvl w:val="3"/>
        <w:numId w:val="1"/>
      </w:numPr>
      <w:spacing w:before="280" w:after="290" w:line="376" w:lineRule="atLeast"/>
      <w:textAlignment w:val="baseline"/>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next w:val="1"/>
    <w:autoRedefine/>
    <w:qFormat/>
    <w:uiPriority w:val="0"/>
    <w:pPr>
      <w:ind w:left="100" w:leftChars="400" w:hanging="200" w:hangingChars="200"/>
      <w:contextualSpacing/>
    </w:pPr>
    <w:rPr>
      <w:szCs w:val="24"/>
    </w:rPr>
  </w:style>
  <w:style w:type="paragraph" w:styleId="7">
    <w:name w:val="Normal Indent"/>
    <w:basedOn w:val="1"/>
    <w:next w:val="1"/>
    <w:autoRedefine/>
    <w:unhideWhenUsed/>
    <w:qFormat/>
    <w:uiPriority w:val="0"/>
    <w:pPr>
      <w:ind w:firstLine="420"/>
    </w:pPr>
    <w:rPr>
      <w:rFonts w:ascii="Calibri" w:hAnsi="Calibri"/>
    </w:rPr>
  </w:style>
  <w:style w:type="paragraph" w:styleId="8">
    <w:name w:val="annotation text"/>
    <w:basedOn w:val="1"/>
    <w:link w:val="51"/>
    <w:autoRedefine/>
    <w:qFormat/>
    <w:uiPriority w:val="0"/>
  </w:style>
  <w:style w:type="paragraph" w:styleId="9">
    <w:name w:val="Body Text"/>
    <w:basedOn w:val="1"/>
    <w:next w:val="10"/>
    <w:autoRedefine/>
    <w:qFormat/>
    <w:uiPriority w:val="0"/>
    <w:pPr>
      <w:spacing w:line="460" w:lineRule="atLeast"/>
      <w:outlineLvl w:val="0"/>
    </w:pPr>
    <w:rPr>
      <w:color w:val="000000"/>
    </w:rPr>
  </w:style>
  <w:style w:type="paragraph" w:styleId="10">
    <w:name w:val="List Bullet 5"/>
    <w:basedOn w:val="1"/>
    <w:uiPriority w:val="0"/>
    <w:pPr>
      <w:numPr>
        <w:ilvl w:val="0"/>
        <w:numId w:val="2"/>
      </w:numPr>
    </w:pPr>
  </w:style>
  <w:style w:type="paragraph" w:styleId="11">
    <w:name w:val="Body Text Indent"/>
    <w:basedOn w:val="1"/>
    <w:autoRedefine/>
    <w:qFormat/>
    <w:uiPriority w:val="0"/>
    <w:pPr>
      <w:ind w:firstLine="480"/>
    </w:pPr>
    <w:rPr>
      <w:rFonts w:ascii="楷体_GB2312" w:eastAsia="楷体_GB2312"/>
      <w:snapToGrid w:val="0"/>
      <w:sz w:val="28"/>
    </w:rPr>
  </w:style>
  <w:style w:type="paragraph" w:styleId="12">
    <w:name w:val="Block Text"/>
    <w:basedOn w:val="1"/>
    <w:autoRedefine/>
    <w:qFormat/>
    <w:uiPriority w:val="0"/>
    <w:pPr>
      <w:textAlignment w:val="baseline"/>
    </w:pPr>
    <w:rPr>
      <w:spacing w:val="-2"/>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rPr>
  </w:style>
  <w:style w:type="paragraph" w:styleId="15">
    <w:name w:val="Balloon Text"/>
    <w:basedOn w:val="1"/>
    <w:link w:val="53"/>
    <w:autoRedefine/>
    <w:qFormat/>
    <w:uiPriority w:val="0"/>
    <w:rPr>
      <w:sz w:val="18"/>
      <w:szCs w:val="18"/>
    </w:rPr>
  </w:style>
  <w:style w:type="paragraph" w:styleId="16">
    <w:name w:val="footer"/>
    <w:basedOn w:val="1"/>
    <w:autoRedefine/>
    <w:qFormat/>
    <w:uiPriority w:val="0"/>
    <w:pPr>
      <w:tabs>
        <w:tab w:val="center" w:pos="4153"/>
        <w:tab w:val="right" w:pos="8306"/>
      </w:tabs>
    </w:pPr>
    <w:rPr>
      <w:sz w:val="18"/>
      <w:szCs w:val="18"/>
    </w:rPr>
  </w:style>
  <w:style w:type="paragraph" w:styleId="17">
    <w:name w:val="header"/>
    <w:basedOn w:val="1"/>
    <w:autoRedefine/>
    <w:qFormat/>
    <w:uiPriority w:val="99"/>
    <w:pPr>
      <w:pBdr>
        <w:bottom w:val="single" w:color="auto" w:sz="6" w:space="1"/>
      </w:pBdr>
      <w:tabs>
        <w:tab w:val="center" w:pos="4153"/>
        <w:tab w:val="right" w:pos="8306"/>
      </w:tabs>
      <w:jc w:val="right"/>
    </w:pPr>
    <w:rPr>
      <w:rFonts w:hint="eastAsia" w:ascii="宋体" w:hAnsi="宋体" w:cs="宋体"/>
      <w:sz w:val="18"/>
      <w:szCs w:val="18"/>
    </w:rPr>
  </w:style>
  <w:style w:type="paragraph" w:styleId="18">
    <w:name w:val="toc 1"/>
    <w:basedOn w:val="1"/>
    <w:next w:val="1"/>
    <w:autoRedefine/>
    <w:qFormat/>
    <w:uiPriority w:val="39"/>
    <w:rPr>
      <w:rFonts w:ascii="黑体" w:hAnsi="黑体" w:eastAsia="黑体"/>
    </w:rPr>
  </w:style>
  <w:style w:type="paragraph" w:styleId="19">
    <w:name w:val="toc 2"/>
    <w:basedOn w:val="1"/>
    <w:next w:val="1"/>
    <w:autoRedefine/>
    <w:qFormat/>
    <w:uiPriority w:val="39"/>
    <w:pPr>
      <w:ind w:left="420" w:leftChars="200"/>
    </w:pPr>
  </w:style>
  <w:style w:type="paragraph" w:styleId="20">
    <w:name w:val="Normal (Web)"/>
    <w:basedOn w:val="1"/>
    <w:autoRedefine/>
    <w:qFormat/>
    <w:uiPriority w:val="0"/>
    <w:pPr>
      <w:spacing w:before="100" w:beforeAutospacing="1" w:after="100" w:afterAutospacing="1"/>
    </w:pPr>
    <w:rPr>
      <w:rFonts w:ascii="宋体" w:hAnsi="宋体" w:cs="宋体"/>
      <w:szCs w:val="24"/>
    </w:rPr>
  </w:style>
  <w:style w:type="paragraph" w:styleId="21">
    <w:name w:val="annotation subject"/>
    <w:basedOn w:val="8"/>
    <w:next w:val="8"/>
    <w:link w:val="52"/>
    <w:autoRedefine/>
    <w:qFormat/>
    <w:uiPriority w:val="0"/>
    <w:rPr>
      <w:b/>
      <w:bCs/>
    </w:rPr>
  </w:style>
  <w:style w:type="paragraph" w:styleId="22">
    <w:name w:val="Body Text First Indent"/>
    <w:basedOn w:val="9"/>
    <w:autoRedefine/>
    <w:qFormat/>
    <w:uiPriority w:val="0"/>
    <w:pPr>
      <w:autoSpaceDE w:val="0"/>
      <w:autoSpaceDN w:val="0"/>
      <w:adjustRightInd w:val="0"/>
      <w:spacing w:line="360" w:lineRule="auto"/>
      <w:ind w:firstLine="420" w:firstLineChars="100"/>
      <w:textAlignment w:val="baseline"/>
    </w:pPr>
    <w:rPr>
      <w:rFonts w:ascii="Calibri" w:hAnsi="Calibri"/>
      <w:kern w:val="0"/>
      <w:sz w:val="24"/>
      <w:szCs w:val="20"/>
    </w:rPr>
  </w:style>
  <w:style w:type="paragraph" w:styleId="23">
    <w:name w:val="Body Text First Indent 2"/>
    <w:basedOn w:val="11"/>
    <w:autoRedefine/>
    <w:qFormat/>
    <w:uiPriority w:val="0"/>
    <w:pPr>
      <w:spacing w:after="120" w:line="240" w:lineRule="auto"/>
      <w:ind w:left="420" w:leftChars="200" w:firstLine="420" w:firstLineChars="200"/>
    </w:pPr>
    <w:rPr>
      <w:rFonts w:eastAsia="宋体"/>
      <w:kern w:val="2"/>
      <w:sz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FollowedHyperlink"/>
    <w:basedOn w:val="26"/>
    <w:autoRedefine/>
    <w:qFormat/>
    <w:uiPriority w:val="0"/>
    <w:rPr>
      <w:color w:val="185ECF"/>
      <w:u w:val="none"/>
    </w:rPr>
  </w:style>
  <w:style w:type="character" w:styleId="29">
    <w:name w:val="Hyperlink"/>
    <w:basedOn w:val="26"/>
    <w:autoRedefine/>
    <w:unhideWhenUsed/>
    <w:qFormat/>
    <w:uiPriority w:val="99"/>
    <w:rPr>
      <w:color w:val="0563C1" w:themeColor="hyperlink"/>
      <w:u w:val="single"/>
      <w14:textFill>
        <w14:solidFill>
          <w14:schemeClr w14:val="hlink"/>
        </w14:solidFill>
      </w14:textFill>
    </w:rPr>
  </w:style>
  <w:style w:type="character" w:styleId="30">
    <w:name w:val="annotation reference"/>
    <w:basedOn w:val="26"/>
    <w:autoRedefine/>
    <w:qFormat/>
    <w:uiPriority w:val="0"/>
    <w:rPr>
      <w:sz w:val="21"/>
      <w:szCs w:val="21"/>
    </w:rPr>
  </w:style>
  <w:style w:type="paragraph" w:customStyle="1" w:styleId="31">
    <w:name w:val="Default"/>
    <w:autoRedefine/>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customStyle="1" w:styleId="32">
    <w:name w:val="正文 首行缩进:  2 字符"/>
    <w:basedOn w:val="1"/>
    <w:autoRedefine/>
    <w:qFormat/>
    <w:uiPriority w:val="0"/>
    <w:rPr>
      <w:rFonts w:ascii="Calibri" w:hAnsi="Calibri" w:cs="宋体"/>
      <w:szCs w:val="20"/>
    </w:rPr>
  </w:style>
  <w:style w:type="character" w:customStyle="1" w:styleId="33">
    <w:name w:val="标题 3 Char"/>
    <w:basedOn w:val="26"/>
    <w:autoRedefine/>
    <w:qFormat/>
    <w:uiPriority w:val="0"/>
    <w:rPr>
      <w:rFonts w:ascii="Times New Roman" w:hAnsi="Times New Roman" w:eastAsia="黑体"/>
      <w:b/>
      <w:sz w:val="26"/>
      <w:szCs w:val="26"/>
    </w:rPr>
  </w:style>
  <w:style w:type="paragraph" w:customStyle="1" w:styleId="34">
    <w:name w:val="正文文本缩进 21"/>
    <w:basedOn w:val="1"/>
    <w:autoRedefine/>
    <w:qFormat/>
    <w:uiPriority w:val="0"/>
    <w:pPr>
      <w:widowControl w:val="0"/>
      <w:snapToGrid/>
      <w:spacing w:line="312" w:lineRule="atLeast"/>
      <w:ind w:firstLine="570"/>
      <w:jc w:val="distribute"/>
      <w:textAlignment w:val="baseline"/>
    </w:pPr>
    <w:rPr>
      <w:rFonts w:eastAsia="仿宋_GB2312" w:cs="Times New Roman"/>
      <w:sz w:val="28"/>
      <w:szCs w:val="20"/>
    </w:rPr>
  </w:style>
  <w:style w:type="paragraph" w:customStyle="1" w:styleId="35">
    <w:name w:val="正文文本缩进1"/>
    <w:basedOn w:val="1"/>
    <w:autoRedefine/>
    <w:qFormat/>
    <w:uiPriority w:val="0"/>
    <w:pPr>
      <w:widowControl w:val="0"/>
      <w:snapToGrid/>
      <w:spacing w:line="233" w:lineRule="auto"/>
      <w:ind w:firstLine="570"/>
      <w:jc w:val="both"/>
      <w:textAlignment w:val="baseline"/>
    </w:pPr>
    <w:rPr>
      <w:rFonts w:ascii="仿宋_GB2312" w:eastAsia="仿宋_GB2312" w:cs="Times New Roman"/>
      <w:sz w:val="28"/>
      <w:szCs w:val="20"/>
    </w:rPr>
  </w:style>
  <w:style w:type="paragraph" w:customStyle="1" w:styleId="36">
    <w:name w:val="普通(网站)1"/>
    <w:basedOn w:val="1"/>
    <w:autoRedefine/>
    <w:qFormat/>
    <w:uiPriority w:val="0"/>
    <w:pPr>
      <w:adjustRightInd/>
      <w:snapToGrid/>
      <w:spacing w:before="100" w:beforeAutospacing="1" w:after="100" w:afterAutospacing="1"/>
    </w:pPr>
    <w:rPr>
      <w:rFonts w:ascii="宋体" w:hAnsi="宋体" w:cs="宋体"/>
      <w:szCs w:val="24"/>
    </w:rPr>
  </w:style>
  <w:style w:type="paragraph" w:customStyle="1" w:styleId="37">
    <w:name w:val="纯文本1"/>
    <w:basedOn w:val="1"/>
    <w:autoRedefine/>
    <w:qFormat/>
    <w:uiPriority w:val="0"/>
    <w:pPr>
      <w:widowControl w:val="0"/>
      <w:adjustRightInd/>
      <w:snapToGrid/>
      <w:jc w:val="both"/>
    </w:pPr>
    <w:rPr>
      <w:rFonts w:ascii="宋体" w:hAnsi="Courier New" w:cs="Times New Roman"/>
      <w:kern w:val="2"/>
      <w:sz w:val="21"/>
      <w:szCs w:val="20"/>
    </w:rPr>
  </w:style>
  <w:style w:type="character" w:customStyle="1" w:styleId="38">
    <w:name w:val="页码1"/>
    <w:basedOn w:val="26"/>
    <w:autoRedefine/>
    <w:qFormat/>
    <w:uiPriority w:val="0"/>
  </w:style>
  <w:style w:type="paragraph" w:customStyle="1" w:styleId="39">
    <w:name w:val="正文01"/>
    <w:basedOn w:val="1"/>
    <w:autoRedefine/>
    <w:qFormat/>
    <w:uiPriority w:val="0"/>
    <w:pPr>
      <w:spacing w:before="60" w:line="460" w:lineRule="exact"/>
      <w:ind w:firstLine="200" w:firstLineChars="200"/>
    </w:pPr>
    <w:rPr>
      <w:bCs/>
    </w:rPr>
  </w:style>
  <w:style w:type="paragraph" w:customStyle="1" w:styleId="40">
    <w:name w:val="表格"/>
    <w:basedOn w:val="1"/>
    <w:next w:val="1"/>
    <w:autoRedefine/>
    <w:qFormat/>
    <w:uiPriority w:val="0"/>
    <w:pPr>
      <w:autoSpaceDE w:val="0"/>
      <w:autoSpaceDN w:val="0"/>
      <w:spacing w:before="60" w:after="40"/>
      <w:jc w:val="center"/>
    </w:pPr>
  </w:style>
  <w:style w:type="paragraph" w:customStyle="1" w:styleId="41">
    <w:name w:val="表内字"/>
    <w:autoRedefine/>
    <w:qFormat/>
    <w:uiPriority w:val="0"/>
    <w:pPr>
      <w:widowControl w:val="0"/>
      <w:autoSpaceDE w:val="0"/>
      <w:autoSpaceDN w:val="0"/>
      <w:adjustRightInd w:val="0"/>
      <w:snapToGrid w:val="0"/>
      <w:jc w:val="center"/>
    </w:pPr>
    <w:rPr>
      <w:rFonts w:ascii="Tahoma" w:hAnsi="Tahoma" w:eastAsia="宋体" w:cs="Times New Roman"/>
      <w:sz w:val="21"/>
      <w:szCs w:val="21"/>
      <w:lang w:val="en-US" w:eastAsia="zh-CN" w:bidi="ar-SA"/>
    </w:rPr>
  </w:style>
  <w:style w:type="paragraph" w:customStyle="1" w:styleId="42">
    <w:name w:val="表格222"/>
    <w:basedOn w:val="1"/>
    <w:autoRedefine/>
    <w:qFormat/>
    <w:uiPriority w:val="0"/>
    <w:pPr>
      <w:spacing w:line="320" w:lineRule="exact"/>
      <w:jc w:val="center"/>
    </w:pPr>
    <w:rPr>
      <w:kern w:val="10"/>
    </w:rPr>
  </w:style>
  <w:style w:type="character" w:customStyle="1" w:styleId="43">
    <w:name w:val="样式 宋体 小三"/>
    <w:autoRedefine/>
    <w:qFormat/>
    <w:uiPriority w:val="0"/>
    <w:rPr>
      <w:rFonts w:ascii="宋体"/>
      <w:sz w:val="28"/>
    </w:rPr>
  </w:style>
  <w:style w:type="paragraph" w:customStyle="1" w:styleId="44">
    <w:name w:val="样式 样式 正文首行缩进 2 + 四号 首行缩进:  2 字符 + 首行缩进:  2 字符"/>
    <w:basedOn w:val="1"/>
    <w:autoRedefine/>
    <w:qFormat/>
    <w:uiPriority w:val="0"/>
    <w:pPr>
      <w:ind w:firstLine="480" w:firstLineChars="200"/>
    </w:pPr>
    <w:rPr>
      <w:rFonts w:cs="宋体"/>
      <w:szCs w:val="24"/>
    </w:rPr>
  </w:style>
  <w:style w:type="paragraph" w:customStyle="1" w:styleId="45">
    <w:name w:val="xl24"/>
    <w:basedOn w:val="1"/>
    <w:autoRedefine/>
    <w:qFormat/>
    <w:uiPriority w:val="0"/>
    <w:pPr>
      <w:spacing w:before="100" w:beforeAutospacing="1" w:after="100" w:afterAutospacing="1"/>
      <w:jc w:val="center"/>
      <w:textAlignment w:val="center"/>
    </w:pPr>
    <w:rPr>
      <w:rFonts w:ascii="Arial Unicode MS" w:hAnsi="Arial Unicode MS" w:eastAsia="Arial Unicode MS"/>
    </w:rPr>
  </w:style>
  <w:style w:type="paragraph" w:customStyle="1" w:styleId="46">
    <w:name w:val="样式11"/>
    <w:basedOn w:val="47"/>
    <w:autoRedefine/>
    <w:qFormat/>
    <w:uiPriority w:val="0"/>
    <w:pPr>
      <w:keepNext w:val="0"/>
      <w:keepLines w:val="0"/>
      <w:adjustRightInd w:val="0"/>
      <w:spacing w:line="480" w:lineRule="exact"/>
      <w:ind w:firstLine="200" w:firstLineChars="200"/>
      <w:outlineLvl w:val="9"/>
    </w:pPr>
    <w:rPr>
      <w:rFonts w:ascii="宋体" w:hAnsi="宋体" w:eastAsia="宋体"/>
      <w:b w:val="0"/>
      <w:bCs w:val="0"/>
      <w:color w:val="000000"/>
      <w:spacing w:val="0"/>
      <w:sz w:val="26"/>
      <w:szCs w:val="26"/>
    </w:rPr>
  </w:style>
  <w:style w:type="paragraph" w:customStyle="1" w:styleId="47">
    <w:name w:val="样式4"/>
    <w:basedOn w:val="5"/>
    <w:autoRedefine/>
    <w:qFormat/>
    <w:uiPriority w:val="0"/>
    <w:pPr>
      <w:numPr>
        <w:numId w:val="0"/>
      </w:numPr>
      <w:adjustRightInd/>
      <w:spacing w:before="0" w:after="0" w:line="540" w:lineRule="exact"/>
      <w:ind w:firstLine="578"/>
      <w:textAlignment w:val="auto"/>
    </w:pPr>
    <w:rPr>
      <w:bCs/>
      <w:spacing w:val="8"/>
      <w:kern w:val="2"/>
      <w:szCs w:val="28"/>
    </w:rPr>
  </w:style>
  <w:style w:type="paragraph" w:customStyle="1" w:styleId="48">
    <w:name w:val="样式2"/>
    <w:basedOn w:val="49"/>
    <w:autoRedefine/>
    <w:qFormat/>
    <w:uiPriority w:val="0"/>
    <w:pPr>
      <w:spacing w:beforeLines="50"/>
      <w:ind w:firstLine="0"/>
      <w:jc w:val="center"/>
      <w:outlineLvl w:val="4"/>
    </w:pPr>
    <w:rPr>
      <w:rFonts w:ascii="宋体"/>
    </w:rPr>
  </w:style>
  <w:style w:type="paragraph" w:customStyle="1" w:styleId="49">
    <w:name w:val="样式1"/>
    <w:basedOn w:val="1"/>
    <w:autoRedefine/>
    <w:qFormat/>
    <w:uiPriority w:val="0"/>
    <w:pPr>
      <w:spacing w:line="480" w:lineRule="exact"/>
      <w:ind w:firstLine="520"/>
    </w:pPr>
    <w:rPr>
      <w:rFonts w:hAnsi="宋体" w:cs="宋体"/>
      <w:kern w:val="2"/>
      <w:sz w:val="26"/>
      <w:szCs w:val="26"/>
    </w:rPr>
  </w:style>
  <w:style w:type="character" w:customStyle="1" w:styleId="50">
    <w:name w:val="font01"/>
    <w:basedOn w:val="26"/>
    <w:autoRedefine/>
    <w:qFormat/>
    <w:uiPriority w:val="0"/>
    <w:rPr>
      <w:rFonts w:hint="eastAsia" w:ascii="宋体" w:hAnsi="宋体" w:eastAsia="宋体"/>
      <w:color w:val="000000"/>
      <w:sz w:val="22"/>
      <w:szCs w:val="22"/>
      <w:u w:val="none"/>
    </w:rPr>
  </w:style>
  <w:style w:type="character" w:customStyle="1" w:styleId="51">
    <w:name w:val="批注文字 字符"/>
    <w:basedOn w:val="26"/>
    <w:link w:val="8"/>
    <w:autoRedefine/>
    <w:qFormat/>
    <w:uiPriority w:val="0"/>
    <w:rPr>
      <w:rFonts w:ascii="Tahoma" w:hAnsi="Tahoma" w:eastAsia="微软雅黑" w:cstheme="minorBidi"/>
      <w:sz w:val="22"/>
      <w:szCs w:val="22"/>
    </w:rPr>
  </w:style>
  <w:style w:type="character" w:customStyle="1" w:styleId="52">
    <w:name w:val="批注主题 字符"/>
    <w:basedOn w:val="51"/>
    <w:link w:val="21"/>
    <w:autoRedefine/>
    <w:qFormat/>
    <w:uiPriority w:val="0"/>
    <w:rPr>
      <w:rFonts w:ascii="Tahoma" w:hAnsi="Tahoma" w:eastAsia="微软雅黑" w:cstheme="minorBidi"/>
      <w:b/>
      <w:bCs/>
      <w:sz w:val="22"/>
      <w:szCs w:val="22"/>
    </w:rPr>
  </w:style>
  <w:style w:type="character" w:customStyle="1" w:styleId="53">
    <w:name w:val="批注框文本 字符"/>
    <w:basedOn w:val="26"/>
    <w:link w:val="15"/>
    <w:autoRedefine/>
    <w:qFormat/>
    <w:uiPriority w:val="0"/>
    <w:rPr>
      <w:rFonts w:ascii="Tahoma" w:hAnsi="Tahoma" w:eastAsia="微软雅黑" w:cstheme="minorBidi"/>
      <w:sz w:val="18"/>
      <w:szCs w:val="18"/>
    </w:rPr>
  </w:style>
  <w:style w:type="table" w:customStyle="1" w:styleId="54">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55">
    <w:name w:val="样式3"/>
    <w:basedOn w:val="1"/>
    <w:link w:val="56"/>
    <w:autoRedefine/>
    <w:qFormat/>
    <w:uiPriority w:val="0"/>
    <w:pPr>
      <w:pBdr>
        <w:top w:val="single" w:color="auto" w:sz="4" w:space="1"/>
      </w:pBdr>
      <w:tabs>
        <w:tab w:val="center" w:pos="4153"/>
        <w:tab w:val="right" w:pos="8306"/>
      </w:tabs>
    </w:pPr>
    <w:rPr>
      <w:sz w:val="21"/>
    </w:rPr>
  </w:style>
  <w:style w:type="character" w:customStyle="1" w:styleId="56">
    <w:name w:val="样式3 Char"/>
    <w:basedOn w:val="26"/>
    <w:link w:val="55"/>
    <w:autoRedefine/>
    <w:qFormat/>
    <w:uiPriority w:val="0"/>
    <w:rPr>
      <w:rFonts w:ascii="Tahoma" w:hAnsi="Tahoma" w:eastAsia="微软雅黑" w:cstheme="minorBidi"/>
      <w:sz w:val="21"/>
      <w:szCs w:val="22"/>
    </w:rPr>
  </w:style>
  <w:style w:type="paragraph" w:customStyle="1" w:styleId="57">
    <w:name w:val="表内容"/>
    <w:basedOn w:val="1"/>
    <w:autoRedefine/>
    <w:qFormat/>
    <w:uiPriority w:val="0"/>
    <w:pPr>
      <w:jc w:val="center"/>
    </w:pPr>
    <w:rPr>
      <w:snapToGrid w:val="0"/>
      <w:szCs w:val="21"/>
    </w:rPr>
  </w:style>
  <w:style w:type="paragraph" w:customStyle="1" w:styleId="58">
    <w:name w:val="bw1"/>
    <w:basedOn w:val="1"/>
    <w:autoRedefine/>
    <w:qFormat/>
    <w:uiPriority w:val="0"/>
    <w:pPr>
      <w:adjustRightInd w:val="0"/>
      <w:snapToGrid w:val="0"/>
      <w:spacing w:line="240" w:lineRule="atLeast"/>
      <w:ind w:left="6" w:right="6"/>
      <w:jc w:val="center"/>
    </w:pPr>
    <w:rPr>
      <w:rFonts w:ascii="Arial Narrow" w:hAnsi="Arial Narrow" w:eastAsia="楷体_GB2312"/>
      <w:color w:val="000000"/>
      <w:spacing w:val="-2"/>
      <w:w w:val="90"/>
      <w:sz w:val="20"/>
      <w:szCs w:val="18"/>
    </w:rPr>
  </w:style>
  <w:style w:type="paragraph" w:customStyle="1" w:styleId="59">
    <w:name w:val="CCGL正文"/>
    <w:basedOn w:val="1"/>
    <w:autoRedefine/>
    <w:qFormat/>
    <w:uiPriority w:val="0"/>
    <w:pPr>
      <w:spacing w:line="460" w:lineRule="exact"/>
      <w:ind w:firstLine="420" w:firstLineChars="200"/>
    </w:pPr>
    <w:rPr>
      <w:sz w:val="26"/>
      <w:szCs w:val="22"/>
    </w:rPr>
  </w:style>
  <w:style w:type="paragraph" w:customStyle="1" w:styleId="60">
    <w:name w:val="CCGL表"/>
    <w:basedOn w:val="1"/>
    <w:autoRedefine/>
    <w:qFormat/>
    <w:uiPriority w:val="0"/>
    <w:pPr>
      <w:spacing w:line="240" w:lineRule="auto"/>
      <w:jc w:val="center"/>
    </w:pPr>
    <w:rPr>
      <w:sz w:val="22"/>
    </w:rPr>
  </w:style>
  <w:style w:type="paragraph" w:customStyle="1" w:styleId="61">
    <w:name w:val="样式 左 首行缩进:  1.01 厘米"/>
    <w:autoRedefine/>
    <w:qFormat/>
    <w:uiPriority w:val="0"/>
    <w:pPr>
      <w:adjustRightInd w:val="0"/>
      <w:snapToGrid w:val="0"/>
      <w:spacing w:line="460" w:lineRule="exact"/>
      <w:ind w:firstLine="200" w:firstLineChars="200"/>
    </w:pPr>
    <w:rPr>
      <w:rFonts w:ascii="Times New Roman" w:hAnsi="Times New Roman" w:eastAsia="宋体" w:cs="宋体"/>
      <w:sz w:val="26"/>
      <w:szCs w:val="26"/>
      <w:lang w:val="en-US" w:eastAsia="zh-CN" w:bidi="ar-SA"/>
    </w:rPr>
  </w:style>
  <w:style w:type="paragraph" w:styleId="62">
    <w:name w:val="List Paragraph"/>
    <w:basedOn w:val="1"/>
    <w:autoRedefine/>
    <w:qFormat/>
    <w:uiPriority w:val="1"/>
    <w:pPr>
      <w:ind w:left="1357" w:hanging="601"/>
    </w:pPr>
    <w:rPr>
      <w:rFonts w:ascii="宋体" w:hAnsi="宋体" w:eastAsia="宋体" w:cs="宋体"/>
      <w:lang w:val="zh-CN" w:eastAsia="zh-CN" w:bidi="zh-CN"/>
    </w:rPr>
  </w:style>
  <w:style w:type="paragraph" w:customStyle="1" w:styleId="63">
    <w:name w:val="表格1"/>
    <w:basedOn w:val="64"/>
    <w:autoRedefine/>
    <w:qFormat/>
    <w:uiPriority w:val="0"/>
    <w:pPr>
      <w:jc w:val="center"/>
    </w:pPr>
    <w:rPr>
      <w:rFonts w:cs="Times New Roman"/>
      <w:b/>
      <w:color w:val="000000"/>
      <w:szCs w:val="22"/>
    </w:rPr>
  </w:style>
  <w:style w:type="paragraph" w:customStyle="1" w:styleId="64">
    <w:name w:val="表格格式1-2"/>
    <w:basedOn w:val="1"/>
    <w:autoRedefine/>
    <w:qFormat/>
    <w:uiPriority w:val="0"/>
    <w:pPr>
      <w:jc w:val="center"/>
    </w:pPr>
    <w:rPr>
      <w:rFonts w:ascii="Times New Roman" w:hAnsi="Times New Roman"/>
      <w:szCs w:val="21"/>
    </w:rPr>
  </w:style>
  <w:style w:type="paragraph" w:customStyle="1" w:styleId="65">
    <w:name w:val="Table Paragraph"/>
    <w:basedOn w:val="1"/>
    <w:autoRedefine/>
    <w:qFormat/>
    <w:uiPriority w:val="1"/>
    <w:pPr>
      <w:autoSpaceDE w:val="0"/>
      <w:autoSpaceDN w:val="0"/>
      <w:adjustRightInd w:val="0"/>
      <w:jc w:val="left"/>
    </w:pPr>
    <w:rPr>
      <w:rFonts w:ascii="Times New Roman" w:hAnsi="Times New Roman" w:eastAsia="宋体"/>
      <w:kern w:val="0"/>
      <w:sz w:val="24"/>
      <w:szCs w:val="24"/>
    </w:rPr>
  </w:style>
  <w:style w:type="paragraph" w:customStyle="1" w:styleId="66">
    <w:name w:val="表格样式"/>
    <w:basedOn w:val="1"/>
    <w:autoRedefine/>
    <w:qFormat/>
    <w:uiPriority w:val="0"/>
    <w:pPr>
      <w:spacing w:line="320" w:lineRule="exact"/>
      <w:contextualSpacing/>
    </w:pPr>
    <w:rPr>
      <w:sz w:val="22"/>
      <w:szCs w:val="24"/>
    </w:rPr>
  </w:style>
  <w:style w:type="paragraph" w:customStyle="1" w:styleId="67">
    <w:name w:val="表头"/>
    <w:basedOn w:val="68"/>
    <w:next w:val="1"/>
    <w:autoRedefine/>
    <w:qFormat/>
    <w:uiPriority w:val="0"/>
    <w:pPr>
      <w:adjustRightInd w:val="0"/>
      <w:snapToGrid w:val="0"/>
      <w:spacing w:line="480" w:lineRule="exact"/>
      <w:jc w:val="center"/>
    </w:pPr>
    <w:rPr>
      <w:b/>
      <w:sz w:val="24"/>
      <w:szCs w:val="20"/>
      <w:lang w:val="zh-CN"/>
    </w:rPr>
  </w:style>
  <w:style w:type="paragraph" w:customStyle="1" w:styleId="68">
    <w:name w:val="表文"/>
    <w:basedOn w:val="9"/>
    <w:next w:val="7"/>
    <w:autoRedefine/>
    <w:qFormat/>
    <w:uiPriority w:val="0"/>
    <w:pPr>
      <w:spacing w:before="62" w:beforeLines="20" w:after="62" w:afterLines="20" w:line="280" w:lineRule="exact"/>
      <w:jc w:val="center"/>
    </w:pPr>
    <w:rPr>
      <w:rFonts w:ascii="黑体" w:hAnsi="宋体"/>
    </w:rPr>
  </w:style>
  <w:style w:type="paragraph" w:customStyle="1" w:styleId="69">
    <w:name w:val="表格格式"/>
    <w:basedOn w:val="1"/>
    <w:autoRedefine/>
    <w:qFormat/>
    <w:uiPriority w:val="0"/>
    <w:pPr>
      <w:widowControl/>
      <w:adjustRightInd w:val="0"/>
      <w:snapToGrid w:val="0"/>
      <w:spacing w:after="200"/>
      <w:jc w:val="center"/>
    </w:pPr>
    <w:rPr>
      <w:rFonts w:ascii="Tahoma" w:hAnsi="Tahoma" w:eastAsia="微软雅黑"/>
      <w:kern w:val="0"/>
    </w:rPr>
  </w:style>
  <w:style w:type="character" w:customStyle="1" w:styleId="70">
    <w:name w:val="15"/>
    <w:autoRedefine/>
    <w:qFormat/>
    <w:uiPriority w:val="0"/>
    <w:rPr>
      <w:rFonts w:hint="default" w:ascii="Times New Roman" w:hAnsi="Times New Roman" w:cs="Times New Roman"/>
    </w:rPr>
  </w:style>
  <w:style w:type="character" w:customStyle="1" w:styleId="71">
    <w:name w:val="font11"/>
    <w:basedOn w:val="26"/>
    <w:autoRedefine/>
    <w:qFormat/>
    <w:uiPriority w:val="0"/>
    <w:rPr>
      <w:rFonts w:hint="eastAsia" w:ascii="宋体" w:hAnsi="宋体" w:eastAsia="宋体" w:cs="宋体"/>
      <w:color w:val="000000"/>
      <w:sz w:val="20"/>
      <w:szCs w:val="20"/>
      <w:u w:val="none"/>
    </w:rPr>
  </w:style>
  <w:style w:type="character" w:customStyle="1" w:styleId="72">
    <w:name w:val="font31"/>
    <w:basedOn w:val="26"/>
    <w:autoRedefine/>
    <w:qFormat/>
    <w:uiPriority w:val="0"/>
    <w:rPr>
      <w:rFonts w:hint="eastAsia" w:ascii="宋体" w:hAnsi="宋体" w:eastAsia="宋体" w:cs="宋体"/>
      <w:color w:val="000000"/>
      <w:sz w:val="20"/>
      <w:szCs w:val="20"/>
      <w:u w:val="none"/>
    </w:rPr>
  </w:style>
  <w:style w:type="paragraph" w:customStyle="1" w:styleId="73">
    <w:name w:val="表格内容"/>
    <w:basedOn w:val="1"/>
    <w:autoRedefine/>
    <w:qFormat/>
    <w:uiPriority w:val="0"/>
    <w:pPr>
      <w:snapToGrid w:val="0"/>
      <w:spacing w:line="240" w:lineRule="auto"/>
      <w:ind w:firstLine="0" w:firstLineChars="0"/>
      <w:jc w:val="center"/>
    </w:pPr>
    <w:rPr>
      <w:rFonts w:cs="Times New Roman"/>
      <w:kern w:val="2"/>
      <w:sz w:val="21"/>
    </w:rPr>
  </w:style>
  <w:style w:type="paragraph" w:customStyle="1" w:styleId="74">
    <w:name w:val="BGZW"/>
    <w:autoRedefine/>
    <w:qFormat/>
    <w:uiPriority w:val="0"/>
    <w:pPr>
      <w:widowControl w:val="0"/>
      <w:spacing w:line="360" w:lineRule="auto"/>
      <w:ind w:firstLine="480" w:firstLineChars="200"/>
      <w:jc w:val="both"/>
    </w:pPr>
    <w:rPr>
      <w:rFonts w:ascii="Times New Roman" w:hAnsi="Times New Roman" w:eastAsia="宋体" w:cs="宋体"/>
      <w:snapToGrid w:val="0"/>
      <w:sz w:val="24"/>
      <w:lang w:val="en-US" w:eastAsia="zh-CN" w:bidi="ar-SA"/>
    </w:rPr>
  </w:style>
  <w:style w:type="paragraph" w:customStyle="1" w:styleId="75">
    <w:name w:val="表格名称"/>
    <w:basedOn w:val="1"/>
    <w:autoRedefine/>
    <w:qFormat/>
    <w:uiPriority w:val="0"/>
    <w:pPr>
      <w:spacing w:line="360" w:lineRule="auto"/>
      <w:ind w:firstLine="200" w:firstLineChars="200"/>
      <w:jc w:val="center"/>
    </w:pPr>
    <w:rPr>
      <w:rFonts w:ascii="Times New Roman" w:hAnsi="Times New Roman"/>
      <w:b/>
      <w:bCs/>
      <w:sz w:val="24"/>
      <w:szCs w:val="24"/>
    </w:rPr>
  </w:style>
  <w:style w:type="character" w:customStyle="1" w:styleId="76">
    <w:name w:val="checkbox"/>
    <w:basedOn w:val="26"/>
    <w:autoRedefine/>
    <w:qFormat/>
    <w:uiPriority w:val="0"/>
  </w:style>
  <w:style w:type="character" w:customStyle="1" w:styleId="77">
    <w:name w:val="shenbao"/>
    <w:basedOn w:val="26"/>
    <w:autoRedefine/>
    <w:qFormat/>
    <w:uiPriority w:val="0"/>
    <w:rPr>
      <w:color w:val="EF6334"/>
    </w:rPr>
  </w:style>
  <w:style w:type="character" w:customStyle="1" w:styleId="78">
    <w:name w:val="chakan"/>
    <w:basedOn w:val="26"/>
    <w:autoRedefine/>
    <w:qFormat/>
    <w:uiPriority w:val="0"/>
    <w:rPr>
      <w:color w:val="0064EA"/>
    </w:rPr>
  </w:style>
  <w:style w:type="paragraph" w:customStyle="1" w:styleId="79">
    <w:name w:val="Z表内文字"/>
    <w:basedOn w:val="1"/>
    <w:next w:val="80"/>
    <w:autoRedefine/>
    <w:qFormat/>
    <w:uiPriority w:val="0"/>
    <w:pPr>
      <w:adjustRightInd w:val="0"/>
      <w:snapToGrid w:val="0"/>
      <w:spacing w:beforeLines="0" w:afterLines="0"/>
      <w:jc w:val="center"/>
    </w:pPr>
    <w:rPr>
      <w:rFonts w:ascii="Times New Roman" w:hAnsi="Times New Roman" w:eastAsia="宋体"/>
      <w:bCs/>
      <w:szCs w:val="21"/>
    </w:rPr>
  </w:style>
  <w:style w:type="paragraph" w:customStyle="1" w:styleId="80">
    <w:name w:val="Z正文内容"/>
    <w:basedOn w:val="1"/>
    <w:link w:val="84"/>
    <w:autoRedefine/>
    <w:qFormat/>
    <w:uiPriority w:val="0"/>
    <w:pPr>
      <w:spacing w:line="360" w:lineRule="auto"/>
      <w:ind w:firstLine="720" w:firstLineChars="200"/>
      <w:jc w:val="left"/>
    </w:pPr>
    <w:rPr>
      <w:rFonts w:ascii="Times New Roman" w:hAnsi="Times New Roman" w:eastAsia="宋体"/>
      <w:sz w:val="24"/>
    </w:rPr>
  </w:style>
  <w:style w:type="paragraph" w:customStyle="1" w:styleId="81">
    <w:name w:val="Z表一内容"/>
    <w:basedOn w:val="1"/>
    <w:autoRedefine/>
    <w:qFormat/>
    <w:uiPriority w:val="0"/>
    <w:pPr>
      <w:jc w:val="center"/>
    </w:pPr>
    <w:rPr>
      <w:rFonts w:ascii="Times New Roman" w:hAnsi="Times New Roman" w:eastAsia="宋体"/>
      <w:color w:val="000000"/>
      <w:sz w:val="24"/>
    </w:rPr>
  </w:style>
  <w:style w:type="paragraph" w:customStyle="1" w:styleId="82">
    <w:name w:val="张_gege的表格文字"/>
    <w:next w:val="83"/>
    <w:autoRedefine/>
    <w:qFormat/>
    <w:uiPriority w:val="99"/>
    <w:pPr>
      <w:jc w:val="center"/>
    </w:pPr>
    <w:rPr>
      <w:rFonts w:ascii="Times New Roman" w:hAnsi="Times New Roman" w:eastAsia="宋体" w:cs="Times New Roman"/>
      <w:color w:val="000000" w:themeColor="text1"/>
      <w:kern w:val="2"/>
      <w:sz w:val="21"/>
      <w:lang w:val="en-US" w:eastAsia="zh-CN" w:bidi="ar-SA"/>
      <w14:textFill>
        <w14:solidFill>
          <w14:schemeClr w14:val="tx1"/>
        </w14:solidFill>
      </w14:textFill>
    </w:rPr>
  </w:style>
  <w:style w:type="paragraph" w:customStyle="1" w:styleId="83">
    <w:name w:val="张_gege的正文文本"/>
    <w:autoRedefine/>
    <w:qFormat/>
    <w:uiPriority w:val="99"/>
    <w:pPr>
      <w:widowControl w:val="0"/>
      <w:spacing w:line="360" w:lineRule="auto"/>
      <w:ind w:firstLine="200" w:firstLineChars="200"/>
    </w:pPr>
    <w:rPr>
      <w:rFonts w:ascii="Times New Roman" w:hAnsi="Times New Roman" w:cs="Times New Roman" w:eastAsiaTheme="minorEastAsia"/>
      <w:bCs/>
      <w:color w:val="000000" w:themeColor="text1"/>
      <w:kern w:val="2"/>
      <w:sz w:val="24"/>
      <w:lang w:val="en-US" w:eastAsia="zh-CN" w:bidi="ar-SA"/>
      <w14:textFill>
        <w14:solidFill>
          <w14:schemeClr w14:val="tx1"/>
        </w14:solidFill>
      </w14:textFill>
    </w:rPr>
  </w:style>
  <w:style w:type="character" w:customStyle="1" w:styleId="84">
    <w:name w:val="Z正文内容 Char"/>
    <w:link w:val="80"/>
    <w:autoRedefine/>
    <w:qFormat/>
    <w:uiPriority w:val="0"/>
    <w:rPr>
      <w:rFonts w:ascii="Times New Roman" w:hAnsi="Times New Roman" w:eastAsia="宋体"/>
      <w:sz w:val="24"/>
    </w:rPr>
  </w:style>
  <w:style w:type="paragraph" w:customStyle="1" w:styleId="85">
    <w:name w:val="Z图表号"/>
    <w:basedOn w:val="1"/>
    <w:next w:val="80"/>
    <w:autoRedefine/>
    <w:qFormat/>
    <w:uiPriority w:val="0"/>
    <w:pPr>
      <w:spacing w:line="240" w:lineRule="auto"/>
      <w:ind w:firstLine="0" w:firstLineChars="0"/>
      <w:jc w:val="center"/>
    </w:pPr>
    <w:rPr>
      <w:rFonts w:ascii="Times New Roman" w:hAnsi="Times New Roman" w:eastAsia="宋体"/>
      <w:b/>
    </w:rPr>
  </w:style>
  <w:style w:type="paragraph" w:customStyle="1" w:styleId="86">
    <w:name w:val="Table Text"/>
    <w:basedOn w:val="1"/>
    <w:autoRedefine/>
    <w:semiHidden/>
    <w:qFormat/>
    <w:uiPriority w:val="0"/>
    <w:rPr>
      <w:rFonts w:ascii="宋体" w:hAnsi="宋体" w:eastAsia="宋体" w:cs="宋体"/>
      <w:sz w:val="24"/>
      <w:szCs w:val="24"/>
      <w:lang w:val="en-US" w:eastAsia="en-US" w:bidi="ar-SA"/>
    </w:rPr>
  </w:style>
  <w:style w:type="table" w:customStyle="1" w:styleId="8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17555</Words>
  <Characters>19863</Characters>
  <Lines>237</Lines>
  <Paragraphs>66</Paragraphs>
  <TotalTime>25</TotalTime>
  <ScaleCrop>false</ScaleCrop>
  <LinksUpToDate>false</LinksUpToDate>
  <CharactersWithSpaces>20342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2019-11-24T12:37:00Z</dcterms:created>
  <dc:creator>给我一个小笼包</dc:creator>
  <cp:lastModifiedBy>柳慧敏</cp:lastModifiedBy>
  <dcterms:modified xsi:type="dcterms:W3CDTF">2024-05-10T09:29:35Z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FF77C9B253DA49408F1A04AD3C29EDDC</vt:lpwstr>
  </property>
</Properties>
</file>