
<file path=[Content_Types].xml><?xml version="1.0" encoding="utf-8"?>
<Types xmlns="http://schemas.openxmlformats.org/package/2006/content-types">
  <Default Extension="bin" ContentType="application/vnd.openxmlformats-officedocument.oleObject"/>
  <Default Extension="wmf" ContentType="image/x-wmf"/>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EEBECA">
      <w:pPr>
        <w:jc w:val="center"/>
        <w:rPr>
          <w:rFonts w:hint="eastAsia"/>
          <w:color w:val="auto"/>
        </w:rPr>
      </w:pPr>
    </w:p>
    <w:p w14:paraId="30BAAC13">
      <w:pPr>
        <w:jc w:val="center"/>
        <w:rPr>
          <w:rFonts w:hint="eastAsia"/>
          <w:color w:val="auto"/>
        </w:rPr>
      </w:pPr>
    </w:p>
    <w:p w14:paraId="4DAA0769">
      <w:pPr>
        <w:jc w:val="center"/>
        <w:rPr>
          <w:rFonts w:hint="eastAsia"/>
          <w:color w:val="auto"/>
        </w:rPr>
      </w:pPr>
    </w:p>
    <w:p w14:paraId="50474E64">
      <w:pPr>
        <w:jc w:val="center"/>
        <w:rPr>
          <w:rFonts w:hint="eastAsia"/>
          <w:color w:val="auto"/>
        </w:rPr>
      </w:pPr>
    </w:p>
    <w:p w14:paraId="0238CA1F">
      <w:pPr>
        <w:jc w:val="center"/>
        <w:rPr>
          <w:rFonts w:hint="eastAsia" w:ascii="仿宋" w:hAnsi="仿宋" w:eastAsia="仿宋" w:cs="仿宋"/>
          <w:b/>
          <w:bCs/>
          <w:snapToGrid w:val="0"/>
          <w:color w:val="000000"/>
          <w:spacing w:val="-7"/>
          <w:kern w:val="0"/>
          <w:sz w:val="52"/>
          <w:szCs w:val="52"/>
          <w:lang w:val="en-US" w:eastAsia="zh-CN"/>
        </w:rPr>
      </w:pPr>
      <w:r>
        <w:rPr>
          <w:rFonts w:hint="eastAsia" w:ascii="仿宋" w:hAnsi="仿宋" w:eastAsia="仿宋" w:cs="仿宋"/>
          <w:b/>
          <w:bCs/>
          <w:snapToGrid w:val="0"/>
          <w:color w:val="000000"/>
          <w:spacing w:val="-7"/>
          <w:kern w:val="0"/>
          <w:sz w:val="52"/>
          <w:szCs w:val="52"/>
          <w:lang w:val="en-US" w:eastAsia="zh-CN"/>
        </w:rPr>
        <w:t>创池危险废物集中收集转运项目</w:t>
      </w:r>
    </w:p>
    <w:p w14:paraId="683DE8C7">
      <w:pPr>
        <w:jc w:val="center"/>
        <w:rPr>
          <w:rFonts w:hint="eastAsia" w:ascii="仿宋" w:hAnsi="仿宋" w:eastAsia="仿宋" w:cs="仿宋"/>
          <w:b/>
          <w:bCs/>
          <w:snapToGrid w:val="0"/>
          <w:color w:val="000000"/>
          <w:spacing w:val="-7"/>
          <w:kern w:val="0"/>
          <w:sz w:val="52"/>
          <w:szCs w:val="52"/>
          <w:lang w:val="en-US" w:eastAsia="en-US"/>
        </w:rPr>
      </w:pPr>
      <w:r>
        <w:rPr>
          <w:rFonts w:hint="eastAsia" w:ascii="仿宋" w:hAnsi="仿宋" w:eastAsia="仿宋" w:cs="仿宋"/>
          <w:b/>
          <w:bCs/>
          <w:snapToGrid w:val="0"/>
          <w:color w:val="000000"/>
          <w:spacing w:val="-7"/>
          <w:kern w:val="0"/>
          <w:sz w:val="52"/>
          <w:szCs w:val="52"/>
          <w:lang w:val="en-US" w:eastAsia="en-US"/>
        </w:rPr>
        <w:t>竣工环境保护验收监测报告表</w:t>
      </w:r>
    </w:p>
    <w:p w14:paraId="728466B5">
      <w:pPr>
        <w:widowControl/>
        <w:kinsoku w:val="0"/>
        <w:autoSpaceDE w:val="0"/>
        <w:autoSpaceDN w:val="0"/>
        <w:adjustRightInd w:val="0"/>
        <w:snapToGrid w:val="0"/>
        <w:spacing w:before="169" w:line="218" w:lineRule="auto"/>
        <w:jc w:val="center"/>
        <w:textAlignment w:val="baseline"/>
        <w:outlineLvl w:val="0"/>
        <w:rPr>
          <w:rFonts w:hint="eastAsia" w:ascii="宋体" w:hAnsi="宋体" w:eastAsia="宋体" w:cs="宋体"/>
          <w:b/>
          <w:bCs/>
          <w:color w:val="000000"/>
          <w:kern w:val="0"/>
          <w:sz w:val="31"/>
          <w:szCs w:val="31"/>
          <w:lang w:val="en-US" w:eastAsia="zh-CN" w:bidi="ar"/>
        </w:rPr>
      </w:pPr>
    </w:p>
    <w:p w14:paraId="2CD0181D">
      <w:pPr>
        <w:widowControl/>
        <w:kinsoku w:val="0"/>
        <w:autoSpaceDE w:val="0"/>
        <w:autoSpaceDN w:val="0"/>
        <w:adjustRightInd w:val="0"/>
        <w:snapToGrid w:val="0"/>
        <w:spacing w:before="169" w:line="218" w:lineRule="auto"/>
        <w:jc w:val="center"/>
        <w:textAlignment w:val="baseline"/>
        <w:outlineLvl w:val="0"/>
        <w:rPr>
          <w:rFonts w:hint="eastAsia" w:ascii="宋体" w:hAnsi="宋体" w:eastAsia="宋体" w:cs="宋体"/>
          <w:b/>
          <w:bCs/>
          <w:color w:val="000000"/>
          <w:kern w:val="0"/>
          <w:sz w:val="31"/>
          <w:szCs w:val="31"/>
          <w:lang w:val="en-US" w:eastAsia="zh-CN" w:bidi="ar"/>
        </w:rPr>
      </w:pPr>
    </w:p>
    <w:p w14:paraId="1EF9E102">
      <w:pPr>
        <w:widowControl/>
        <w:kinsoku w:val="0"/>
        <w:autoSpaceDE w:val="0"/>
        <w:autoSpaceDN w:val="0"/>
        <w:adjustRightInd w:val="0"/>
        <w:snapToGrid w:val="0"/>
        <w:spacing w:before="169" w:line="218" w:lineRule="auto"/>
        <w:jc w:val="center"/>
        <w:textAlignment w:val="baseline"/>
        <w:outlineLvl w:val="0"/>
        <w:rPr>
          <w:rFonts w:hint="eastAsia" w:ascii="宋体" w:hAnsi="宋体" w:eastAsia="宋体" w:cs="宋体"/>
          <w:b/>
          <w:bCs/>
          <w:color w:val="000000"/>
          <w:kern w:val="0"/>
          <w:sz w:val="31"/>
          <w:szCs w:val="31"/>
          <w:lang w:val="en-US" w:eastAsia="zh-CN" w:bidi="ar"/>
        </w:rPr>
      </w:pPr>
    </w:p>
    <w:p w14:paraId="23F2BBAC">
      <w:pPr>
        <w:widowControl/>
        <w:kinsoku w:val="0"/>
        <w:autoSpaceDE w:val="0"/>
        <w:autoSpaceDN w:val="0"/>
        <w:adjustRightInd w:val="0"/>
        <w:snapToGrid w:val="0"/>
        <w:spacing w:before="169" w:line="218" w:lineRule="auto"/>
        <w:jc w:val="center"/>
        <w:textAlignment w:val="baseline"/>
        <w:outlineLvl w:val="0"/>
        <w:rPr>
          <w:rFonts w:hint="eastAsia" w:ascii="宋体" w:hAnsi="宋体" w:eastAsia="宋体" w:cs="宋体"/>
          <w:b/>
          <w:bCs/>
          <w:color w:val="000000"/>
          <w:kern w:val="0"/>
          <w:sz w:val="31"/>
          <w:szCs w:val="31"/>
          <w:lang w:val="en-US" w:eastAsia="zh-CN" w:bidi="ar"/>
        </w:rPr>
      </w:pPr>
    </w:p>
    <w:p w14:paraId="1C0A1C29">
      <w:pPr>
        <w:widowControl/>
        <w:kinsoku w:val="0"/>
        <w:autoSpaceDE w:val="0"/>
        <w:autoSpaceDN w:val="0"/>
        <w:adjustRightInd w:val="0"/>
        <w:snapToGrid w:val="0"/>
        <w:spacing w:before="169" w:line="218" w:lineRule="auto"/>
        <w:jc w:val="center"/>
        <w:textAlignment w:val="baseline"/>
        <w:outlineLvl w:val="0"/>
        <w:rPr>
          <w:rFonts w:hint="eastAsia" w:ascii="宋体" w:hAnsi="宋体" w:eastAsia="宋体" w:cs="宋体"/>
          <w:b/>
          <w:bCs/>
          <w:color w:val="000000"/>
          <w:kern w:val="0"/>
          <w:sz w:val="31"/>
          <w:szCs w:val="31"/>
          <w:lang w:val="en-US" w:eastAsia="zh-CN" w:bidi="ar"/>
        </w:rPr>
      </w:pPr>
    </w:p>
    <w:p w14:paraId="29132A7F">
      <w:pPr>
        <w:widowControl/>
        <w:kinsoku w:val="0"/>
        <w:autoSpaceDE w:val="0"/>
        <w:autoSpaceDN w:val="0"/>
        <w:adjustRightInd w:val="0"/>
        <w:snapToGrid w:val="0"/>
        <w:spacing w:before="169" w:line="218" w:lineRule="auto"/>
        <w:jc w:val="center"/>
        <w:textAlignment w:val="baseline"/>
        <w:outlineLvl w:val="0"/>
        <w:rPr>
          <w:rFonts w:hint="eastAsia" w:ascii="宋体" w:hAnsi="宋体" w:eastAsia="宋体" w:cs="宋体"/>
          <w:b/>
          <w:bCs/>
          <w:color w:val="000000"/>
          <w:kern w:val="0"/>
          <w:sz w:val="31"/>
          <w:szCs w:val="31"/>
          <w:lang w:val="en-US" w:eastAsia="zh-CN" w:bidi="ar"/>
        </w:rPr>
      </w:pPr>
    </w:p>
    <w:p w14:paraId="2F9D5248">
      <w:pPr>
        <w:widowControl/>
        <w:kinsoku w:val="0"/>
        <w:autoSpaceDE w:val="0"/>
        <w:autoSpaceDN w:val="0"/>
        <w:adjustRightInd w:val="0"/>
        <w:snapToGrid w:val="0"/>
        <w:spacing w:before="169" w:line="218" w:lineRule="auto"/>
        <w:jc w:val="center"/>
        <w:textAlignment w:val="baseline"/>
        <w:outlineLvl w:val="0"/>
        <w:rPr>
          <w:rFonts w:hint="eastAsia" w:ascii="宋体" w:hAnsi="宋体" w:eastAsia="宋体" w:cs="宋体"/>
          <w:b/>
          <w:bCs/>
          <w:color w:val="000000"/>
          <w:kern w:val="0"/>
          <w:sz w:val="31"/>
          <w:szCs w:val="31"/>
          <w:lang w:val="en-US" w:eastAsia="zh-CN" w:bidi="ar"/>
        </w:rPr>
      </w:pPr>
    </w:p>
    <w:p w14:paraId="182DC697">
      <w:pPr>
        <w:widowControl/>
        <w:kinsoku w:val="0"/>
        <w:autoSpaceDE w:val="0"/>
        <w:autoSpaceDN w:val="0"/>
        <w:adjustRightInd w:val="0"/>
        <w:snapToGrid w:val="0"/>
        <w:spacing w:before="169" w:line="218" w:lineRule="auto"/>
        <w:jc w:val="center"/>
        <w:textAlignment w:val="baseline"/>
        <w:outlineLvl w:val="0"/>
        <w:rPr>
          <w:rFonts w:hint="eastAsia" w:ascii="宋体" w:hAnsi="宋体" w:eastAsia="宋体" w:cs="宋体"/>
          <w:b/>
          <w:bCs/>
          <w:color w:val="000000"/>
          <w:kern w:val="0"/>
          <w:sz w:val="31"/>
          <w:szCs w:val="31"/>
          <w:lang w:val="en-US" w:eastAsia="zh-CN" w:bidi="ar"/>
        </w:rPr>
      </w:pPr>
    </w:p>
    <w:p w14:paraId="2EEF371B">
      <w:pPr>
        <w:widowControl/>
        <w:kinsoku w:val="0"/>
        <w:autoSpaceDE w:val="0"/>
        <w:autoSpaceDN w:val="0"/>
        <w:adjustRightInd w:val="0"/>
        <w:snapToGrid w:val="0"/>
        <w:spacing w:before="169" w:line="218" w:lineRule="auto"/>
        <w:jc w:val="center"/>
        <w:textAlignment w:val="baseline"/>
        <w:outlineLvl w:val="0"/>
        <w:rPr>
          <w:rFonts w:hint="eastAsia" w:ascii="宋体" w:hAnsi="宋体" w:eastAsia="宋体" w:cs="宋体"/>
          <w:b/>
          <w:bCs/>
          <w:color w:val="000000"/>
          <w:kern w:val="0"/>
          <w:sz w:val="31"/>
          <w:szCs w:val="31"/>
          <w:lang w:val="en-US" w:eastAsia="zh-CN" w:bidi="ar"/>
        </w:rPr>
      </w:pPr>
    </w:p>
    <w:p w14:paraId="7C560875">
      <w:pPr>
        <w:widowControl/>
        <w:kinsoku w:val="0"/>
        <w:autoSpaceDE w:val="0"/>
        <w:autoSpaceDN w:val="0"/>
        <w:adjustRightInd w:val="0"/>
        <w:snapToGrid w:val="0"/>
        <w:spacing w:before="169" w:line="218" w:lineRule="auto"/>
        <w:jc w:val="center"/>
        <w:textAlignment w:val="baseline"/>
        <w:outlineLvl w:val="0"/>
        <w:rPr>
          <w:rFonts w:hint="eastAsia" w:ascii="宋体" w:hAnsi="宋体" w:eastAsia="宋体" w:cs="宋体"/>
          <w:b/>
          <w:bCs/>
          <w:color w:val="000000"/>
          <w:kern w:val="0"/>
          <w:sz w:val="31"/>
          <w:szCs w:val="31"/>
          <w:lang w:val="en-US" w:eastAsia="zh-CN" w:bidi="ar"/>
        </w:rPr>
      </w:pPr>
    </w:p>
    <w:p w14:paraId="37A8DED7">
      <w:pPr>
        <w:widowControl/>
        <w:kinsoku w:val="0"/>
        <w:autoSpaceDE w:val="0"/>
        <w:autoSpaceDN w:val="0"/>
        <w:adjustRightInd w:val="0"/>
        <w:snapToGrid w:val="0"/>
        <w:spacing w:before="169" w:line="218" w:lineRule="auto"/>
        <w:jc w:val="center"/>
        <w:textAlignment w:val="baseline"/>
        <w:outlineLvl w:val="0"/>
        <w:rPr>
          <w:rFonts w:hint="eastAsia" w:ascii="宋体" w:hAnsi="宋体" w:eastAsia="宋体" w:cs="宋体"/>
          <w:b/>
          <w:bCs/>
          <w:color w:val="000000"/>
          <w:kern w:val="0"/>
          <w:sz w:val="31"/>
          <w:szCs w:val="31"/>
          <w:lang w:val="en-US" w:eastAsia="zh-CN" w:bidi="ar"/>
        </w:rPr>
      </w:pPr>
    </w:p>
    <w:p w14:paraId="2B596898">
      <w:pPr>
        <w:widowControl/>
        <w:kinsoku w:val="0"/>
        <w:autoSpaceDE w:val="0"/>
        <w:autoSpaceDN w:val="0"/>
        <w:adjustRightInd w:val="0"/>
        <w:snapToGrid w:val="0"/>
        <w:spacing w:before="169" w:line="218" w:lineRule="auto"/>
        <w:jc w:val="center"/>
        <w:textAlignment w:val="baseline"/>
        <w:outlineLvl w:val="0"/>
        <w:rPr>
          <w:rFonts w:hint="eastAsia" w:ascii="宋体" w:hAnsi="宋体" w:eastAsia="宋体" w:cs="宋体"/>
          <w:b/>
          <w:bCs/>
          <w:color w:val="000000"/>
          <w:kern w:val="0"/>
          <w:sz w:val="31"/>
          <w:szCs w:val="31"/>
          <w:lang w:val="en-US" w:eastAsia="zh-CN" w:bidi="ar"/>
        </w:rPr>
      </w:pPr>
    </w:p>
    <w:p w14:paraId="472D3443">
      <w:pPr>
        <w:widowControl/>
        <w:kinsoku w:val="0"/>
        <w:autoSpaceDE w:val="0"/>
        <w:autoSpaceDN w:val="0"/>
        <w:adjustRightInd w:val="0"/>
        <w:snapToGrid w:val="0"/>
        <w:spacing w:before="169" w:line="218" w:lineRule="auto"/>
        <w:jc w:val="center"/>
        <w:textAlignment w:val="baseline"/>
        <w:outlineLvl w:val="0"/>
        <w:rPr>
          <w:rFonts w:hint="eastAsia" w:ascii="宋体" w:hAnsi="宋体" w:eastAsia="宋体" w:cs="宋体"/>
          <w:b/>
          <w:bCs/>
          <w:color w:val="000000"/>
          <w:kern w:val="0"/>
          <w:sz w:val="31"/>
          <w:szCs w:val="31"/>
          <w:lang w:val="en-US" w:eastAsia="zh-CN" w:bidi="ar"/>
        </w:rPr>
      </w:pPr>
    </w:p>
    <w:p w14:paraId="482A772F">
      <w:pPr>
        <w:widowControl/>
        <w:kinsoku w:val="0"/>
        <w:autoSpaceDE w:val="0"/>
        <w:autoSpaceDN w:val="0"/>
        <w:adjustRightInd w:val="0"/>
        <w:snapToGrid w:val="0"/>
        <w:spacing w:before="169" w:line="218" w:lineRule="auto"/>
        <w:jc w:val="center"/>
        <w:textAlignment w:val="baseline"/>
        <w:outlineLvl w:val="0"/>
        <w:rPr>
          <w:rFonts w:hint="eastAsia" w:ascii="宋体" w:hAnsi="宋体" w:eastAsia="宋体" w:cs="宋体"/>
          <w:b/>
          <w:bCs/>
          <w:color w:val="000000"/>
          <w:kern w:val="0"/>
          <w:sz w:val="31"/>
          <w:szCs w:val="31"/>
          <w:lang w:val="en-US" w:eastAsia="zh-CN" w:bidi="ar"/>
        </w:rPr>
      </w:pPr>
    </w:p>
    <w:p w14:paraId="274B9A81">
      <w:pPr>
        <w:widowControl/>
        <w:kinsoku w:val="0"/>
        <w:autoSpaceDE w:val="0"/>
        <w:autoSpaceDN w:val="0"/>
        <w:adjustRightInd w:val="0"/>
        <w:snapToGrid w:val="0"/>
        <w:spacing w:before="169" w:line="218" w:lineRule="auto"/>
        <w:jc w:val="center"/>
        <w:textAlignment w:val="baseline"/>
        <w:outlineLvl w:val="0"/>
        <w:rPr>
          <w:rFonts w:hint="eastAsia" w:ascii="宋体" w:hAnsi="宋体" w:eastAsia="宋体" w:cs="宋体"/>
          <w:b/>
          <w:bCs/>
          <w:color w:val="000000"/>
          <w:kern w:val="0"/>
          <w:sz w:val="31"/>
          <w:szCs w:val="31"/>
          <w:lang w:val="en-US" w:eastAsia="zh-CN" w:bidi="ar"/>
        </w:rPr>
      </w:pPr>
    </w:p>
    <w:p w14:paraId="00F68384">
      <w:pPr>
        <w:widowControl/>
        <w:kinsoku w:val="0"/>
        <w:autoSpaceDE w:val="0"/>
        <w:autoSpaceDN w:val="0"/>
        <w:adjustRightInd w:val="0"/>
        <w:snapToGrid w:val="0"/>
        <w:spacing w:before="169" w:line="218" w:lineRule="auto"/>
        <w:jc w:val="center"/>
        <w:textAlignment w:val="baseline"/>
        <w:outlineLvl w:val="0"/>
        <w:rPr>
          <w:rFonts w:hint="eastAsia" w:ascii="宋体" w:hAnsi="宋体" w:eastAsia="宋体" w:cs="宋体"/>
          <w:b/>
          <w:bCs/>
          <w:color w:val="000000"/>
          <w:kern w:val="0"/>
          <w:sz w:val="31"/>
          <w:szCs w:val="31"/>
          <w:lang w:val="en-US" w:eastAsia="zh-CN" w:bidi="ar"/>
        </w:rPr>
      </w:pPr>
    </w:p>
    <w:p w14:paraId="5362856D">
      <w:pPr>
        <w:widowControl/>
        <w:kinsoku w:val="0"/>
        <w:autoSpaceDE w:val="0"/>
        <w:autoSpaceDN w:val="0"/>
        <w:adjustRightInd w:val="0"/>
        <w:snapToGrid w:val="0"/>
        <w:spacing w:before="169" w:line="218" w:lineRule="auto"/>
        <w:jc w:val="center"/>
        <w:textAlignment w:val="baseline"/>
        <w:outlineLvl w:val="0"/>
        <w:rPr>
          <w:rFonts w:hint="eastAsia" w:ascii="宋体" w:hAnsi="宋体" w:eastAsia="宋体" w:cs="宋体"/>
          <w:b/>
          <w:bCs/>
          <w:color w:val="000000"/>
          <w:kern w:val="0"/>
          <w:sz w:val="31"/>
          <w:szCs w:val="31"/>
          <w:lang w:val="en-US" w:eastAsia="zh-CN" w:bidi="ar"/>
        </w:rPr>
      </w:pPr>
      <w:r>
        <w:rPr>
          <w:rFonts w:hint="eastAsia" w:ascii="宋体" w:hAnsi="宋体" w:eastAsia="宋体" w:cs="宋体"/>
          <w:b/>
          <w:bCs/>
          <w:color w:val="000000"/>
          <w:kern w:val="0"/>
          <w:sz w:val="31"/>
          <w:szCs w:val="31"/>
          <w:lang w:val="en-US" w:eastAsia="zh-CN" w:bidi="ar"/>
        </w:rPr>
        <w:t>建设单位：重庆创池再生资源回收有限公司</w:t>
      </w:r>
    </w:p>
    <w:p w14:paraId="253C9E3B">
      <w:pPr>
        <w:widowControl/>
        <w:kinsoku w:val="0"/>
        <w:autoSpaceDE w:val="0"/>
        <w:autoSpaceDN w:val="0"/>
        <w:adjustRightInd w:val="0"/>
        <w:snapToGrid w:val="0"/>
        <w:spacing w:before="169" w:line="218" w:lineRule="auto"/>
        <w:ind w:firstLine="3112" w:firstLineChars="1000"/>
        <w:jc w:val="both"/>
        <w:textAlignment w:val="baseline"/>
        <w:outlineLvl w:val="0"/>
        <w:rPr>
          <w:rFonts w:hint="eastAsia" w:ascii="宋体" w:hAnsi="宋体" w:eastAsia="宋体" w:cs="宋体"/>
          <w:b/>
          <w:bCs/>
          <w:color w:val="000000"/>
          <w:kern w:val="0"/>
          <w:sz w:val="31"/>
          <w:szCs w:val="31"/>
          <w:lang w:val="en-US" w:eastAsia="en-US" w:bidi="ar"/>
        </w:rPr>
      </w:pPr>
      <w:r>
        <w:rPr>
          <w:rFonts w:hint="eastAsia" w:ascii="宋体" w:hAnsi="宋体" w:eastAsia="宋体" w:cs="宋体"/>
          <w:b/>
          <w:bCs/>
          <w:color w:val="000000"/>
          <w:kern w:val="0"/>
          <w:sz w:val="31"/>
          <w:szCs w:val="31"/>
          <w:lang w:val="en-US" w:eastAsia="en-US" w:bidi="ar"/>
        </w:rPr>
        <w:t>二〇二</w:t>
      </w:r>
      <w:r>
        <w:rPr>
          <w:rFonts w:hint="eastAsia" w:ascii="宋体" w:hAnsi="宋体" w:eastAsia="宋体" w:cs="宋体"/>
          <w:b/>
          <w:bCs/>
          <w:color w:val="000000"/>
          <w:kern w:val="0"/>
          <w:sz w:val="31"/>
          <w:szCs w:val="31"/>
          <w:lang w:val="en-US" w:eastAsia="zh-CN" w:bidi="ar"/>
        </w:rPr>
        <w:t>六</w:t>
      </w:r>
      <w:r>
        <w:rPr>
          <w:rFonts w:hint="eastAsia" w:ascii="宋体" w:hAnsi="宋体" w:eastAsia="宋体" w:cs="宋体"/>
          <w:b/>
          <w:bCs/>
          <w:color w:val="000000"/>
          <w:kern w:val="0"/>
          <w:sz w:val="31"/>
          <w:szCs w:val="31"/>
          <w:lang w:val="en-US" w:eastAsia="en-US" w:bidi="ar"/>
        </w:rPr>
        <w:t>年</w:t>
      </w:r>
      <w:r>
        <w:rPr>
          <w:rFonts w:hint="eastAsia" w:ascii="宋体" w:hAnsi="宋体" w:eastAsia="宋体" w:cs="宋体"/>
          <w:b/>
          <w:bCs/>
          <w:color w:val="000000"/>
          <w:kern w:val="0"/>
          <w:sz w:val="31"/>
          <w:szCs w:val="31"/>
          <w:lang w:val="en-US" w:eastAsia="zh-CN" w:bidi="ar"/>
        </w:rPr>
        <w:t>三</w:t>
      </w:r>
      <w:r>
        <w:rPr>
          <w:rFonts w:hint="eastAsia" w:ascii="宋体" w:hAnsi="宋体" w:eastAsia="宋体" w:cs="宋体"/>
          <w:b/>
          <w:bCs/>
          <w:color w:val="000000"/>
          <w:kern w:val="0"/>
          <w:sz w:val="31"/>
          <w:szCs w:val="31"/>
          <w:lang w:val="en-US" w:eastAsia="en-US" w:bidi="ar"/>
        </w:rPr>
        <w:t>月</w:t>
      </w:r>
    </w:p>
    <w:p w14:paraId="011A00E5"/>
    <w:p w14:paraId="415FBAD9"/>
    <w:p w14:paraId="61D04340"/>
    <w:p w14:paraId="1F30303C"/>
    <w:p w14:paraId="0D62F24D">
      <w:pPr>
        <w:widowControl/>
        <w:kinsoku w:val="0"/>
        <w:autoSpaceDE w:val="0"/>
        <w:autoSpaceDN w:val="0"/>
        <w:adjustRightInd w:val="0"/>
        <w:snapToGrid w:val="0"/>
        <w:spacing w:before="169" w:line="218" w:lineRule="auto"/>
        <w:jc w:val="both"/>
        <w:textAlignment w:val="baseline"/>
        <w:outlineLvl w:val="0"/>
        <w:rPr>
          <w:rFonts w:hint="eastAsia" w:ascii="宋体" w:hAnsi="宋体" w:eastAsia="宋体" w:cs="宋体"/>
          <w:b/>
          <w:bCs/>
          <w:color w:val="000000"/>
          <w:kern w:val="0"/>
          <w:sz w:val="31"/>
          <w:szCs w:val="31"/>
          <w:lang w:val="en-US" w:eastAsia="zh-CN" w:bidi="ar"/>
        </w:rPr>
      </w:pPr>
      <w:r>
        <w:rPr>
          <w:rFonts w:hint="eastAsia" w:eastAsia="宋体" w:cs="Times New Roman"/>
          <w:b/>
          <w:bCs/>
          <w:color w:val="000000"/>
          <w:kern w:val="2"/>
          <w:sz w:val="28"/>
          <w:szCs w:val="28"/>
          <w:lang w:val="en-US" w:eastAsia="en-US"/>
        </w:rPr>
        <w:t>建 设 单 位：</w:t>
      </w:r>
      <w:r>
        <w:rPr>
          <w:rFonts w:hint="eastAsia" w:ascii="宋体" w:hAnsi="宋体" w:eastAsia="宋体" w:cs="宋体"/>
          <w:b/>
          <w:bCs/>
          <w:color w:val="000000"/>
          <w:kern w:val="0"/>
          <w:sz w:val="31"/>
          <w:szCs w:val="31"/>
          <w:lang w:val="en-US" w:eastAsia="zh-CN" w:bidi="ar"/>
        </w:rPr>
        <w:t>重庆创池再生资源回收有限公司</w:t>
      </w:r>
    </w:p>
    <w:p w14:paraId="5E8F2539">
      <w:pPr>
        <w:widowControl/>
        <w:kinsoku w:val="0"/>
        <w:autoSpaceDE w:val="0"/>
        <w:autoSpaceDN w:val="0"/>
        <w:adjustRightInd w:val="0"/>
        <w:snapToGrid w:val="0"/>
        <w:spacing w:before="169" w:line="218" w:lineRule="auto"/>
        <w:jc w:val="both"/>
        <w:textAlignment w:val="baseline"/>
        <w:outlineLvl w:val="0"/>
        <w:rPr>
          <w:rFonts w:hint="eastAsia" w:ascii="宋体" w:hAnsi="宋体" w:eastAsia="宋体" w:cs="宋体"/>
          <w:b/>
          <w:bCs/>
          <w:color w:val="000000"/>
          <w:kern w:val="0"/>
          <w:sz w:val="31"/>
          <w:szCs w:val="31"/>
          <w:lang w:val="en-US" w:eastAsia="en-US" w:bidi="ar"/>
        </w:rPr>
      </w:pPr>
      <w:r>
        <w:rPr>
          <w:rFonts w:hint="eastAsia" w:eastAsia="宋体" w:cs="Times New Roman"/>
          <w:b/>
          <w:bCs/>
          <w:color w:val="000000"/>
          <w:kern w:val="2"/>
          <w:sz w:val="28"/>
          <w:szCs w:val="28"/>
          <w:lang w:val="en-US" w:eastAsia="en-US"/>
        </w:rPr>
        <w:t>法 人</w:t>
      </w:r>
      <w:r>
        <w:rPr>
          <w:rFonts w:hint="eastAsia" w:ascii="宋体" w:hAnsi="宋体" w:eastAsia="宋体" w:cs="宋体"/>
          <w:b/>
          <w:bCs/>
          <w:color w:val="000000"/>
          <w:kern w:val="0"/>
          <w:sz w:val="31"/>
          <w:szCs w:val="31"/>
          <w:lang w:val="en-US" w:eastAsia="en-US" w:bidi="ar"/>
        </w:rPr>
        <w:t xml:space="preserve"> 代 表：</w:t>
      </w:r>
      <w:r>
        <w:rPr>
          <w:rFonts w:hint="eastAsia" w:ascii="宋体" w:hAnsi="宋体" w:eastAsia="宋体" w:cs="宋体"/>
          <w:b/>
          <w:bCs/>
          <w:color w:val="000000"/>
          <w:kern w:val="0"/>
          <w:sz w:val="31"/>
          <w:szCs w:val="31"/>
          <w:lang w:val="en-US" w:eastAsia="zh-CN" w:bidi="ar"/>
        </w:rPr>
        <w:t>胡生</w:t>
      </w:r>
    </w:p>
    <w:p w14:paraId="29D1A467">
      <w:pPr>
        <w:widowControl/>
        <w:kinsoku w:val="0"/>
        <w:autoSpaceDE w:val="0"/>
        <w:autoSpaceDN w:val="0"/>
        <w:adjustRightInd w:val="0"/>
        <w:snapToGrid w:val="0"/>
        <w:spacing w:before="169" w:line="218" w:lineRule="auto"/>
        <w:jc w:val="both"/>
        <w:textAlignment w:val="baseline"/>
        <w:outlineLvl w:val="0"/>
        <w:rPr>
          <w:rFonts w:hint="eastAsia" w:ascii="宋体" w:hAnsi="宋体" w:eastAsia="宋体" w:cs="宋体"/>
          <w:b/>
          <w:bCs/>
          <w:color w:val="000000"/>
          <w:kern w:val="0"/>
          <w:sz w:val="31"/>
          <w:szCs w:val="31"/>
          <w:lang w:val="en-US" w:eastAsia="en-US" w:bidi="ar"/>
        </w:rPr>
      </w:pPr>
      <w:r>
        <w:rPr>
          <w:rFonts w:hint="eastAsia" w:ascii="宋体" w:hAnsi="宋体" w:eastAsia="宋体" w:cs="宋体"/>
          <w:b/>
          <w:bCs/>
          <w:color w:val="000000"/>
          <w:kern w:val="0"/>
          <w:sz w:val="31"/>
          <w:szCs w:val="31"/>
          <w:lang w:val="en-US" w:eastAsia="en-US" w:bidi="ar"/>
        </w:rPr>
        <w:t>项目负责人：</w:t>
      </w:r>
      <w:r>
        <w:rPr>
          <w:rFonts w:hint="eastAsia" w:ascii="宋体" w:hAnsi="宋体" w:eastAsia="宋体" w:cs="宋体"/>
          <w:b/>
          <w:bCs/>
          <w:color w:val="000000"/>
          <w:kern w:val="0"/>
          <w:sz w:val="31"/>
          <w:szCs w:val="31"/>
          <w:lang w:val="en-US" w:eastAsia="zh-CN" w:bidi="ar"/>
        </w:rPr>
        <w:t>胡生</w:t>
      </w:r>
    </w:p>
    <w:p w14:paraId="156B8C14">
      <w:pPr>
        <w:jc w:val="left"/>
        <w:rPr>
          <w:rFonts w:hint="eastAsia" w:eastAsia="宋体" w:cs="Times New Roman"/>
          <w:b/>
          <w:bCs/>
          <w:color w:val="000000"/>
          <w:kern w:val="2"/>
          <w:sz w:val="28"/>
          <w:szCs w:val="28"/>
          <w:lang w:val="en-US" w:eastAsia="en-US"/>
        </w:rPr>
      </w:pPr>
    </w:p>
    <w:p w14:paraId="7FEB66F9">
      <w:pPr>
        <w:jc w:val="left"/>
        <w:rPr>
          <w:rFonts w:hint="eastAsia" w:eastAsia="宋体" w:cs="Times New Roman"/>
          <w:b/>
          <w:bCs/>
          <w:color w:val="000000"/>
          <w:kern w:val="2"/>
          <w:sz w:val="28"/>
          <w:szCs w:val="28"/>
          <w:lang w:val="en-US" w:eastAsia="en-US"/>
        </w:rPr>
      </w:pPr>
    </w:p>
    <w:p w14:paraId="5510F263">
      <w:pPr>
        <w:jc w:val="left"/>
        <w:rPr>
          <w:rFonts w:hint="eastAsia" w:eastAsia="宋体" w:cs="Times New Roman"/>
          <w:b/>
          <w:bCs/>
          <w:color w:val="000000"/>
          <w:kern w:val="2"/>
          <w:sz w:val="28"/>
          <w:szCs w:val="28"/>
          <w:lang w:val="en-US" w:eastAsia="en-US"/>
        </w:rPr>
      </w:pPr>
    </w:p>
    <w:p w14:paraId="6BA3DBD6">
      <w:pPr>
        <w:jc w:val="left"/>
        <w:rPr>
          <w:rFonts w:hint="eastAsia" w:eastAsia="宋体" w:cs="Times New Roman"/>
          <w:b/>
          <w:bCs/>
          <w:color w:val="000000"/>
          <w:kern w:val="2"/>
          <w:sz w:val="28"/>
          <w:szCs w:val="28"/>
          <w:lang w:val="en-US" w:eastAsia="en-US"/>
        </w:rPr>
      </w:pPr>
    </w:p>
    <w:p w14:paraId="28FFC560">
      <w:pPr>
        <w:jc w:val="left"/>
        <w:rPr>
          <w:rFonts w:hint="eastAsia" w:eastAsia="宋体" w:cs="Times New Roman"/>
          <w:b/>
          <w:bCs/>
          <w:color w:val="000000"/>
          <w:kern w:val="2"/>
          <w:sz w:val="28"/>
          <w:szCs w:val="28"/>
          <w:lang w:val="en-US" w:eastAsia="en-US"/>
        </w:rPr>
      </w:pPr>
    </w:p>
    <w:p w14:paraId="553A0208">
      <w:pPr>
        <w:jc w:val="left"/>
        <w:rPr>
          <w:rFonts w:hint="eastAsia" w:eastAsia="宋体" w:cs="Times New Roman"/>
          <w:b/>
          <w:bCs/>
          <w:color w:val="000000"/>
          <w:kern w:val="2"/>
          <w:sz w:val="28"/>
          <w:szCs w:val="28"/>
          <w:lang w:val="en-US" w:eastAsia="en-US"/>
        </w:rPr>
      </w:pPr>
    </w:p>
    <w:p w14:paraId="3AA7476D">
      <w:pPr>
        <w:jc w:val="left"/>
        <w:rPr>
          <w:rFonts w:hint="eastAsia" w:eastAsia="宋体" w:cs="Times New Roman"/>
          <w:b/>
          <w:bCs/>
          <w:color w:val="000000"/>
          <w:kern w:val="2"/>
          <w:sz w:val="28"/>
          <w:szCs w:val="28"/>
          <w:lang w:val="en-US" w:eastAsia="en-US"/>
        </w:rPr>
      </w:pPr>
    </w:p>
    <w:p w14:paraId="1BCB6E73">
      <w:pPr>
        <w:jc w:val="left"/>
        <w:rPr>
          <w:rFonts w:hint="eastAsia" w:eastAsia="宋体" w:cs="Times New Roman"/>
          <w:b/>
          <w:bCs/>
          <w:color w:val="000000"/>
          <w:kern w:val="2"/>
          <w:sz w:val="28"/>
          <w:szCs w:val="28"/>
          <w:lang w:val="en-US" w:eastAsia="en-US"/>
        </w:rPr>
      </w:pPr>
    </w:p>
    <w:p w14:paraId="1198E347">
      <w:pPr>
        <w:jc w:val="left"/>
        <w:rPr>
          <w:rFonts w:hint="eastAsia" w:eastAsia="宋体" w:cs="Times New Roman"/>
          <w:b/>
          <w:bCs/>
          <w:color w:val="000000"/>
          <w:kern w:val="2"/>
          <w:sz w:val="28"/>
          <w:szCs w:val="28"/>
          <w:lang w:val="en-US" w:eastAsia="en-US"/>
        </w:rPr>
      </w:pPr>
    </w:p>
    <w:p w14:paraId="01F7C513">
      <w:pPr>
        <w:jc w:val="left"/>
        <w:rPr>
          <w:rFonts w:hint="eastAsia" w:eastAsia="宋体" w:cs="Times New Roman"/>
          <w:b/>
          <w:bCs/>
          <w:color w:val="000000"/>
          <w:kern w:val="2"/>
          <w:sz w:val="28"/>
          <w:szCs w:val="28"/>
          <w:lang w:val="en-US" w:eastAsia="en-US"/>
        </w:rPr>
      </w:pPr>
    </w:p>
    <w:p w14:paraId="29A645FE">
      <w:pPr>
        <w:jc w:val="left"/>
        <w:rPr>
          <w:rFonts w:hint="eastAsia" w:eastAsia="宋体" w:cs="Times New Roman"/>
          <w:b/>
          <w:bCs/>
          <w:color w:val="000000"/>
          <w:kern w:val="2"/>
          <w:sz w:val="28"/>
          <w:szCs w:val="28"/>
          <w:lang w:val="en-US" w:eastAsia="en-US"/>
        </w:rPr>
      </w:pPr>
    </w:p>
    <w:p w14:paraId="5BF696E9">
      <w:pPr>
        <w:jc w:val="left"/>
        <w:rPr>
          <w:rFonts w:hint="eastAsia" w:eastAsia="宋体" w:cs="Times New Roman"/>
          <w:b/>
          <w:bCs/>
          <w:color w:val="000000"/>
          <w:kern w:val="2"/>
          <w:sz w:val="28"/>
          <w:szCs w:val="28"/>
          <w:lang w:val="en-US" w:eastAsia="en-US"/>
        </w:rPr>
      </w:pPr>
    </w:p>
    <w:p w14:paraId="3A2C3190">
      <w:pPr>
        <w:jc w:val="left"/>
        <w:rPr>
          <w:rFonts w:hint="eastAsia" w:eastAsia="宋体" w:cs="Times New Roman"/>
          <w:b/>
          <w:bCs/>
          <w:color w:val="000000"/>
          <w:kern w:val="2"/>
          <w:sz w:val="28"/>
          <w:szCs w:val="28"/>
          <w:lang w:val="en-US" w:eastAsia="en-US"/>
        </w:rPr>
      </w:pPr>
    </w:p>
    <w:p w14:paraId="078B72DD">
      <w:pPr>
        <w:jc w:val="left"/>
        <w:rPr>
          <w:rFonts w:hint="eastAsia" w:eastAsia="宋体" w:cs="Times New Roman"/>
          <w:b/>
          <w:bCs/>
          <w:color w:val="000000"/>
          <w:kern w:val="2"/>
          <w:sz w:val="28"/>
          <w:szCs w:val="28"/>
          <w:lang w:val="en-US" w:eastAsia="en-US"/>
        </w:rPr>
      </w:pPr>
    </w:p>
    <w:p w14:paraId="7048BAC4">
      <w:pPr>
        <w:pStyle w:val="14"/>
        <w:rPr>
          <w:rFonts w:hint="eastAsia" w:eastAsia="宋体" w:cs="Times New Roman"/>
          <w:b/>
          <w:bCs/>
          <w:color w:val="000000"/>
          <w:kern w:val="2"/>
          <w:sz w:val="28"/>
          <w:szCs w:val="28"/>
          <w:lang w:val="en-US" w:eastAsia="en-US"/>
        </w:rPr>
      </w:pPr>
    </w:p>
    <w:p w14:paraId="32BAFA1A">
      <w:pPr>
        <w:pStyle w:val="14"/>
        <w:rPr>
          <w:rFonts w:hint="eastAsia" w:eastAsia="宋体" w:cs="Times New Roman"/>
          <w:b/>
          <w:bCs/>
          <w:color w:val="000000"/>
          <w:kern w:val="2"/>
          <w:sz w:val="28"/>
          <w:szCs w:val="28"/>
          <w:lang w:val="en-US" w:eastAsia="en-US"/>
        </w:rPr>
      </w:pPr>
    </w:p>
    <w:p w14:paraId="3C3CD10F">
      <w:pPr>
        <w:jc w:val="left"/>
        <w:rPr>
          <w:rFonts w:hint="eastAsia" w:eastAsia="宋体" w:cs="Times New Roman"/>
          <w:b/>
          <w:bCs/>
          <w:color w:val="000000"/>
          <w:kern w:val="2"/>
          <w:sz w:val="28"/>
          <w:szCs w:val="28"/>
          <w:lang w:val="en-US" w:eastAsia="en-US"/>
        </w:rPr>
      </w:pPr>
      <w:r>
        <w:rPr>
          <w:rFonts w:hint="eastAsia" w:eastAsia="宋体" w:cs="Times New Roman"/>
          <w:b/>
          <w:bCs/>
          <w:color w:val="000000"/>
          <w:kern w:val="2"/>
          <w:sz w:val="28"/>
          <w:szCs w:val="28"/>
          <w:lang w:val="en-US" w:eastAsia="en-US"/>
        </w:rPr>
        <w:t xml:space="preserve">建设单位: </w:t>
      </w:r>
      <w:r>
        <w:rPr>
          <w:rFonts w:hint="eastAsia" w:ascii="宋体" w:hAnsi="宋体" w:eastAsia="宋体" w:cs="宋体"/>
          <w:b/>
          <w:bCs/>
          <w:color w:val="000000"/>
          <w:kern w:val="0"/>
          <w:sz w:val="31"/>
          <w:szCs w:val="31"/>
          <w:lang w:val="en-US" w:eastAsia="zh-CN" w:bidi="ar"/>
        </w:rPr>
        <w:t>重庆创池再生资源回收有限公司</w:t>
      </w:r>
      <w:r>
        <w:rPr>
          <w:rFonts w:hint="eastAsia" w:eastAsia="宋体" w:cs="Times New Roman"/>
          <w:b/>
          <w:bCs/>
          <w:color w:val="000000"/>
          <w:kern w:val="2"/>
          <w:sz w:val="28"/>
          <w:szCs w:val="28"/>
          <w:lang w:val="en-US" w:eastAsia="en-US"/>
        </w:rPr>
        <w:t>（盖章）</w:t>
      </w:r>
    </w:p>
    <w:p w14:paraId="1D5C1D8B">
      <w:pPr>
        <w:jc w:val="left"/>
        <w:rPr>
          <w:rFonts w:hint="eastAsia" w:ascii="宋体" w:hAnsi="宋体" w:eastAsia="宋体" w:cs="宋体"/>
          <w:b/>
          <w:bCs/>
          <w:color w:val="000000"/>
          <w:kern w:val="0"/>
          <w:sz w:val="31"/>
          <w:szCs w:val="31"/>
          <w:lang w:val="en-US" w:eastAsia="zh-CN" w:bidi="ar"/>
        </w:rPr>
      </w:pPr>
      <w:r>
        <w:rPr>
          <w:rFonts w:hint="eastAsia" w:eastAsia="宋体" w:cs="Times New Roman"/>
          <w:b/>
          <w:bCs/>
          <w:color w:val="000000"/>
          <w:kern w:val="2"/>
          <w:sz w:val="28"/>
          <w:szCs w:val="28"/>
          <w:lang w:val="en-US" w:eastAsia="zh-CN"/>
        </w:rPr>
        <w:t>电话：</w:t>
      </w:r>
      <w:r>
        <w:rPr>
          <w:rFonts w:hint="eastAsia" w:ascii="宋体" w:hAnsi="宋体" w:eastAsia="宋体" w:cs="宋体"/>
          <w:b/>
          <w:bCs/>
          <w:color w:val="000000"/>
          <w:kern w:val="0"/>
          <w:sz w:val="31"/>
          <w:szCs w:val="31"/>
          <w:lang w:val="en-US" w:eastAsia="zh-CN" w:bidi="ar"/>
        </w:rPr>
        <w:t>13896224775</w:t>
      </w:r>
    </w:p>
    <w:p w14:paraId="3E916ED1">
      <w:pPr>
        <w:jc w:val="left"/>
        <w:rPr>
          <w:rFonts w:hint="eastAsia" w:eastAsia="宋体" w:cs="Times New Roman"/>
          <w:b/>
          <w:bCs/>
          <w:color w:val="000000"/>
          <w:kern w:val="2"/>
          <w:sz w:val="28"/>
          <w:szCs w:val="28"/>
          <w:lang w:val="en-US" w:eastAsia="zh-CN"/>
        </w:rPr>
      </w:pPr>
      <w:r>
        <w:rPr>
          <w:rFonts w:hint="eastAsia" w:eastAsia="宋体" w:cs="Times New Roman"/>
          <w:b/>
          <w:bCs/>
          <w:color w:val="000000"/>
          <w:kern w:val="2"/>
          <w:sz w:val="28"/>
          <w:szCs w:val="28"/>
          <w:lang w:val="en-US" w:eastAsia="zh-CN"/>
        </w:rPr>
        <w:t>邮编：404000</w:t>
      </w:r>
    </w:p>
    <w:p w14:paraId="3318BC26">
      <w:pPr>
        <w:jc w:val="left"/>
        <w:rPr>
          <w:rFonts w:hint="eastAsia" w:ascii="宋体" w:hAnsi="宋体" w:eastAsia="宋体" w:cs="宋体"/>
          <w:b/>
          <w:bCs/>
          <w:color w:val="000000"/>
          <w:kern w:val="0"/>
          <w:sz w:val="31"/>
          <w:szCs w:val="31"/>
          <w:lang w:val="en-US" w:eastAsia="zh-CN" w:bidi="ar"/>
        </w:rPr>
      </w:pPr>
      <w:r>
        <w:rPr>
          <w:rFonts w:hint="eastAsia" w:eastAsia="宋体" w:cs="Times New Roman"/>
          <w:b/>
          <w:bCs/>
          <w:color w:val="000000"/>
          <w:kern w:val="2"/>
          <w:sz w:val="28"/>
          <w:szCs w:val="28"/>
          <w:lang w:val="en-US" w:eastAsia="zh-CN"/>
        </w:rPr>
        <w:t>地</w:t>
      </w:r>
      <w:r>
        <w:rPr>
          <w:rFonts w:hint="eastAsia" w:ascii="宋体" w:hAnsi="宋体" w:eastAsia="宋体" w:cs="宋体"/>
          <w:b/>
          <w:bCs/>
          <w:color w:val="000000"/>
          <w:kern w:val="0"/>
          <w:sz w:val="31"/>
          <w:szCs w:val="31"/>
          <w:lang w:val="en-US" w:eastAsia="zh-CN" w:bidi="ar"/>
        </w:rPr>
        <w:t>址：万州经济技术开发区天子园</w:t>
      </w:r>
    </w:p>
    <w:tbl>
      <w:tblPr>
        <w:tblStyle w:val="23"/>
        <w:tblpPr w:leftFromText="180" w:rightFromText="180" w:vertAnchor="text" w:horzAnchor="page" w:tblpX="1172" w:tblpY="237"/>
        <w:tblOverlap w:val="never"/>
        <w:tblW w:w="5745" w:type="pct"/>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32"/>
        <w:gridCol w:w="1530"/>
        <w:gridCol w:w="2145"/>
        <w:gridCol w:w="1141"/>
        <w:gridCol w:w="931"/>
        <w:gridCol w:w="2314"/>
      </w:tblGrid>
      <w:tr w14:paraId="2158BA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3" w:hRule="atLeast"/>
        </w:trPr>
        <w:tc>
          <w:tcPr>
            <w:tcW w:w="884" w:type="pct"/>
            <w:noWrap w:val="0"/>
            <w:vAlign w:val="center"/>
          </w:tcPr>
          <w:p w14:paraId="46BA750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建设项目名称</w:t>
            </w:r>
          </w:p>
        </w:tc>
        <w:tc>
          <w:tcPr>
            <w:tcW w:w="4115" w:type="pct"/>
            <w:gridSpan w:val="5"/>
            <w:noWrap w:val="0"/>
            <w:vAlign w:val="center"/>
          </w:tcPr>
          <w:p w14:paraId="6678C6E5">
            <w:pPr>
              <w:pStyle w:val="2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textAlignment w:val="auto"/>
              <w:rPr>
                <w:rFonts w:hint="default" w:ascii="Times New Roman" w:hAnsi="Times New Roman" w:eastAsia="宋体" w:cs="Times New Roman"/>
                <w:bCs/>
                <w:color w:val="auto"/>
                <w:kern w:val="2"/>
                <w:sz w:val="24"/>
                <w:szCs w:val="24"/>
                <w:highlight w:val="none"/>
                <w:lang w:eastAsia="zh-CN"/>
              </w:rPr>
            </w:pPr>
            <w:r>
              <w:rPr>
                <w:rFonts w:hint="eastAsia"/>
                <w:color w:val="auto"/>
                <w:lang w:eastAsia="zh-CN"/>
              </w:rPr>
              <w:t>创池危险废物集中收集转运项目</w:t>
            </w:r>
          </w:p>
        </w:tc>
      </w:tr>
      <w:tr w14:paraId="316DFD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39" w:hRule="atLeast"/>
        </w:trPr>
        <w:tc>
          <w:tcPr>
            <w:tcW w:w="884" w:type="pct"/>
            <w:noWrap w:val="0"/>
            <w:vAlign w:val="center"/>
          </w:tcPr>
          <w:p w14:paraId="038355A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建设单位名称</w:t>
            </w:r>
          </w:p>
        </w:tc>
        <w:tc>
          <w:tcPr>
            <w:tcW w:w="4115" w:type="pct"/>
            <w:gridSpan w:val="5"/>
            <w:noWrap w:val="0"/>
            <w:vAlign w:val="center"/>
          </w:tcPr>
          <w:p w14:paraId="194BFA2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Cs/>
                <w:color w:val="auto"/>
                <w:sz w:val="24"/>
                <w:szCs w:val="24"/>
                <w:highlight w:val="none"/>
                <w:lang w:eastAsia="zh-CN"/>
              </w:rPr>
            </w:pPr>
            <w:r>
              <w:rPr>
                <w:rFonts w:hint="eastAsia" w:ascii="Times New Roman" w:hAnsi="Times New Roman" w:eastAsia="宋体" w:cs="Times New Roman"/>
                <w:color w:val="auto"/>
                <w:kern w:val="0"/>
                <w:sz w:val="24"/>
                <w:szCs w:val="20"/>
                <w:lang w:val="en-US" w:eastAsia="zh-CN" w:bidi="ar-SA"/>
              </w:rPr>
              <w:t>重庆创池再生资源回收有限公司</w:t>
            </w:r>
          </w:p>
        </w:tc>
      </w:tr>
      <w:tr w14:paraId="38B8C6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3" w:hRule="atLeast"/>
        </w:trPr>
        <w:tc>
          <w:tcPr>
            <w:tcW w:w="884" w:type="pct"/>
            <w:noWrap w:val="0"/>
            <w:vAlign w:val="center"/>
          </w:tcPr>
          <w:p w14:paraId="70BF9F0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建设项目性质</w:t>
            </w:r>
          </w:p>
        </w:tc>
        <w:tc>
          <w:tcPr>
            <w:tcW w:w="4115" w:type="pct"/>
            <w:gridSpan w:val="5"/>
            <w:noWrap w:val="0"/>
            <w:vAlign w:val="center"/>
          </w:tcPr>
          <w:p w14:paraId="6497D58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 xml:space="preserve">新建  </w:t>
            </w:r>
            <w:r>
              <w:rPr>
                <w:rFonts w:hint="eastAsia"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 xml:space="preserve">改扩建  </w:t>
            </w:r>
            <w:r>
              <w:rPr>
                <w:rFonts w:hint="default" w:ascii="Times New Roman" w:hAnsi="Times New Roman" w:eastAsia="宋体" w:cs="Times New Roman"/>
                <w:color w:val="auto"/>
                <w:sz w:val="24"/>
                <w:szCs w:val="24"/>
                <w:highlight w:val="none"/>
              </w:rPr>
              <w:sym w:font="Wingdings 2" w:char="00A3"/>
            </w:r>
            <w:r>
              <w:rPr>
                <w:rFonts w:hint="default" w:ascii="Times New Roman" w:hAnsi="Times New Roman" w:eastAsia="宋体" w:cs="Times New Roman"/>
                <w:color w:val="auto"/>
                <w:sz w:val="24"/>
                <w:szCs w:val="24"/>
                <w:highlight w:val="none"/>
              </w:rPr>
              <w:t>技改  □迁建</w:t>
            </w:r>
          </w:p>
        </w:tc>
      </w:tr>
      <w:tr w14:paraId="72521C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39" w:hRule="atLeast"/>
        </w:trPr>
        <w:tc>
          <w:tcPr>
            <w:tcW w:w="884" w:type="pct"/>
            <w:noWrap w:val="0"/>
            <w:vAlign w:val="center"/>
          </w:tcPr>
          <w:p w14:paraId="28CC15E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建设地点</w:t>
            </w:r>
          </w:p>
        </w:tc>
        <w:tc>
          <w:tcPr>
            <w:tcW w:w="4115" w:type="pct"/>
            <w:gridSpan w:val="5"/>
            <w:noWrap w:val="0"/>
            <w:vAlign w:val="center"/>
          </w:tcPr>
          <w:p w14:paraId="42A8C62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heme="minorBidi"/>
                <w:color w:val="auto"/>
                <w:kern w:val="2"/>
                <w:sz w:val="24"/>
                <w:szCs w:val="24"/>
                <w:highlight w:val="none"/>
                <w:lang w:val="en-US" w:eastAsia="zh-CN" w:bidi="ar-SA"/>
              </w:rPr>
            </w:pPr>
            <w:r>
              <w:rPr>
                <w:rFonts w:hint="eastAsia" w:ascii="Times New Roman" w:hAnsi="Times New Roman" w:eastAsia="宋体" w:cstheme="minorBidi"/>
                <w:color w:val="auto"/>
                <w:kern w:val="2"/>
                <w:sz w:val="24"/>
                <w:szCs w:val="24"/>
                <w:highlight w:val="none"/>
                <w:lang w:val="en-US" w:eastAsia="zh-CN" w:bidi="ar-SA"/>
              </w:rPr>
              <w:t>万州经济技术开发区天子园</w:t>
            </w:r>
          </w:p>
        </w:tc>
      </w:tr>
      <w:tr w14:paraId="62903F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36" w:hRule="atLeast"/>
        </w:trPr>
        <w:tc>
          <w:tcPr>
            <w:tcW w:w="884" w:type="pct"/>
            <w:noWrap w:val="0"/>
            <w:vAlign w:val="center"/>
          </w:tcPr>
          <w:p w14:paraId="18F5C2F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主要产品名称</w:t>
            </w:r>
          </w:p>
        </w:tc>
        <w:tc>
          <w:tcPr>
            <w:tcW w:w="4115" w:type="pct"/>
            <w:gridSpan w:val="5"/>
            <w:noWrap w:val="0"/>
            <w:vAlign w:val="center"/>
          </w:tcPr>
          <w:p w14:paraId="23A1A2B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heme="minorBidi"/>
                <w:color w:val="auto"/>
                <w:kern w:val="2"/>
                <w:sz w:val="24"/>
                <w:szCs w:val="24"/>
                <w:highlight w:val="none"/>
                <w:lang w:val="en-US" w:eastAsia="zh-CN" w:bidi="ar-SA"/>
              </w:rPr>
            </w:pPr>
            <w:r>
              <w:rPr>
                <w:rFonts w:hint="eastAsia" w:ascii="Times New Roman" w:hAnsi="Times New Roman" w:eastAsia="宋体" w:cstheme="minorBidi"/>
                <w:color w:val="auto"/>
                <w:kern w:val="2"/>
                <w:sz w:val="24"/>
                <w:szCs w:val="24"/>
                <w:highlight w:val="none"/>
                <w:lang w:val="en-US" w:eastAsia="zh-CN" w:bidi="ar-SA"/>
              </w:rPr>
              <w:t>废铅蓄电池</w:t>
            </w:r>
          </w:p>
        </w:tc>
      </w:tr>
      <w:tr w14:paraId="66DB05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39" w:hRule="atLeast"/>
        </w:trPr>
        <w:tc>
          <w:tcPr>
            <w:tcW w:w="884" w:type="pct"/>
            <w:noWrap w:val="0"/>
            <w:vAlign w:val="center"/>
          </w:tcPr>
          <w:p w14:paraId="4F62940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设计生产能力</w:t>
            </w:r>
          </w:p>
        </w:tc>
        <w:tc>
          <w:tcPr>
            <w:tcW w:w="4115" w:type="pct"/>
            <w:gridSpan w:val="5"/>
            <w:noWrap w:val="0"/>
            <w:vAlign w:val="center"/>
          </w:tcPr>
          <w:p w14:paraId="0408EB02">
            <w:pPr>
              <w:pStyle w:val="29"/>
              <w:bidi w:val="0"/>
              <w:ind w:firstLine="480" w:firstLineChars="200"/>
              <w:jc w:val="center"/>
              <w:rPr>
                <w:rFonts w:hint="eastAsia" w:ascii="Times New Roman" w:hAnsi="Times New Roman" w:eastAsia="宋体" w:cs="Times New Roman"/>
                <w:color w:val="auto"/>
                <w:sz w:val="24"/>
                <w:szCs w:val="24"/>
                <w:highlight w:val="none"/>
                <w:lang w:val="en-US" w:eastAsia="zh-CN"/>
              </w:rPr>
            </w:pPr>
            <w:r>
              <w:rPr>
                <w:rFonts w:hint="eastAsia"/>
                <w:color w:val="auto"/>
                <w:highlight w:val="none"/>
                <w:lang w:val="en-US" w:eastAsia="zh-CN"/>
              </w:rPr>
              <w:t>年中转废铅蓄电池1000t</w:t>
            </w:r>
          </w:p>
        </w:tc>
      </w:tr>
      <w:tr w14:paraId="7F403E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39" w:hRule="atLeast"/>
        </w:trPr>
        <w:tc>
          <w:tcPr>
            <w:tcW w:w="884" w:type="pct"/>
            <w:noWrap w:val="0"/>
            <w:vAlign w:val="center"/>
          </w:tcPr>
          <w:p w14:paraId="4CE5FC4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rPr>
              <w:t>实际生产能力</w:t>
            </w:r>
          </w:p>
        </w:tc>
        <w:tc>
          <w:tcPr>
            <w:tcW w:w="4115" w:type="pct"/>
            <w:gridSpan w:val="5"/>
            <w:noWrap w:val="0"/>
            <w:vAlign w:val="center"/>
          </w:tcPr>
          <w:p w14:paraId="24D1A0C4">
            <w:pPr>
              <w:pStyle w:val="29"/>
              <w:bidi w:val="0"/>
              <w:ind w:firstLine="480" w:firstLineChars="200"/>
              <w:jc w:val="center"/>
              <w:rPr>
                <w:rFonts w:hint="eastAsia" w:ascii="Times New Roman" w:hAnsi="Times New Roman" w:eastAsia="宋体" w:cs="Times New Roman"/>
                <w:color w:val="auto"/>
                <w:sz w:val="24"/>
                <w:szCs w:val="24"/>
                <w:highlight w:val="none"/>
                <w:lang w:eastAsia="zh-CN"/>
              </w:rPr>
            </w:pPr>
            <w:r>
              <w:rPr>
                <w:rFonts w:hint="eastAsia"/>
                <w:color w:val="auto"/>
                <w:highlight w:val="none"/>
                <w:lang w:val="en-US" w:eastAsia="zh-CN"/>
              </w:rPr>
              <w:t>年中转废铅蓄电池1000t</w:t>
            </w:r>
          </w:p>
        </w:tc>
      </w:tr>
      <w:tr w14:paraId="7475E6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3" w:hRule="atLeast"/>
        </w:trPr>
        <w:tc>
          <w:tcPr>
            <w:tcW w:w="884" w:type="pct"/>
            <w:noWrap w:val="0"/>
            <w:vAlign w:val="center"/>
          </w:tcPr>
          <w:p w14:paraId="7E1673FA">
            <w:pPr>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建设项目</w:t>
            </w:r>
          </w:p>
          <w:p w14:paraId="0A7667E5">
            <w:pPr>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环评时间</w:t>
            </w:r>
          </w:p>
        </w:tc>
        <w:tc>
          <w:tcPr>
            <w:tcW w:w="781" w:type="pct"/>
            <w:noWrap w:val="0"/>
            <w:vAlign w:val="center"/>
          </w:tcPr>
          <w:p w14:paraId="714FD5C7">
            <w:pPr>
              <w:jc w:val="center"/>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20</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2</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5</w:t>
            </w:r>
            <w:r>
              <w:rPr>
                <w:rFonts w:hint="default" w:ascii="Times New Roman" w:hAnsi="Times New Roman" w:eastAsia="宋体" w:cs="Times New Roman"/>
                <w:color w:val="000000" w:themeColor="text1"/>
                <w:sz w:val="24"/>
                <w:szCs w:val="24"/>
                <w:highlight w:val="none"/>
                <w14:textFill>
                  <w14:solidFill>
                    <w14:schemeClr w14:val="tx1"/>
                  </w14:solidFill>
                </w14:textFill>
              </w:rPr>
              <w:t>年</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9</w:t>
            </w:r>
            <w:r>
              <w:rPr>
                <w:rFonts w:hint="default" w:ascii="Times New Roman" w:hAnsi="Times New Roman" w:eastAsia="宋体" w:cs="Times New Roman"/>
                <w:color w:val="000000" w:themeColor="text1"/>
                <w:sz w:val="24"/>
                <w:szCs w:val="24"/>
                <w:highlight w:val="none"/>
                <w14:textFill>
                  <w14:solidFill>
                    <w14:schemeClr w14:val="tx1"/>
                  </w14:solidFill>
                </w14:textFill>
              </w:rPr>
              <w:t>月</w:t>
            </w:r>
          </w:p>
        </w:tc>
        <w:tc>
          <w:tcPr>
            <w:tcW w:w="1095" w:type="pct"/>
            <w:noWrap w:val="0"/>
            <w:vAlign w:val="center"/>
          </w:tcPr>
          <w:p w14:paraId="6F23469A">
            <w:pPr>
              <w:jc w:val="center"/>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开工建设时间</w:t>
            </w:r>
          </w:p>
        </w:tc>
        <w:tc>
          <w:tcPr>
            <w:tcW w:w="2239" w:type="pct"/>
            <w:gridSpan w:val="3"/>
            <w:noWrap w:val="0"/>
            <w:vAlign w:val="center"/>
          </w:tcPr>
          <w:p w14:paraId="3CD8F89E">
            <w:pPr>
              <w:jc w:val="center"/>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2025年10月</w:t>
            </w:r>
          </w:p>
        </w:tc>
      </w:tr>
      <w:tr w14:paraId="691485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39" w:hRule="atLeast"/>
        </w:trPr>
        <w:tc>
          <w:tcPr>
            <w:tcW w:w="884" w:type="pct"/>
            <w:noWrap w:val="0"/>
            <w:vAlign w:val="center"/>
          </w:tcPr>
          <w:p w14:paraId="15A82404">
            <w:pPr>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调试时间</w:t>
            </w:r>
          </w:p>
        </w:tc>
        <w:tc>
          <w:tcPr>
            <w:tcW w:w="781" w:type="pct"/>
            <w:noWrap w:val="0"/>
            <w:vAlign w:val="center"/>
          </w:tcPr>
          <w:p w14:paraId="42D24A5E">
            <w:pPr>
              <w:jc w:val="center"/>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202</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6</w:t>
            </w:r>
            <w:r>
              <w:rPr>
                <w:rFonts w:hint="default" w:ascii="Times New Roman" w:hAnsi="Times New Roman" w:eastAsia="宋体" w:cs="Times New Roman"/>
                <w:color w:val="000000" w:themeColor="text1"/>
                <w:sz w:val="24"/>
                <w:szCs w:val="24"/>
                <w:highlight w:val="none"/>
                <w14:textFill>
                  <w14:solidFill>
                    <w14:schemeClr w14:val="tx1"/>
                  </w14:solidFill>
                </w14:textFill>
              </w:rPr>
              <w:t>年</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1</w:t>
            </w:r>
            <w:r>
              <w:rPr>
                <w:rFonts w:hint="default" w:ascii="Times New Roman" w:hAnsi="Times New Roman" w:eastAsia="宋体" w:cs="Times New Roman"/>
                <w:color w:val="000000" w:themeColor="text1"/>
                <w:sz w:val="24"/>
                <w:szCs w:val="24"/>
                <w:highlight w:val="none"/>
                <w14:textFill>
                  <w14:solidFill>
                    <w14:schemeClr w14:val="tx1"/>
                  </w14:solidFill>
                </w14:textFill>
              </w:rPr>
              <w:t>月</w:t>
            </w:r>
          </w:p>
        </w:tc>
        <w:tc>
          <w:tcPr>
            <w:tcW w:w="1095" w:type="pct"/>
            <w:noWrap w:val="0"/>
            <w:vAlign w:val="center"/>
          </w:tcPr>
          <w:p w14:paraId="6259BD02">
            <w:pPr>
              <w:jc w:val="center"/>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验收现场监测时间</w:t>
            </w:r>
          </w:p>
        </w:tc>
        <w:tc>
          <w:tcPr>
            <w:tcW w:w="2239" w:type="pct"/>
            <w:gridSpan w:val="3"/>
            <w:noWrap w:val="0"/>
            <w:vAlign w:val="center"/>
          </w:tcPr>
          <w:p w14:paraId="2A2949BF">
            <w:pPr>
              <w:jc w:val="cente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202</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6</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年</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1月</w:t>
            </w:r>
          </w:p>
        </w:tc>
      </w:tr>
      <w:tr w14:paraId="3D9932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39" w:hRule="atLeast"/>
        </w:trPr>
        <w:tc>
          <w:tcPr>
            <w:tcW w:w="884" w:type="pct"/>
            <w:noWrap w:val="0"/>
            <w:vAlign w:val="center"/>
          </w:tcPr>
          <w:p w14:paraId="46DEF115">
            <w:pPr>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环评报告表审批部门</w:t>
            </w:r>
          </w:p>
        </w:tc>
        <w:tc>
          <w:tcPr>
            <w:tcW w:w="781" w:type="pct"/>
            <w:noWrap w:val="0"/>
            <w:vAlign w:val="center"/>
          </w:tcPr>
          <w:p w14:paraId="070F16F6">
            <w:pPr>
              <w:jc w:val="center"/>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重庆</w:t>
            </w:r>
            <w:r>
              <w:rPr>
                <w:rFonts w:hint="eastAsia" w:ascii="Times New Roman" w:hAnsi="Times New Roman" w:eastAsia="宋体" w:cs="Times New Roman"/>
                <w:color w:val="auto"/>
                <w:sz w:val="24"/>
                <w:szCs w:val="24"/>
                <w:highlight w:val="none"/>
                <w:lang w:val="en-US" w:eastAsia="zh-CN"/>
              </w:rPr>
              <w:t>市万州区生态环境局</w:t>
            </w:r>
          </w:p>
        </w:tc>
        <w:tc>
          <w:tcPr>
            <w:tcW w:w="1095" w:type="pct"/>
            <w:noWrap w:val="0"/>
            <w:vAlign w:val="center"/>
          </w:tcPr>
          <w:p w14:paraId="5D37E40A">
            <w:pPr>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环评报告表</w:t>
            </w:r>
          </w:p>
          <w:p w14:paraId="0A70236F">
            <w:pPr>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编制单位</w:t>
            </w:r>
          </w:p>
        </w:tc>
        <w:tc>
          <w:tcPr>
            <w:tcW w:w="2239" w:type="pct"/>
            <w:gridSpan w:val="3"/>
            <w:noWrap w:val="0"/>
            <w:vAlign w:val="center"/>
          </w:tcPr>
          <w:p w14:paraId="4B646D86">
            <w:pPr>
              <w:jc w:val="center"/>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bCs/>
                <w:color w:val="auto"/>
                <w:kern w:val="0"/>
                <w:sz w:val="24"/>
                <w:szCs w:val="24"/>
                <w:highlight w:val="none"/>
                <w:lang w:eastAsia="zh-CN"/>
              </w:rPr>
              <w:t>重庆东驰环保工程有限公司</w:t>
            </w:r>
          </w:p>
        </w:tc>
      </w:tr>
      <w:tr w14:paraId="72AAAE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39" w:hRule="atLeast"/>
        </w:trPr>
        <w:tc>
          <w:tcPr>
            <w:tcW w:w="884" w:type="pct"/>
            <w:noWrap w:val="0"/>
            <w:vAlign w:val="center"/>
          </w:tcPr>
          <w:p w14:paraId="5DFB7551">
            <w:pPr>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环保设施设计单位</w:t>
            </w:r>
          </w:p>
        </w:tc>
        <w:tc>
          <w:tcPr>
            <w:tcW w:w="781" w:type="pct"/>
            <w:noWrap w:val="0"/>
            <w:vAlign w:val="center"/>
          </w:tcPr>
          <w:p w14:paraId="257ABE51">
            <w:pPr>
              <w:jc w:val="center"/>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lang w:val="en-US" w:eastAsia="zh-CN"/>
              </w:rPr>
              <w:t>/</w:t>
            </w:r>
          </w:p>
        </w:tc>
        <w:tc>
          <w:tcPr>
            <w:tcW w:w="1095" w:type="pct"/>
            <w:noWrap w:val="0"/>
            <w:vAlign w:val="center"/>
          </w:tcPr>
          <w:p w14:paraId="02C1F2AF">
            <w:pPr>
              <w:jc w:val="center"/>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环保设施施工单位</w:t>
            </w:r>
          </w:p>
        </w:tc>
        <w:tc>
          <w:tcPr>
            <w:tcW w:w="2239" w:type="pct"/>
            <w:gridSpan w:val="3"/>
            <w:noWrap w:val="0"/>
            <w:vAlign w:val="center"/>
          </w:tcPr>
          <w:p w14:paraId="7BD777A3">
            <w:pPr>
              <w:jc w:val="center"/>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w:t>
            </w:r>
          </w:p>
        </w:tc>
      </w:tr>
      <w:tr w14:paraId="3BF906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39" w:hRule="atLeast"/>
        </w:trPr>
        <w:tc>
          <w:tcPr>
            <w:tcW w:w="884" w:type="pct"/>
            <w:noWrap w:val="0"/>
            <w:vAlign w:val="center"/>
          </w:tcPr>
          <w:p w14:paraId="6963BE1B">
            <w:pPr>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投资总概算</w:t>
            </w:r>
          </w:p>
        </w:tc>
        <w:tc>
          <w:tcPr>
            <w:tcW w:w="781" w:type="pct"/>
            <w:noWrap w:val="0"/>
            <w:vAlign w:val="center"/>
          </w:tcPr>
          <w:p w14:paraId="40D8A8D0">
            <w:pPr>
              <w:jc w:val="center"/>
              <w:rPr>
                <w:rFonts w:hint="default"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lang w:val="en-US" w:eastAsia="zh-CN"/>
              </w:rPr>
              <w:t>500</w:t>
            </w:r>
            <w:r>
              <w:rPr>
                <w:rFonts w:hint="default" w:ascii="Times New Roman" w:hAnsi="Times New Roman" w:eastAsia="宋体" w:cs="Times New Roman"/>
                <w:color w:val="auto"/>
                <w:sz w:val="24"/>
                <w:szCs w:val="24"/>
              </w:rPr>
              <w:t>万元</w:t>
            </w:r>
          </w:p>
        </w:tc>
        <w:tc>
          <w:tcPr>
            <w:tcW w:w="1095" w:type="pct"/>
            <w:noWrap w:val="0"/>
            <w:vAlign w:val="center"/>
          </w:tcPr>
          <w:p w14:paraId="2262234B">
            <w:pPr>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环保投资总</w:t>
            </w:r>
          </w:p>
          <w:p w14:paraId="7768FD07">
            <w:pPr>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概算</w:t>
            </w:r>
          </w:p>
        </w:tc>
        <w:tc>
          <w:tcPr>
            <w:tcW w:w="582" w:type="pct"/>
            <w:noWrap w:val="0"/>
            <w:vAlign w:val="center"/>
          </w:tcPr>
          <w:p w14:paraId="3A1357FA">
            <w:pPr>
              <w:jc w:val="center"/>
              <w:rPr>
                <w:rFonts w:hint="default"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lang w:val="en-US" w:eastAsia="zh-CN"/>
              </w:rPr>
              <w:t>50</w:t>
            </w:r>
            <w:r>
              <w:rPr>
                <w:rFonts w:hint="default" w:ascii="Times New Roman" w:hAnsi="Times New Roman" w:eastAsia="宋体" w:cs="Times New Roman"/>
                <w:color w:val="auto"/>
                <w:sz w:val="24"/>
                <w:szCs w:val="24"/>
              </w:rPr>
              <w:t>万元</w:t>
            </w:r>
          </w:p>
        </w:tc>
        <w:tc>
          <w:tcPr>
            <w:tcW w:w="475" w:type="pct"/>
            <w:noWrap w:val="0"/>
            <w:vAlign w:val="center"/>
          </w:tcPr>
          <w:p w14:paraId="2B06CCA4">
            <w:pPr>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比例</w:t>
            </w:r>
          </w:p>
        </w:tc>
        <w:tc>
          <w:tcPr>
            <w:tcW w:w="1181" w:type="pct"/>
            <w:noWrap w:val="0"/>
            <w:vAlign w:val="center"/>
          </w:tcPr>
          <w:p w14:paraId="5393425A">
            <w:pPr>
              <w:jc w:val="center"/>
              <w:rPr>
                <w:rFonts w:hint="default"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lang w:val="en-US" w:eastAsia="zh-CN"/>
              </w:rPr>
              <w:t>10</w:t>
            </w:r>
            <w:r>
              <w:rPr>
                <w:rFonts w:hint="default" w:ascii="Times New Roman" w:hAnsi="Times New Roman" w:eastAsia="宋体" w:cs="Times New Roman"/>
                <w:color w:val="auto"/>
                <w:sz w:val="24"/>
                <w:szCs w:val="24"/>
              </w:rPr>
              <w:t>%</w:t>
            </w:r>
          </w:p>
        </w:tc>
      </w:tr>
      <w:tr w14:paraId="3C268C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3" w:hRule="atLeast"/>
        </w:trPr>
        <w:tc>
          <w:tcPr>
            <w:tcW w:w="884" w:type="pct"/>
            <w:noWrap w:val="0"/>
            <w:vAlign w:val="center"/>
          </w:tcPr>
          <w:p w14:paraId="0EF29497">
            <w:pPr>
              <w:jc w:val="center"/>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rPr>
              <w:t>实际总</w:t>
            </w:r>
            <w:r>
              <w:rPr>
                <w:rFonts w:hint="default" w:ascii="Times New Roman" w:hAnsi="Times New Roman" w:eastAsia="宋体" w:cs="Times New Roman"/>
                <w:color w:val="auto"/>
                <w:sz w:val="24"/>
                <w:szCs w:val="24"/>
                <w:highlight w:val="none"/>
                <w:lang w:val="en-US" w:eastAsia="zh-CN"/>
              </w:rPr>
              <w:t>投资</w:t>
            </w:r>
          </w:p>
        </w:tc>
        <w:tc>
          <w:tcPr>
            <w:tcW w:w="781" w:type="pct"/>
            <w:noWrap w:val="0"/>
            <w:vAlign w:val="center"/>
          </w:tcPr>
          <w:p w14:paraId="759F437A">
            <w:pPr>
              <w:jc w:val="center"/>
              <w:rPr>
                <w:rFonts w:hint="default"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lang w:val="en-US" w:eastAsia="zh-CN"/>
              </w:rPr>
              <w:t>500</w:t>
            </w:r>
            <w:r>
              <w:rPr>
                <w:rFonts w:hint="default" w:ascii="Times New Roman" w:hAnsi="Times New Roman" w:eastAsia="宋体" w:cs="Times New Roman"/>
                <w:color w:val="auto"/>
                <w:sz w:val="24"/>
                <w:szCs w:val="24"/>
                <w:highlight w:val="none"/>
              </w:rPr>
              <w:t>万元</w:t>
            </w:r>
          </w:p>
        </w:tc>
        <w:tc>
          <w:tcPr>
            <w:tcW w:w="1095" w:type="pct"/>
            <w:noWrap w:val="0"/>
            <w:vAlign w:val="center"/>
          </w:tcPr>
          <w:p w14:paraId="191B2A9D">
            <w:pPr>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环保投资</w:t>
            </w:r>
          </w:p>
        </w:tc>
        <w:tc>
          <w:tcPr>
            <w:tcW w:w="582" w:type="pct"/>
            <w:noWrap w:val="0"/>
            <w:vAlign w:val="center"/>
          </w:tcPr>
          <w:p w14:paraId="4BFE6386">
            <w:pPr>
              <w:jc w:val="center"/>
              <w:rPr>
                <w:rFonts w:hint="default"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lang w:val="en-US" w:eastAsia="zh-CN"/>
              </w:rPr>
              <w:t>50</w:t>
            </w:r>
            <w:r>
              <w:rPr>
                <w:rFonts w:hint="default" w:ascii="Times New Roman" w:hAnsi="Times New Roman" w:eastAsia="宋体" w:cs="Times New Roman"/>
                <w:color w:val="auto"/>
                <w:sz w:val="24"/>
                <w:szCs w:val="24"/>
                <w:highlight w:val="none"/>
              </w:rPr>
              <w:t>万元</w:t>
            </w:r>
          </w:p>
        </w:tc>
        <w:tc>
          <w:tcPr>
            <w:tcW w:w="475" w:type="pct"/>
            <w:noWrap w:val="0"/>
            <w:vAlign w:val="center"/>
          </w:tcPr>
          <w:p w14:paraId="0025964E">
            <w:pPr>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比例</w:t>
            </w:r>
          </w:p>
        </w:tc>
        <w:tc>
          <w:tcPr>
            <w:tcW w:w="1181" w:type="pct"/>
            <w:noWrap w:val="0"/>
            <w:vAlign w:val="center"/>
          </w:tcPr>
          <w:p w14:paraId="0AAA43F4">
            <w:pPr>
              <w:jc w:val="center"/>
              <w:rPr>
                <w:rFonts w:hint="default"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lang w:val="en-US" w:eastAsia="zh-CN"/>
              </w:rPr>
              <w:t>10</w:t>
            </w:r>
            <w:r>
              <w:rPr>
                <w:rFonts w:hint="default" w:ascii="Times New Roman" w:hAnsi="Times New Roman" w:eastAsia="宋体" w:cs="Times New Roman"/>
                <w:color w:val="auto"/>
                <w:sz w:val="24"/>
                <w:szCs w:val="24"/>
                <w:highlight w:val="none"/>
              </w:rPr>
              <w:t>%</w:t>
            </w:r>
          </w:p>
        </w:tc>
      </w:tr>
      <w:tr w14:paraId="0E6DA1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trPr>
        <w:tc>
          <w:tcPr>
            <w:tcW w:w="884" w:type="pct"/>
            <w:noWrap w:val="0"/>
            <w:vAlign w:val="center"/>
          </w:tcPr>
          <w:p w14:paraId="63800AD3">
            <w:pPr>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验收监测依据</w:t>
            </w:r>
          </w:p>
        </w:tc>
        <w:tc>
          <w:tcPr>
            <w:tcW w:w="4115" w:type="pct"/>
            <w:gridSpan w:val="5"/>
            <w:noWrap w:val="0"/>
            <w:vAlign w:val="center"/>
          </w:tcPr>
          <w:p w14:paraId="59A3B554">
            <w:pPr>
              <w:pStyle w:val="5"/>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1.1环境保护法律、法规</w:t>
            </w:r>
          </w:p>
          <w:p w14:paraId="5C3F2FFB">
            <w:pPr>
              <w:pStyle w:val="30"/>
              <w:ind w:firstLine="0" w:firstLineChars="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（1）《中华人民共和国环境保护法》（2015年1月1日施行）；</w:t>
            </w:r>
          </w:p>
          <w:p w14:paraId="7BE9B519">
            <w:pPr>
              <w:pStyle w:val="30"/>
              <w:ind w:firstLine="0" w:firstLineChars="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val="en-US" w:eastAsia="zh-CN"/>
              </w:rPr>
              <w:t>2</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《中华人民共和国环境影响评价法》（2018年12月29日修订）；</w:t>
            </w:r>
          </w:p>
          <w:p w14:paraId="7BD54A94">
            <w:pPr>
              <w:pStyle w:val="30"/>
              <w:ind w:firstLine="0" w:firstLineChars="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val="en-US" w:eastAsia="zh-CN"/>
              </w:rPr>
              <w:t>3</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《中华人民共和国大气污染防治法》（2018年10月26日修订）；</w:t>
            </w:r>
          </w:p>
          <w:p w14:paraId="44731203">
            <w:pPr>
              <w:pStyle w:val="30"/>
              <w:ind w:firstLine="0" w:firstLineChars="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val="en-US" w:eastAsia="zh-CN"/>
              </w:rPr>
              <w:t>4</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《中华人民共和国水污染防治法》（2017年6月27日修订）；</w:t>
            </w:r>
          </w:p>
          <w:p w14:paraId="0BB50A31">
            <w:pPr>
              <w:pStyle w:val="30"/>
              <w:ind w:firstLine="0" w:firstLineChars="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val="en-US" w:eastAsia="zh-CN"/>
              </w:rPr>
              <w:t>5</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《中华人民共和国环境噪声污染防治法》（2018年12月29日施行）；</w:t>
            </w:r>
          </w:p>
          <w:p w14:paraId="043ED7B2">
            <w:pPr>
              <w:pStyle w:val="30"/>
              <w:ind w:firstLine="0" w:firstLineChars="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val="en-US" w:eastAsia="zh-CN"/>
              </w:rPr>
              <w:t>6</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《中华人民共和国固体废物污染环境防治法》（2020年4月29日修订）；</w:t>
            </w:r>
          </w:p>
          <w:p w14:paraId="4DE55A5D">
            <w:pPr>
              <w:pStyle w:val="30"/>
              <w:ind w:firstLine="0" w:firstLineChars="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val="en-US" w:eastAsia="zh-CN"/>
              </w:rPr>
              <w:t>7</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《中华人民共和国水法》（2016年7月2日修订）；</w:t>
            </w:r>
          </w:p>
          <w:p w14:paraId="5C985314">
            <w:pPr>
              <w:pStyle w:val="30"/>
              <w:ind w:firstLine="0" w:firstLineChars="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val="en-US" w:eastAsia="zh-CN"/>
              </w:rPr>
              <w:t>8</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《中华人民共和国环境保护法》（2015年1月1日）</w:t>
            </w:r>
          </w:p>
          <w:p w14:paraId="172645D0">
            <w:pPr>
              <w:pStyle w:val="30"/>
              <w:ind w:firstLine="0" w:firstLineChars="0"/>
              <w:rPr>
                <w:rFonts w:hint="default" w:ascii="Times New Roman" w:hAnsi="Times New Roman" w:eastAsia="宋体" w:cs="Times New Roman"/>
                <w:color w:val="auto"/>
                <w:sz w:val="24"/>
                <w:szCs w:val="24"/>
                <w:lang w:eastAsia="zh-CN"/>
              </w:rPr>
            </w:pP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val="en-US" w:eastAsia="zh-CN"/>
              </w:rPr>
              <w:t>9</w:t>
            </w:r>
            <w:r>
              <w:rPr>
                <w:rFonts w:hint="default" w:ascii="Times New Roman" w:hAnsi="Times New Roman" w:eastAsia="宋体" w:cs="Times New Roman"/>
                <w:color w:val="auto"/>
                <w:sz w:val="24"/>
                <w:szCs w:val="24"/>
                <w:lang w:eastAsia="zh-CN"/>
              </w:rPr>
              <w:t>）《中华人民共和国长江保护法》（中华人民共和国主席令 第六十五号）</w:t>
            </w:r>
          </w:p>
          <w:p w14:paraId="3D6A3B37">
            <w:pPr>
              <w:pStyle w:val="5"/>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1.2环境保护行政法规和法规性文件</w:t>
            </w:r>
          </w:p>
          <w:p w14:paraId="1DF36885">
            <w:pPr>
              <w:pStyle w:val="30"/>
              <w:ind w:firstLine="0" w:firstLineChars="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val="en-US" w:eastAsia="zh-CN"/>
              </w:rPr>
              <w:t>1</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《建设项目环境保护管理条例》（国务院令第682号）；</w:t>
            </w:r>
          </w:p>
          <w:p w14:paraId="54A4FCFD">
            <w:pPr>
              <w:pStyle w:val="30"/>
              <w:ind w:firstLine="0" w:firstLineChars="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val="en-US" w:eastAsia="zh-CN"/>
              </w:rPr>
              <w:t>2</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《关于开展排污口规范化整治工作的通知》（环发[2011]38号）；</w:t>
            </w:r>
          </w:p>
          <w:p w14:paraId="75B3E49B">
            <w:pPr>
              <w:pStyle w:val="30"/>
              <w:ind w:firstLine="0" w:firstLineChars="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val="en-US" w:eastAsia="zh-CN"/>
              </w:rPr>
              <w:t>3</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《关于切实加强环境风险防范严格环境影响评价管理的通知》（环发[2012]77号）；</w:t>
            </w:r>
          </w:p>
          <w:p w14:paraId="33DD51AD">
            <w:pPr>
              <w:pStyle w:val="30"/>
              <w:ind w:firstLine="0" w:firstLineChars="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val="en-US" w:eastAsia="zh-CN"/>
              </w:rPr>
              <w:t>4</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《国家危险废物名录（2021 年版）》。</w:t>
            </w:r>
          </w:p>
          <w:p w14:paraId="1DCA7DF9">
            <w:pPr>
              <w:pStyle w:val="5"/>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1.3地方性法规和文件</w:t>
            </w:r>
          </w:p>
          <w:p w14:paraId="358DC05C">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（1）《重庆市环境保护条例》</w:t>
            </w:r>
            <w:bookmarkStart w:id="0" w:name="OLE_LINK12"/>
            <w:bookmarkStart w:id="1" w:name="OLE_LINK13"/>
            <w:r>
              <w:rPr>
                <w:rFonts w:hint="default" w:ascii="Times New Roman" w:hAnsi="Times New Roman" w:eastAsia="宋体" w:cs="Times New Roman"/>
                <w:sz w:val="24"/>
                <w:szCs w:val="24"/>
                <w:lang w:val="en-US" w:eastAsia="zh-CN"/>
              </w:rPr>
              <w:t>（2017年3月29日修订，2018年7月26日第二次修订）</w:t>
            </w:r>
            <w:bookmarkEnd w:id="0"/>
            <w:bookmarkEnd w:id="1"/>
            <w:r>
              <w:rPr>
                <w:rFonts w:hint="default" w:ascii="Times New Roman" w:hAnsi="Times New Roman" w:eastAsia="宋体" w:cs="Times New Roman"/>
                <w:sz w:val="24"/>
                <w:szCs w:val="24"/>
                <w:lang w:val="en-US" w:eastAsia="zh-CN"/>
              </w:rPr>
              <w:t>；</w:t>
            </w:r>
          </w:p>
          <w:p w14:paraId="5BCB80F2">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（2）《重庆市大气污染防治条例》（2017年6月1日施行）；</w:t>
            </w:r>
          </w:p>
          <w:p w14:paraId="3A388863">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（3）《重庆市环境噪声污染防治管理办法》（重庆市人民政府令270号）；</w:t>
            </w:r>
          </w:p>
          <w:p w14:paraId="62C5C42E">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w:t>
            </w:r>
            <w:r>
              <w:rPr>
                <w:rFonts w:hint="eastAsia" w:ascii="Times New Roman" w:hAnsi="Times New Roman" w:eastAsia="宋体" w:cs="Times New Roman"/>
                <w:sz w:val="24"/>
                <w:szCs w:val="24"/>
                <w:lang w:val="en-US" w:eastAsia="zh-CN"/>
              </w:rPr>
              <w:t>4</w:t>
            </w:r>
            <w:r>
              <w:rPr>
                <w:rFonts w:hint="default" w:ascii="Times New Roman" w:hAnsi="Times New Roman" w:eastAsia="宋体" w:cs="Times New Roman"/>
                <w:sz w:val="24"/>
                <w:szCs w:val="24"/>
                <w:lang w:val="en-US" w:eastAsia="zh-CN"/>
              </w:rPr>
              <w:t>）《重庆市人民政府关于印发重庆市环境空气质量功能区划分规定的通知》（渝府发〔2016〕19号）；</w:t>
            </w:r>
          </w:p>
          <w:p w14:paraId="0F22CA52">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w:t>
            </w:r>
            <w:r>
              <w:rPr>
                <w:rFonts w:hint="eastAsia" w:ascii="Times New Roman" w:hAnsi="Times New Roman" w:eastAsia="宋体" w:cs="Times New Roman"/>
                <w:sz w:val="24"/>
                <w:szCs w:val="24"/>
                <w:lang w:val="en-US" w:eastAsia="zh-CN"/>
              </w:rPr>
              <w:t>5</w:t>
            </w:r>
            <w:r>
              <w:rPr>
                <w:rFonts w:hint="default" w:ascii="Times New Roman" w:hAnsi="Times New Roman" w:eastAsia="宋体" w:cs="Times New Roman"/>
                <w:sz w:val="24"/>
                <w:szCs w:val="24"/>
                <w:lang w:val="en-US" w:eastAsia="zh-CN"/>
              </w:rPr>
              <w:t>）《重庆市环境保护局关于印发重庆市工业企业排污权有偿使用和交易工作实施细则的通知》（渝环〔2017〕249号）；</w:t>
            </w:r>
          </w:p>
          <w:p w14:paraId="1BE67D48">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w:t>
            </w:r>
            <w:r>
              <w:rPr>
                <w:rFonts w:hint="eastAsia" w:ascii="Times New Roman" w:hAnsi="Times New Roman" w:eastAsia="宋体" w:cs="Times New Roman"/>
                <w:sz w:val="24"/>
                <w:szCs w:val="24"/>
                <w:lang w:val="en-US" w:eastAsia="zh-CN"/>
              </w:rPr>
              <w:t>6</w:t>
            </w:r>
            <w:r>
              <w:rPr>
                <w:rFonts w:hint="default" w:ascii="Times New Roman" w:hAnsi="Times New Roman" w:eastAsia="宋体" w:cs="Times New Roman"/>
                <w:sz w:val="24"/>
                <w:szCs w:val="24"/>
                <w:lang w:val="en-US" w:eastAsia="zh-CN"/>
              </w:rPr>
              <w:t>）《重庆市水污染防治条例》（2020.10.1施行）。</w:t>
            </w:r>
          </w:p>
          <w:p w14:paraId="1F0E7E59">
            <w:pPr>
              <w:pStyle w:val="5"/>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1.</w:t>
            </w:r>
            <w:r>
              <w:rPr>
                <w:rFonts w:hint="default" w:ascii="Times New Roman" w:hAnsi="Times New Roman" w:eastAsia="宋体" w:cs="Times New Roman"/>
                <w:sz w:val="24"/>
                <w:szCs w:val="24"/>
                <w:highlight w:val="none"/>
                <w:lang w:val="en-US" w:eastAsia="zh-CN"/>
              </w:rPr>
              <w:t>4</w:t>
            </w:r>
            <w:r>
              <w:rPr>
                <w:rFonts w:hint="default" w:ascii="Times New Roman" w:hAnsi="Times New Roman" w:eastAsia="宋体" w:cs="Times New Roman"/>
                <w:sz w:val="24"/>
                <w:szCs w:val="24"/>
                <w:highlight w:val="none"/>
              </w:rPr>
              <w:t>建设项目竣工环境保护验收技术规范</w:t>
            </w:r>
          </w:p>
          <w:p w14:paraId="17C438E0">
            <w:pPr>
              <w:pStyle w:val="30"/>
              <w:ind w:firstLine="0" w:firstLineChars="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val="en-US" w:eastAsia="zh-CN"/>
              </w:rPr>
              <w:t>1</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生态环境部公告2018年第9号《建设项目竣工环境保护验收技术指南 污染影响类》（2018年5月15日）；</w:t>
            </w:r>
          </w:p>
          <w:p w14:paraId="0E33CCCF">
            <w:pPr>
              <w:pStyle w:val="30"/>
              <w:ind w:firstLine="0" w:firstLineChars="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val="en-US" w:eastAsia="zh-CN"/>
              </w:rPr>
              <w:t>2</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《建设项目竣工环境保护验收暂行办法》国环规环评[2017]4号；</w:t>
            </w:r>
          </w:p>
          <w:p w14:paraId="6ACDD28D">
            <w:pPr>
              <w:pStyle w:val="30"/>
              <w:ind w:firstLine="0" w:firstLineChars="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val="en-US" w:eastAsia="zh-CN"/>
              </w:rPr>
              <w:t>3</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渝环[2010]257号《重庆市环境保护局关于印发重庆市建设项目竣工环境保护验收技术规范的通知》（2010年9月15日）。</w:t>
            </w:r>
          </w:p>
          <w:p w14:paraId="68B8B12A">
            <w:pPr>
              <w:pStyle w:val="5"/>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1.</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5</w:t>
            </w:r>
            <w:r>
              <w:rPr>
                <w:rFonts w:hint="default" w:ascii="Times New Roman" w:hAnsi="Times New Roman" w:eastAsia="宋体" w:cs="Times New Roman"/>
                <w:color w:val="000000" w:themeColor="text1"/>
                <w:sz w:val="24"/>
                <w:szCs w:val="24"/>
                <w:highlight w:val="none"/>
                <w14:textFill>
                  <w14:solidFill>
                    <w14:schemeClr w14:val="tx1"/>
                  </w14:solidFill>
                </w14:textFill>
              </w:rPr>
              <w:t>建设项目过程及环保手续履行情况</w:t>
            </w:r>
          </w:p>
          <w:p w14:paraId="598B5CC6">
            <w:pPr>
              <w:pStyle w:val="30"/>
              <w:ind w:firstLine="0" w:firstLineChars="0"/>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（1</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14:textFill>
                  <w14:solidFill>
                    <w14:schemeClr w14:val="tx1"/>
                  </w14:solidFill>
                </w14:textFill>
              </w:rPr>
              <w:t>20</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2</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5</w:t>
            </w:r>
            <w:r>
              <w:rPr>
                <w:rFonts w:hint="default" w:ascii="Times New Roman" w:hAnsi="Times New Roman" w:eastAsia="宋体" w:cs="Times New Roman"/>
                <w:color w:val="000000" w:themeColor="text1"/>
                <w:sz w:val="24"/>
                <w:szCs w:val="24"/>
                <w:highlight w:val="none"/>
                <w14:textFill>
                  <w14:solidFill>
                    <w14:schemeClr w14:val="tx1"/>
                  </w14:solidFill>
                </w14:textFill>
              </w:rPr>
              <w:t>年</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9</w:t>
            </w:r>
            <w:r>
              <w:rPr>
                <w:rFonts w:hint="default" w:ascii="Times New Roman" w:hAnsi="Times New Roman" w:eastAsia="宋体" w:cs="Times New Roman"/>
                <w:color w:val="000000" w:themeColor="text1"/>
                <w:sz w:val="24"/>
                <w:szCs w:val="24"/>
                <w:highlight w:val="none"/>
                <w14:textFill>
                  <w14:solidFill>
                    <w14:schemeClr w14:val="tx1"/>
                  </w14:solidFill>
                </w14:textFill>
              </w:rPr>
              <w:t>月，</w:t>
            </w:r>
            <w:r>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t>重庆东驰环保工程有限公司</w:t>
            </w:r>
            <w:r>
              <w:rPr>
                <w:rFonts w:hint="default" w:ascii="Times New Roman" w:hAnsi="Times New Roman" w:eastAsia="宋体" w:cs="Times New Roman"/>
                <w:color w:val="000000" w:themeColor="text1"/>
                <w:sz w:val="24"/>
                <w:szCs w:val="24"/>
                <w:highlight w:val="none"/>
                <w14:textFill>
                  <w14:solidFill>
                    <w14:schemeClr w14:val="tx1"/>
                  </w14:solidFill>
                </w14:textFill>
              </w:rPr>
              <w:t>编制完成了《</w:t>
            </w:r>
            <w:r>
              <w:rPr>
                <w:rFonts w:hint="eastAsia" w:ascii="Times New Roman" w:hAnsi="Times New Roman" w:eastAsia="宋体" w:cs="Times New Roman"/>
                <w:bCs/>
                <w:color w:val="000000" w:themeColor="text1"/>
                <w:sz w:val="24"/>
                <w:szCs w:val="24"/>
                <w:highlight w:val="none"/>
                <w:lang w:val="en-US" w:eastAsia="zh-CN"/>
                <w14:textFill>
                  <w14:solidFill>
                    <w14:schemeClr w14:val="tx1"/>
                  </w14:solidFill>
                </w14:textFill>
              </w:rPr>
              <w:t>重庆创池再生资源回收有限公司</w:t>
            </w:r>
            <w:r>
              <w:rPr>
                <w:rFonts w:hint="eastAsia" w:eastAsia="宋体"/>
                <w:color w:val="000000" w:themeColor="text1"/>
                <w:lang w:eastAsia="zh-CN"/>
                <w14:textFill>
                  <w14:solidFill>
                    <w14:schemeClr w14:val="tx1"/>
                  </w14:solidFill>
                </w14:textFill>
              </w:rPr>
              <w:t>创池危险废物集中收集转运项目</w:t>
            </w:r>
            <w:r>
              <w:rPr>
                <w:rFonts w:hint="default" w:ascii="Times New Roman" w:hAnsi="Times New Roman" w:eastAsia="宋体" w:cs="Times New Roman"/>
                <w:color w:val="000000" w:themeColor="text1"/>
                <w:sz w:val="24"/>
                <w:szCs w:val="24"/>
                <w:highlight w:val="none"/>
                <w14:textFill>
                  <w14:solidFill>
                    <w14:schemeClr w14:val="tx1"/>
                  </w14:solidFill>
                </w14:textFill>
              </w:rPr>
              <w:t>环境影响报告</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表</w:t>
            </w:r>
            <w:r>
              <w:rPr>
                <w:rFonts w:hint="default" w:ascii="Times New Roman" w:hAnsi="Times New Roman" w:eastAsia="宋体" w:cs="Times New Roman"/>
                <w:color w:val="000000" w:themeColor="text1"/>
                <w:sz w:val="24"/>
                <w:szCs w:val="24"/>
                <w:highlight w:val="none"/>
                <w14:textFill>
                  <w14:solidFill>
                    <w14:schemeClr w14:val="tx1"/>
                  </w14:solidFill>
                </w14:textFill>
              </w:rPr>
              <w:t>》；</w:t>
            </w:r>
          </w:p>
          <w:p w14:paraId="34B91966">
            <w:pPr>
              <w:pStyle w:val="30"/>
              <w:ind w:firstLine="0" w:firstLineChars="0"/>
              <w:rPr>
                <w:rFonts w:hint="default" w:ascii="Times New Roman" w:hAnsi="Times New Roman" w:eastAsia="宋体" w:cs="Times New Roman"/>
                <w:color w:val="FF0000"/>
                <w:sz w:val="24"/>
                <w:szCs w:val="24"/>
                <w:highlight w:val="none"/>
                <w:lang w:eastAsia="zh-CN"/>
              </w:rPr>
            </w:pPr>
            <w:r>
              <w:rPr>
                <w:rFonts w:hint="default" w:ascii="Times New Roman" w:hAnsi="Times New Roman" w:eastAsia="宋体" w:cs="Times New Roman"/>
                <w:color w:val="000000" w:themeColor="text1"/>
                <w:sz w:val="24"/>
                <w:szCs w:val="24"/>
                <w:highlight w:val="none"/>
                <w14:textFill>
                  <w14:solidFill>
                    <w14:schemeClr w14:val="tx1"/>
                  </w14:solidFill>
                </w14:textFill>
              </w:rPr>
              <w:t>（2）</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20</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25</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年</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9</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月</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10</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日，重庆市</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万州区生态环境局</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下达了《重庆市建设项目环境影响评价文件批准书》（</w:t>
            </w:r>
            <w:r>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t>渝(</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万</w:t>
            </w:r>
            <w:r>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t>)环准〔2025】</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50号）</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，同意本项目建设</w:t>
            </w:r>
            <w:r>
              <w:rPr>
                <w:rFonts w:hint="default" w:ascii="Times New Roman" w:hAnsi="Times New Roman" w:eastAsia="宋体" w:cs="Times New Roman"/>
                <w:color w:val="auto"/>
                <w:sz w:val="24"/>
                <w:szCs w:val="24"/>
                <w:highlight w:val="none"/>
                <w:lang w:eastAsia="zh-CN"/>
              </w:rPr>
              <w:t>；</w:t>
            </w:r>
          </w:p>
          <w:p w14:paraId="1339798B">
            <w:pPr>
              <w:pStyle w:val="30"/>
              <w:ind w:firstLine="0" w:firstLineChars="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（3）20</w:t>
            </w:r>
            <w:r>
              <w:rPr>
                <w:rFonts w:hint="default" w:ascii="Times New Roman" w:hAnsi="Times New Roman" w:eastAsia="宋体" w:cs="Times New Roman"/>
                <w:color w:val="auto"/>
                <w:sz w:val="24"/>
                <w:szCs w:val="24"/>
                <w:highlight w:val="none"/>
                <w:lang w:val="en-US" w:eastAsia="zh-CN"/>
              </w:rPr>
              <w:t>2</w:t>
            </w:r>
            <w:r>
              <w:rPr>
                <w:rFonts w:hint="eastAsia" w:ascii="Times New Roman" w:hAnsi="Times New Roman" w:eastAsia="宋体" w:cs="Times New Roman"/>
                <w:color w:val="auto"/>
                <w:sz w:val="24"/>
                <w:szCs w:val="24"/>
                <w:highlight w:val="none"/>
                <w:lang w:val="en-US" w:eastAsia="zh-CN"/>
              </w:rPr>
              <w:t>5</w:t>
            </w:r>
            <w:r>
              <w:rPr>
                <w:rFonts w:hint="default" w:ascii="Times New Roman" w:hAnsi="Times New Roman" w:eastAsia="宋体" w:cs="Times New Roman"/>
                <w:color w:val="auto"/>
                <w:sz w:val="24"/>
                <w:szCs w:val="24"/>
                <w:highlight w:val="none"/>
              </w:rPr>
              <w:t>年</w:t>
            </w:r>
            <w:r>
              <w:rPr>
                <w:rFonts w:hint="eastAsia" w:ascii="Times New Roman" w:hAnsi="Times New Roman" w:eastAsia="宋体" w:cs="Times New Roman"/>
                <w:color w:val="auto"/>
                <w:sz w:val="24"/>
                <w:szCs w:val="24"/>
                <w:highlight w:val="none"/>
                <w:lang w:val="en-US" w:eastAsia="zh-CN"/>
              </w:rPr>
              <w:t>10</w:t>
            </w:r>
            <w:r>
              <w:rPr>
                <w:rFonts w:hint="default" w:ascii="Times New Roman" w:hAnsi="Times New Roman" w:eastAsia="宋体" w:cs="Times New Roman"/>
                <w:color w:val="auto"/>
                <w:sz w:val="24"/>
                <w:szCs w:val="24"/>
                <w:highlight w:val="none"/>
              </w:rPr>
              <w:t>月本项目开工建设，</w:t>
            </w:r>
            <w:r>
              <w:rPr>
                <w:rFonts w:hint="eastAsia" w:ascii="Times New Roman" w:hAnsi="Times New Roman" w:eastAsia="宋体" w:cs="Times New Roman"/>
                <w:color w:val="auto"/>
                <w:sz w:val="24"/>
                <w:szCs w:val="24"/>
                <w:highlight w:val="none"/>
                <w:lang w:val="en-US" w:eastAsia="zh-CN"/>
              </w:rPr>
              <w:t>12月</w:t>
            </w:r>
            <w:r>
              <w:rPr>
                <w:rFonts w:hint="default" w:ascii="Times New Roman" w:hAnsi="Times New Roman" w:eastAsia="宋体" w:cs="Times New Roman"/>
                <w:color w:val="auto"/>
                <w:sz w:val="24"/>
                <w:szCs w:val="24"/>
                <w:highlight w:val="none"/>
              </w:rPr>
              <w:t>建设完成进行调试；</w:t>
            </w:r>
          </w:p>
          <w:p w14:paraId="444F9CF9">
            <w:pPr>
              <w:keepNext w:val="0"/>
              <w:keepLines w:val="0"/>
              <w:widowControl/>
              <w:suppressLineNumbers w:val="0"/>
              <w:jc w:val="left"/>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（4）</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202</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5</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年</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12月19日</w:t>
            </w:r>
            <w:r>
              <w:rPr>
                <w:rFonts w:hint="default" w:ascii="Times New Roman" w:hAnsi="Times New Roman" w:eastAsia="宋体" w:cs="Times New Roman"/>
                <w:color w:val="000000" w:themeColor="text1"/>
                <w:sz w:val="24"/>
                <w:szCs w:val="24"/>
                <w:highlight w:val="none"/>
                <w14:textFill>
                  <w14:solidFill>
                    <w14:schemeClr w14:val="tx1"/>
                  </w14:solidFill>
                </w14:textFill>
              </w:rPr>
              <w:t>，</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取得了固定污染源排污</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许可证</w:t>
            </w:r>
            <w:r>
              <w:rPr>
                <w:rFonts w:hint="default" w:ascii="Times New Roman" w:hAnsi="Times New Roman" w:eastAsia="宋体" w:cs="Times New Roman"/>
                <w:color w:val="000000" w:themeColor="text1"/>
                <w:sz w:val="24"/>
                <w:szCs w:val="24"/>
                <w:highlight w:val="none"/>
                <w14:textFill>
                  <w14:solidFill>
                    <w14:schemeClr w14:val="tx1"/>
                  </w14:solidFill>
                </w14:textFill>
              </w:rPr>
              <w:t>（</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证书</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编</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号</w:t>
            </w:r>
            <w:r>
              <w:rPr>
                <w:rFonts w:hint="default" w:ascii="Times New Roman" w:hAnsi="Times New Roman" w:eastAsia="宋体" w:cs="Times New Roman"/>
                <w:color w:val="000000" w:themeColor="text1"/>
                <w:sz w:val="24"/>
                <w:szCs w:val="24"/>
                <w:highlight w:val="none"/>
                <w14:textFill>
                  <w14:solidFill>
                    <w14:schemeClr w14:val="tx1"/>
                  </w14:solidFill>
                </w14:textFill>
              </w:rPr>
              <w:t>：</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91500101MADR5U3549001V）</w:t>
            </w:r>
            <w:r>
              <w:rPr>
                <w:rFonts w:hint="default" w:ascii="Times New Roman" w:hAnsi="Times New Roman" w:eastAsia="宋体" w:cs="Times New Roman"/>
                <w:color w:val="000000" w:themeColor="text1"/>
                <w:sz w:val="24"/>
                <w:szCs w:val="24"/>
                <w:highlight w:val="none"/>
                <w14:textFill>
                  <w14:solidFill>
                    <w14:schemeClr w14:val="tx1"/>
                  </w14:solidFill>
                </w14:textFill>
              </w:rPr>
              <w:t>；</w:t>
            </w:r>
          </w:p>
          <w:p w14:paraId="30D77677">
            <w:pPr>
              <w:pStyle w:val="30"/>
              <w:ind w:firstLine="0" w:firstLineChars="0"/>
              <w:rPr>
                <w:rFonts w:hint="default" w:ascii="Times New Roman" w:hAnsi="Times New Roman" w:eastAsia="宋体" w:cs="Times New Roman"/>
                <w:color w:val="auto"/>
                <w:sz w:val="24"/>
                <w:szCs w:val="24"/>
              </w:rPr>
            </w:pPr>
            <w:r>
              <w:rPr>
                <w:rFonts w:hint="default" w:ascii="Times New Roman" w:hAnsi="Times New Roman" w:eastAsia="宋体" w:cs="Times New Roman"/>
                <w:color w:val="000000" w:themeColor="text1"/>
                <w:sz w:val="24"/>
                <w:szCs w:val="24"/>
                <w:highlight w:val="none"/>
                <w14:textFill>
                  <w14:solidFill>
                    <w14:schemeClr w14:val="tx1"/>
                  </w14:solidFill>
                </w14:textFill>
              </w:rPr>
              <w:t>（5）</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202</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6</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年</w:t>
            </w:r>
            <w:r>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t>，重庆鑫蒲江环境检测有限公司</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对该单位排放的废气</w:t>
            </w:r>
            <w:r>
              <w:rPr>
                <w:rFonts w:hint="default" w:ascii="Times New Roman" w:hAnsi="Times New Roman" w:eastAsia="宋体" w:cs="Times New Roman"/>
                <w:color w:val="auto"/>
                <w:sz w:val="24"/>
                <w:szCs w:val="24"/>
                <w:highlight w:val="none"/>
                <w:lang w:eastAsia="zh-CN"/>
              </w:rPr>
              <w:t>、废水、噪声进行采样监测。</w:t>
            </w:r>
          </w:p>
        </w:tc>
      </w:tr>
      <w:tr w14:paraId="76B1D2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trPr>
        <w:tc>
          <w:tcPr>
            <w:tcW w:w="884" w:type="pct"/>
            <w:noWrap w:val="0"/>
            <w:vAlign w:val="center"/>
          </w:tcPr>
          <w:p w14:paraId="2CDA5861">
            <w:pPr>
              <w:spacing w:line="360" w:lineRule="auto"/>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验收监测评价标准、标号、级别、限值</w:t>
            </w:r>
          </w:p>
        </w:tc>
        <w:tc>
          <w:tcPr>
            <w:tcW w:w="4115" w:type="pct"/>
            <w:gridSpan w:val="5"/>
            <w:noWrap w:val="0"/>
            <w:vAlign w:val="center"/>
          </w:tcPr>
          <w:p w14:paraId="6EB32D0A">
            <w:pPr>
              <w:pStyle w:val="5"/>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w:t>
            </w:r>
            <w:r>
              <w:rPr>
                <w:rFonts w:hint="default" w:ascii="Times New Roman" w:hAnsi="Times New Roman" w:eastAsia="宋体" w:cs="Times New Roman"/>
                <w:sz w:val="24"/>
                <w:szCs w:val="24"/>
                <w:lang w:val="en-US" w:eastAsia="zh-CN"/>
              </w:rPr>
              <w:t>6</w:t>
            </w:r>
            <w:r>
              <w:rPr>
                <w:rFonts w:hint="default" w:ascii="Times New Roman" w:hAnsi="Times New Roman" w:eastAsia="宋体" w:cs="Times New Roman"/>
                <w:sz w:val="24"/>
                <w:szCs w:val="24"/>
              </w:rPr>
              <w:t>质量标准</w:t>
            </w:r>
          </w:p>
          <w:p w14:paraId="6F0BB3D3">
            <w:pPr>
              <w:rPr>
                <w:rFonts w:hint="default" w:eastAsia="宋体"/>
                <w:lang w:val="en-US" w:eastAsia="zh-CN"/>
              </w:rPr>
            </w:pPr>
            <w:r>
              <w:rPr>
                <w:rFonts w:hint="eastAsia" w:ascii="Times New Roman" w:hAnsi="Times New Roman" w:eastAsia="宋体" w:cs="Times New Roman"/>
                <w:sz w:val="24"/>
                <w:szCs w:val="24"/>
                <w:lang w:val="en-US" w:eastAsia="zh-CN"/>
              </w:rPr>
              <w:t>1、环境空气</w:t>
            </w:r>
          </w:p>
          <w:p w14:paraId="53479A47">
            <w:pPr>
              <w:pStyle w:val="69"/>
              <w:spacing w:before="0" w:beforeLines="0" w:line="360" w:lineRule="auto"/>
              <w:ind w:left="0" w:leftChars="0" w:right="0" w:rightChars="0" w:firstLine="482" w:firstLineChars="200"/>
              <w:rPr>
                <w:b/>
                <w:bCs/>
                <w:color w:val="auto"/>
                <w:sz w:val="24"/>
              </w:rPr>
            </w:pPr>
            <w:r>
              <w:rPr>
                <w:b/>
                <w:bCs/>
                <w:color w:val="auto"/>
                <w:sz w:val="24"/>
              </w:rPr>
              <w:t>项目所在地特征因子监测</w:t>
            </w:r>
          </w:p>
          <w:p w14:paraId="287E3353">
            <w:pPr>
              <w:pStyle w:val="69"/>
              <w:spacing w:before="0" w:beforeLines="0" w:line="360" w:lineRule="auto"/>
              <w:ind w:left="0" w:leftChars="0" w:right="0" w:rightChars="0" w:firstLineChars="200"/>
              <w:rPr>
                <w:color w:val="auto"/>
                <w:sz w:val="24"/>
              </w:rPr>
            </w:pPr>
            <w:r>
              <w:rPr>
                <w:color w:val="auto"/>
                <w:sz w:val="24"/>
              </w:rPr>
              <w:t>根据《重庆市环境空气质量功能区划分规定》（渝府发</w:t>
            </w:r>
            <w:r>
              <w:rPr>
                <w:rFonts w:hint="eastAsia"/>
                <w:color w:val="auto"/>
                <w:sz w:val="24"/>
                <w:lang w:eastAsia="zh-CN"/>
              </w:rPr>
              <w:t>〔2016〕19号</w:t>
            </w:r>
            <w:r>
              <w:rPr>
                <w:color w:val="auto"/>
                <w:sz w:val="24"/>
              </w:rPr>
              <w:t>），项目所在地属环境空气功能二类区。非甲烷总烃执行河北省地方标准《环境空气质量非甲烷总烃限值》（DB13/1577-2012），总悬浮颗粒物执行《环境空气质量标准》（GB 3095-2012）二级标准。</w:t>
            </w:r>
          </w:p>
          <w:p w14:paraId="1A74BDFF">
            <w:pPr>
              <w:pStyle w:val="69"/>
              <w:spacing w:before="0" w:beforeLines="0" w:line="360" w:lineRule="auto"/>
              <w:ind w:left="0" w:leftChars="0" w:right="0" w:rightChars="0" w:firstLineChars="200"/>
              <w:rPr>
                <w:color w:val="auto"/>
                <w:sz w:val="24"/>
              </w:rPr>
            </w:pPr>
            <w:r>
              <w:rPr>
                <w:color w:val="auto"/>
                <w:sz w:val="24"/>
              </w:rPr>
              <w:t>总悬浮颗粒物、非甲烷总烃</w:t>
            </w:r>
            <w:r>
              <w:rPr>
                <w:rFonts w:hint="eastAsia"/>
                <w:color w:val="auto"/>
                <w:sz w:val="24"/>
                <w:lang w:val="en-US" w:eastAsia="zh-CN"/>
              </w:rPr>
              <w:t>委托</w:t>
            </w:r>
            <w:r>
              <w:rPr>
                <w:color w:val="auto"/>
                <w:sz w:val="24"/>
              </w:rPr>
              <w:t>重庆</w:t>
            </w:r>
            <w:r>
              <w:rPr>
                <w:rFonts w:hint="eastAsia"/>
                <w:color w:val="auto"/>
                <w:sz w:val="24"/>
                <w:lang w:val="en-US" w:eastAsia="zh-CN"/>
              </w:rPr>
              <w:t>新晨</w:t>
            </w:r>
            <w:r>
              <w:rPr>
                <w:color w:val="auto"/>
                <w:sz w:val="24"/>
              </w:rPr>
              <w:t>环境监测</w:t>
            </w:r>
            <w:r>
              <w:rPr>
                <w:rFonts w:hint="eastAsia"/>
                <w:color w:val="auto"/>
                <w:sz w:val="24"/>
                <w:lang w:val="en-US" w:eastAsia="zh-CN"/>
              </w:rPr>
              <w:t>有限公司对</w:t>
            </w:r>
            <w:r>
              <w:rPr>
                <w:color w:val="auto"/>
                <w:sz w:val="24"/>
              </w:rPr>
              <w:t>项目所在区域环境现状质量</w:t>
            </w:r>
            <w:r>
              <w:rPr>
                <w:rFonts w:hint="eastAsia"/>
                <w:color w:val="auto"/>
                <w:sz w:val="24"/>
                <w:lang w:val="en-US" w:eastAsia="zh-CN"/>
              </w:rPr>
              <w:t>进行</w:t>
            </w:r>
            <w:r>
              <w:rPr>
                <w:color w:val="auto"/>
                <w:sz w:val="24"/>
              </w:rPr>
              <w:t>监测</w:t>
            </w:r>
            <w:r>
              <w:rPr>
                <w:rFonts w:hint="eastAsia"/>
                <w:color w:val="auto"/>
                <w:sz w:val="24"/>
                <w:lang w:eastAsia="zh-CN"/>
              </w:rPr>
              <w:t>，</w:t>
            </w:r>
            <w:r>
              <w:rPr>
                <w:rFonts w:hint="default" w:ascii="Times New Roman" w:hAnsi="Times New Roman" w:cs="Times New Roman"/>
                <w:color w:val="auto"/>
                <w:sz w:val="24"/>
                <w:lang w:val="en-US" w:eastAsia="zh-CN"/>
              </w:rPr>
              <w:t>监测报告为新晨（检）字</w:t>
            </w:r>
            <w:r>
              <w:rPr>
                <w:rFonts w:hint="default" w:ascii="Times New Roman" w:hAnsi="Times New Roman" w:eastAsia="宋体" w:cs="Times New Roman"/>
                <w:color w:val="auto"/>
                <w:sz w:val="24"/>
                <w:lang w:val="en-US" w:eastAsia="zh-CN"/>
              </w:rPr>
              <w:t>〔</w:t>
            </w:r>
            <w:r>
              <w:rPr>
                <w:rFonts w:hint="default" w:ascii="Times New Roman" w:hAnsi="Times New Roman" w:cs="Times New Roman"/>
                <w:color w:val="auto"/>
                <w:sz w:val="24"/>
                <w:lang w:val="en-US" w:eastAsia="zh-CN"/>
              </w:rPr>
              <w:t>2025</w:t>
            </w:r>
            <w:r>
              <w:rPr>
                <w:rFonts w:hint="default" w:ascii="Times New Roman" w:hAnsi="Times New Roman" w:eastAsia="宋体" w:cs="Times New Roman"/>
                <w:color w:val="auto"/>
                <w:sz w:val="24"/>
                <w:lang w:val="en-US" w:eastAsia="zh-CN"/>
              </w:rPr>
              <w:t>〕</w:t>
            </w:r>
            <w:r>
              <w:rPr>
                <w:rFonts w:hint="default" w:ascii="Times New Roman" w:hAnsi="Times New Roman" w:cs="Times New Roman"/>
                <w:color w:val="auto"/>
                <w:sz w:val="24"/>
                <w:lang w:val="en-US" w:eastAsia="zh-CN"/>
              </w:rPr>
              <w:t>第225号</w:t>
            </w:r>
            <w:r>
              <w:rPr>
                <w:rFonts w:hint="default" w:ascii="Times New Roman" w:hAnsi="Times New Roman" w:cs="Times New Roman"/>
                <w:color w:val="auto"/>
                <w:sz w:val="24"/>
              </w:rPr>
              <w:t>。</w:t>
            </w:r>
            <w:r>
              <w:rPr>
                <w:color w:val="auto"/>
                <w:sz w:val="24"/>
              </w:rPr>
              <w:t>监测点位于项目南侧，监测时间为202</w:t>
            </w:r>
            <w:r>
              <w:rPr>
                <w:rFonts w:hint="eastAsia"/>
                <w:color w:val="auto"/>
                <w:sz w:val="24"/>
                <w:lang w:val="en-US" w:eastAsia="zh-CN"/>
              </w:rPr>
              <w:t>5</w:t>
            </w:r>
            <w:r>
              <w:rPr>
                <w:color w:val="auto"/>
                <w:sz w:val="24"/>
              </w:rPr>
              <w:t>年</w:t>
            </w:r>
            <w:r>
              <w:rPr>
                <w:rFonts w:hint="eastAsia"/>
                <w:color w:val="auto"/>
                <w:sz w:val="24"/>
                <w:lang w:val="en-US" w:eastAsia="zh-CN"/>
              </w:rPr>
              <w:t>4</w:t>
            </w:r>
            <w:r>
              <w:rPr>
                <w:color w:val="auto"/>
                <w:sz w:val="24"/>
              </w:rPr>
              <w:t>月15日</w:t>
            </w:r>
            <w:r>
              <w:rPr>
                <w:rFonts w:hint="eastAsia"/>
                <w:color w:val="auto"/>
                <w:sz w:val="24"/>
                <w:lang w:val="en-US" w:eastAsia="zh-CN"/>
              </w:rPr>
              <w:t>~17</w:t>
            </w:r>
            <w:r>
              <w:rPr>
                <w:color w:val="auto"/>
                <w:sz w:val="24"/>
              </w:rPr>
              <w:t>日。</w:t>
            </w:r>
          </w:p>
          <w:p w14:paraId="17C6A301">
            <w:pPr>
              <w:pStyle w:val="69"/>
              <w:spacing w:before="0" w:beforeLines="0" w:line="360" w:lineRule="auto"/>
              <w:ind w:left="0" w:leftChars="0" w:right="0" w:rightChars="0" w:firstLineChars="200"/>
              <w:rPr>
                <w:color w:val="auto"/>
                <w:sz w:val="24"/>
              </w:rPr>
            </w:pPr>
            <w:r>
              <w:rPr>
                <w:color w:val="auto"/>
                <w:sz w:val="24"/>
              </w:rPr>
              <w:t>监测结果见表3</w:t>
            </w:r>
            <w:r>
              <w:rPr>
                <w:rFonts w:hint="eastAsia"/>
                <w:color w:val="auto"/>
                <w:sz w:val="24"/>
                <w:lang w:val="en-US" w:eastAsia="zh-CN"/>
              </w:rPr>
              <w:t>-2</w:t>
            </w:r>
            <w:r>
              <w:rPr>
                <w:color w:val="auto"/>
                <w:sz w:val="24"/>
              </w:rPr>
              <w:t>。</w:t>
            </w:r>
          </w:p>
          <w:p w14:paraId="3A8DDB9F">
            <w:pPr>
              <w:pStyle w:val="70"/>
              <w:spacing w:before="0" w:beforeLines="0"/>
              <w:rPr>
                <w:color w:val="auto"/>
                <w:sz w:val="24"/>
              </w:rPr>
            </w:pPr>
          </w:p>
          <w:p w14:paraId="0C4190C2">
            <w:pPr>
              <w:pStyle w:val="70"/>
              <w:spacing w:before="0" w:beforeLines="0"/>
              <w:rPr>
                <w:color w:val="auto"/>
                <w:sz w:val="24"/>
              </w:rPr>
            </w:pPr>
          </w:p>
          <w:p w14:paraId="1229F5E7">
            <w:pPr>
              <w:pStyle w:val="70"/>
              <w:spacing w:before="0" w:beforeLines="0"/>
              <w:rPr>
                <w:color w:val="auto"/>
                <w:sz w:val="24"/>
              </w:rPr>
            </w:pPr>
            <w:r>
              <w:rPr>
                <w:color w:val="auto"/>
                <w:sz w:val="24"/>
              </w:rPr>
              <w:t>表3</w:t>
            </w:r>
            <w:r>
              <w:rPr>
                <w:rFonts w:hint="eastAsia"/>
                <w:color w:val="auto"/>
                <w:sz w:val="24"/>
                <w:lang w:val="en-US" w:eastAsia="zh-CN"/>
              </w:rPr>
              <w:t>-2</w:t>
            </w:r>
            <w:r>
              <w:rPr>
                <w:color w:val="auto"/>
                <w:sz w:val="24"/>
              </w:rPr>
              <w:t xml:space="preserve"> 补充监测点位基本情况</w:t>
            </w:r>
          </w:p>
          <w:tbl>
            <w:tblPr>
              <w:tblStyle w:val="23"/>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5"/>
              <w:gridCol w:w="690"/>
              <w:gridCol w:w="848"/>
              <w:gridCol w:w="1667"/>
              <w:gridCol w:w="1492"/>
              <w:gridCol w:w="728"/>
              <w:gridCol w:w="1132"/>
            </w:tblGrid>
            <w:tr w14:paraId="089ED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71" w:type="dxa"/>
                  <w:vMerge w:val="restart"/>
                  <w:tcBorders>
                    <w:top w:val="single" w:color="auto" w:sz="4" w:space="0"/>
                    <w:left w:val="single" w:color="auto" w:sz="4" w:space="0"/>
                    <w:bottom w:val="single" w:color="auto" w:sz="4" w:space="0"/>
                    <w:right w:val="single" w:color="auto" w:sz="4" w:space="0"/>
                  </w:tcBorders>
                  <w:noWrap w:val="0"/>
                  <w:vAlign w:val="center"/>
                </w:tcPr>
                <w:p w14:paraId="647819A7">
                  <w:pPr>
                    <w:jc w:val="center"/>
                    <w:rPr>
                      <w:color w:val="auto"/>
                    </w:rPr>
                  </w:pPr>
                  <w:r>
                    <w:rPr>
                      <w:color w:val="auto"/>
                    </w:rPr>
                    <w:t>监测点名称</w:t>
                  </w:r>
                </w:p>
              </w:tc>
              <w:tc>
                <w:tcPr>
                  <w:tcW w:w="1642" w:type="dxa"/>
                  <w:gridSpan w:val="2"/>
                  <w:tcBorders>
                    <w:top w:val="single" w:color="auto" w:sz="4" w:space="0"/>
                    <w:left w:val="single" w:color="auto" w:sz="4" w:space="0"/>
                    <w:bottom w:val="single" w:color="auto" w:sz="4" w:space="0"/>
                    <w:right w:val="single" w:color="auto" w:sz="4" w:space="0"/>
                  </w:tcBorders>
                  <w:noWrap w:val="0"/>
                  <w:vAlign w:val="center"/>
                </w:tcPr>
                <w:p w14:paraId="44B3E3B8">
                  <w:pPr>
                    <w:jc w:val="center"/>
                    <w:rPr>
                      <w:color w:val="auto"/>
                    </w:rPr>
                  </w:pPr>
                  <w:r>
                    <w:rPr>
                      <w:color w:val="auto"/>
                    </w:rPr>
                    <w:t>监测点坐标/m</w:t>
                  </w:r>
                </w:p>
              </w:tc>
              <w:tc>
                <w:tcPr>
                  <w:tcW w:w="1797" w:type="dxa"/>
                  <w:vMerge w:val="restart"/>
                  <w:tcBorders>
                    <w:top w:val="single" w:color="auto" w:sz="4" w:space="0"/>
                    <w:left w:val="single" w:color="auto" w:sz="4" w:space="0"/>
                    <w:bottom w:val="single" w:color="auto" w:sz="4" w:space="0"/>
                    <w:right w:val="single" w:color="auto" w:sz="4" w:space="0"/>
                  </w:tcBorders>
                  <w:noWrap w:val="0"/>
                  <w:vAlign w:val="center"/>
                </w:tcPr>
                <w:p w14:paraId="53DBFB43">
                  <w:pPr>
                    <w:jc w:val="center"/>
                    <w:rPr>
                      <w:color w:val="auto"/>
                    </w:rPr>
                  </w:pPr>
                  <w:r>
                    <w:rPr>
                      <w:color w:val="auto"/>
                    </w:rPr>
                    <w:t>监测因子</w:t>
                  </w:r>
                </w:p>
              </w:tc>
              <w:tc>
                <w:tcPr>
                  <w:tcW w:w="1608" w:type="dxa"/>
                  <w:vMerge w:val="restart"/>
                  <w:tcBorders>
                    <w:top w:val="single" w:color="auto" w:sz="4" w:space="0"/>
                    <w:left w:val="single" w:color="auto" w:sz="4" w:space="0"/>
                    <w:bottom w:val="single" w:color="auto" w:sz="4" w:space="0"/>
                    <w:right w:val="single" w:color="auto" w:sz="4" w:space="0"/>
                  </w:tcBorders>
                  <w:noWrap w:val="0"/>
                  <w:vAlign w:val="center"/>
                </w:tcPr>
                <w:p w14:paraId="6ADE80A5">
                  <w:pPr>
                    <w:jc w:val="center"/>
                    <w:rPr>
                      <w:color w:val="auto"/>
                    </w:rPr>
                  </w:pPr>
                  <w:r>
                    <w:rPr>
                      <w:color w:val="auto"/>
                    </w:rPr>
                    <w:t>监测时段</w:t>
                  </w:r>
                </w:p>
              </w:tc>
              <w:tc>
                <w:tcPr>
                  <w:tcW w:w="776" w:type="dxa"/>
                  <w:vMerge w:val="restart"/>
                  <w:tcBorders>
                    <w:top w:val="single" w:color="auto" w:sz="4" w:space="0"/>
                    <w:left w:val="single" w:color="auto" w:sz="4" w:space="0"/>
                    <w:bottom w:val="single" w:color="auto" w:sz="4" w:space="0"/>
                    <w:right w:val="single" w:color="auto" w:sz="4" w:space="0"/>
                  </w:tcBorders>
                  <w:noWrap w:val="0"/>
                  <w:vAlign w:val="center"/>
                </w:tcPr>
                <w:p w14:paraId="09D97661">
                  <w:pPr>
                    <w:jc w:val="center"/>
                    <w:rPr>
                      <w:color w:val="auto"/>
                    </w:rPr>
                  </w:pPr>
                  <w:r>
                    <w:rPr>
                      <w:color w:val="auto"/>
                    </w:rPr>
                    <w:t>相对厂址方位</w:t>
                  </w:r>
                </w:p>
              </w:tc>
              <w:tc>
                <w:tcPr>
                  <w:tcW w:w="1215" w:type="dxa"/>
                  <w:vMerge w:val="restart"/>
                  <w:tcBorders>
                    <w:top w:val="single" w:color="auto" w:sz="4" w:space="0"/>
                    <w:left w:val="single" w:color="auto" w:sz="4" w:space="0"/>
                    <w:bottom w:val="single" w:color="auto" w:sz="4" w:space="0"/>
                    <w:right w:val="single" w:color="auto" w:sz="4" w:space="0"/>
                  </w:tcBorders>
                  <w:noWrap w:val="0"/>
                  <w:vAlign w:val="center"/>
                </w:tcPr>
                <w:p w14:paraId="32D1A7E6">
                  <w:pPr>
                    <w:jc w:val="center"/>
                    <w:rPr>
                      <w:color w:val="auto"/>
                    </w:rPr>
                  </w:pPr>
                  <w:r>
                    <w:rPr>
                      <w:color w:val="auto"/>
                    </w:rPr>
                    <w:t>相对厂界距离（m）</w:t>
                  </w:r>
                </w:p>
              </w:tc>
            </w:tr>
            <w:tr w14:paraId="1C495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71" w:type="dxa"/>
                  <w:vMerge w:val="continue"/>
                  <w:tcBorders>
                    <w:top w:val="single" w:color="auto" w:sz="4" w:space="0"/>
                    <w:left w:val="single" w:color="auto" w:sz="4" w:space="0"/>
                    <w:bottom w:val="single" w:color="auto" w:sz="4" w:space="0"/>
                    <w:right w:val="single" w:color="auto" w:sz="4" w:space="0"/>
                  </w:tcBorders>
                  <w:noWrap w:val="0"/>
                  <w:vAlign w:val="center"/>
                </w:tcPr>
                <w:p w14:paraId="3434C5E7">
                  <w:pPr>
                    <w:jc w:val="center"/>
                    <w:rPr>
                      <w:color w:val="auto"/>
                    </w:rPr>
                  </w:pPr>
                </w:p>
              </w:tc>
              <w:tc>
                <w:tcPr>
                  <w:tcW w:w="735" w:type="dxa"/>
                  <w:tcBorders>
                    <w:top w:val="single" w:color="auto" w:sz="4" w:space="0"/>
                    <w:left w:val="single" w:color="auto" w:sz="4" w:space="0"/>
                    <w:bottom w:val="single" w:color="auto" w:sz="4" w:space="0"/>
                    <w:right w:val="single" w:color="auto" w:sz="4" w:space="0"/>
                  </w:tcBorders>
                  <w:noWrap w:val="0"/>
                  <w:vAlign w:val="center"/>
                </w:tcPr>
                <w:p w14:paraId="2CE452B3">
                  <w:pPr>
                    <w:jc w:val="center"/>
                    <w:rPr>
                      <w:color w:val="auto"/>
                    </w:rPr>
                  </w:pPr>
                  <w:r>
                    <w:rPr>
                      <w:color w:val="auto"/>
                    </w:rPr>
                    <w:t>X</w:t>
                  </w:r>
                </w:p>
              </w:tc>
              <w:tc>
                <w:tcPr>
                  <w:tcW w:w="907" w:type="dxa"/>
                  <w:tcBorders>
                    <w:top w:val="single" w:color="auto" w:sz="4" w:space="0"/>
                    <w:left w:val="single" w:color="auto" w:sz="4" w:space="0"/>
                    <w:bottom w:val="single" w:color="auto" w:sz="4" w:space="0"/>
                    <w:right w:val="single" w:color="auto" w:sz="4" w:space="0"/>
                  </w:tcBorders>
                  <w:noWrap w:val="0"/>
                  <w:vAlign w:val="center"/>
                </w:tcPr>
                <w:p w14:paraId="45B93B5D">
                  <w:pPr>
                    <w:jc w:val="center"/>
                    <w:rPr>
                      <w:color w:val="auto"/>
                    </w:rPr>
                  </w:pPr>
                  <w:r>
                    <w:rPr>
                      <w:color w:val="auto"/>
                    </w:rPr>
                    <w:t>Y</w:t>
                  </w:r>
                </w:p>
              </w:tc>
              <w:tc>
                <w:tcPr>
                  <w:tcW w:w="1797" w:type="dxa"/>
                  <w:vMerge w:val="continue"/>
                  <w:tcBorders>
                    <w:top w:val="single" w:color="auto" w:sz="4" w:space="0"/>
                    <w:left w:val="single" w:color="auto" w:sz="4" w:space="0"/>
                    <w:bottom w:val="single" w:color="auto" w:sz="4" w:space="0"/>
                    <w:right w:val="single" w:color="auto" w:sz="4" w:space="0"/>
                  </w:tcBorders>
                  <w:noWrap w:val="0"/>
                  <w:vAlign w:val="center"/>
                </w:tcPr>
                <w:p w14:paraId="5DF52B3A">
                  <w:pPr>
                    <w:jc w:val="center"/>
                    <w:rPr>
                      <w:color w:val="auto"/>
                    </w:rPr>
                  </w:pPr>
                </w:p>
              </w:tc>
              <w:tc>
                <w:tcPr>
                  <w:tcW w:w="1608" w:type="dxa"/>
                  <w:vMerge w:val="continue"/>
                  <w:tcBorders>
                    <w:top w:val="single" w:color="auto" w:sz="4" w:space="0"/>
                    <w:left w:val="single" w:color="auto" w:sz="4" w:space="0"/>
                    <w:bottom w:val="single" w:color="auto" w:sz="4" w:space="0"/>
                    <w:right w:val="single" w:color="auto" w:sz="4" w:space="0"/>
                  </w:tcBorders>
                  <w:noWrap w:val="0"/>
                  <w:vAlign w:val="center"/>
                </w:tcPr>
                <w:p w14:paraId="0A68C2C2">
                  <w:pPr>
                    <w:jc w:val="center"/>
                    <w:rPr>
                      <w:color w:val="auto"/>
                    </w:rPr>
                  </w:pPr>
                </w:p>
              </w:tc>
              <w:tc>
                <w:tcPr>
                  <w:tcW w:w="776" w:type="dxa"/>
                  <w:vMerge w:val="continue"/>
                  <w:tcBorders>
                    <w:top w:val="single" w:color="auto" w:sz="4" w:space="0"/>
                    <w:left w:val="single" w:color="auto" w:sz="4" w:space="0"/>
                    <w:bottom w:val="single" w:color="auto" w:sz="4" w:space="0"/>
                    <w:right w:val="single" w:color="auto" w:sz="4" w:space="0"/>
                  </w:tcBorders>
                  <w:noWrap w:val="0"/>
                  <w:vAlign w:val="center"/>
                </w:tcPr>
                <w:p w14:paraId="4B2DD604">
                  <w:pPr>
                    <w:jc w:val="center"/>
                    <w:rPr>
                      <w:color w:val="auto"/>
                    </w:rPr>
                  </w:pPr>
                </w:p>
              </w:tc>
              <w:tc>
                <w:tcPr>
                  <w:tcW w:w="1215" w:type="dxa"/>
                  <w:vMerge w:val="continue"/>
                  <w:tcBorders>
                    <w:top w:val="single" w:color="auto" w:sz="4" w:space="0"/>
                    <w:left w:val="single" w:color="auto" w:sz="4" w:space="0"/>
                    <w:bottom w:val="single" w:color="auto" w:sz="4" w:space="0"/>
                    <w:right w:val="single" w:color="auto" w:sz="4" w:space="0"/>
                  </w:tcBorders>
                  <w:noWrap w:val="0"/>
                  <w:vAlign w:val="center"/>
                </w:tcPr>
                <w:p w14:paraId="7E7EABB2">
                  <w:pPr>
                    <w:jc w:val="center"/>
                    <w:rPr>
                      <w:color w:val="auto"/>
                    </w:rPr>
                  </w:pPr>
                </w:p>
              </w:tc>
            </w:tr>
            <w:tr w14:paraId="5C3B8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71" w:type="dxa"/>
                  <w:tcBorders>
                    <w:top w:val="single" w:color="auto" w:sz="4" w:space="0"/>
                    <w:left w:val="single" w:color="auto" w:sz="4" w:space="0"/>
                    <w:bottom w:val="single" w:color="auto" w:sz="4" w:space="0"/>
                    <w:right w:val="single" w:color="auto" w:sz="4" w:space="0"/>
                  </w:tcBorders>
                  <w:noWrap w:val="0"/>
                  <w:vAlign w:val="center"/>
                </w:tcPr>
                <w:p w14:paraId="508A1E3E">
                  <w:pPr>
                    <w:jc w:val="center"/>
                    <w:rPr>
                      <w:rFonts w:hint="default" w:eastAsia="宋体"/>
                      <w:color w:val="auto"/>
                      <w:lang w:val="en-US" w:eastAsia="zh-CN"/>
                    </w:rPr>
                  </w:pPr>
                  <w:r>
                    <w:rPr>
                      <w:color w:val="auto"/>
                    </w:rPr>
                    <w:t>Q1</w:t>
                  </w:r>
                  <w:r>
                    <w:rPr>
                      <w:rFonts w:hint="eastAsia"/>
                      <w:color w:val="auto"/>
                      <w:lang w:val="en-US" w:eastAsia="zh-CN"/>
                    </w:rPr>
                    <w:t>项目南侧</w:t>
                  </w:r>
                </w:p>
              </w:tc>
              <w:tc>
                <w:tcPr>
                  <w:tcW w:w="735" w:type="dxa"/>
                  <w:tcBorders>
                    <w:top w:val="single" w:color="auto" w:sz="4" w:space="0"/>
                    <w:left w:val="single" w:color="auto" w:sz="4" w:space="0"/>
                    <w:bottom w:val="single" w:color="auto" w:sz="4" w:space="0"/>
                    <w:right w:val="single" w:color="auto" w:sz="4" w:space="0"/>
                  </w:tcBorders>
                  <w:noWrap w:val="0"/>
                  <w:vAlign w:val="center"/>
                </w:tcPr>
                <w:p w14:paraId="79819244">
                  <w:pPr>
                    <w:jc w:val="center"/>
                    <w:rPr>
                      <w:rFonts w:hint="eastAsia" w:eastAsia="宋体"/>
                      <w:color w:val="auto"/>
                      <w:lang w:val="en-US" w:eastAsia="zh-CN"/>
                    </w:rPr>
                  </w:pPr>
                  <w:r>
                    <w:rPr>
                      <w:rFonts w:hint="eastAsia" w:eastAsia="宋体"/>
                      <w:color w:val="auto"/>
                      <w:lang w:val="en-US" w:eastAsia="zh-CN"/>
                    </w:rPr>
                    <w:t>7</w:t>
                  </w:r>
                </w:p>
              </w:tc>
              <w:tc>
                <w:tcPr>
                  <w:tcW w:w="907" w:type="dxa"/>
                  <w:tcBorders>
                    <w:top w:val="single" w:color="auto" w:sz="4" w:space="0"/>
                    <w:left w:val="single" w:color="auto" w:sz="4" w:space="0"/>
                    <w:bottom w:val="single" w:color="auto" w:sz="4" w:space="0"/>
                    <w:right w:val="single" w:color="auto" w:sz="4" w:space="0"/>
                  </w:tcBorders>
                  <w:noWrap w:val="0"/>
                  <w:vAlign w:val="center"/>
                </w:tcPr>
                <w:p w14:paraId="0812E8B7">
                  <w:pPr>
                    <w:jc w:val="center"/>
                    <w:rPr>
                      <w:rFonts w:hint="default" w:eastAsia="宋体"/>
                      <w:color w:val="auto"/>
                      <w:lang w:val="en-US" w:eastAsia="zh-CN"/>
                    </w:rPr>
                  </w:pPr>
                  <w:r>
                    <w:rPr>
                      <w:color w:val="auto"/>
                    </w:rPr>
                    <w:t>-</w:t>
                  </w:r>
                  <w:r>
                    <w:rPr>
                      <w:rFonts w:hint="eastAsia"/>
                      <w:color w:val="auto"/>
                      <w:lang w:val="en-US" w:eastAsia="zh-CN"/>
                    </w:rPr>
                    <w:t>30</w:t>
                  </w:r>
                </w:p>
              </w:tc>
              <w:tc>
                <w:tcPr>
                  <w:tcW w:w="1797" w:type="dxa"/>
                  <w:tcBorders>
                    <w:top w:val="single" w:color="auto" w:sz="4" w:space="0"/>
                    <w:left w:val="single" w:color="auto" w:sz="4" w:space="0"/>
                    <w:bottom w:val="single" w:color="auto" w:sz="4" w:space="0"/>
                    <w:right w:val="single" w:color="auto" w:sz="4" w:space="0"/>
                  </w:tcBorders>
                  <w:noWrap w:val="0"/>
                  <w:vAlign w:val="center"/>
                </w:tcPr>
                <w:p w14:paraId="4BC20970">
                  <w:pPr>
                    <w:jc w:val="center"/>
                    <w:rPr>
                      <w:color w:val="auto"/>
                    </w:rPr>
                  </w:pPr>
                  <w:r>
                    <w:rPr>
                      <w:color w:val="auto"/>
                    </w:rPr>
                    <w:t>非甲烷总烃、总悬浮颗粒物</w:t>
                  </w:r>
                </w:p>
              </w:tc>
              <w:tc>
                <w:tcPr>
                  <w:tcW w:w="1608" w:type="dxa"/>
                  <w:tcBorders>
                    <w:top w:val="single" w:color="auto" w:sz="4" w:space="0"/>
                    <w:left w:val="single" w:color="auto" w:sz="4" w:space="0"/>
                    <w:bottom w:val="single" w:color="auto" w:sz="4" w:space="0"/>
                    <w:right w:val="single" w:color="auto" w:sz="4" w:space="0"/>
                  </w:tcBorders>
                  <w:noWrap w:val="0"/>
                  <w:vAlign w:val="center"/>
                </w:tcPr>
                <w:p w14:paraId="7D6B2302">
                  <w:pPr>
                    <w:jc w:val="center"/>
                    <w:rPr>
                      <w:rFonts w:hint="default" w:eastAsia="宋体"/>
                      <w:color w:val="auto"/>
                      <w:lang w:val="en-US" w:eastAsia="zh-CN"/>
                    </w:rPr>
                  </w:pPr>
                  <w:r>
                    <w:rPr>
                      <w:color w:val="auto"/>
                    </w:rPr>
                    <w:t>202</w:t>
                  </w:r>
                  <w:r>
                    <w:rPr>
                      <w:rFonts w:hint="eastAsia"/>
                      <w:color w:val="auto"/>
                      <w:lang w:val="en-US" w:eastAsia="zh-CN"/>
                    </w:rPr>
                    <w:t>5</w:t>
                  </w:r>
                  <w:r>
                    <w:rPr>
                      <w:color w:val="auto"/>
                    </w:rPr>
                    <w:t>.</w:t>
                  </w:r>
                  <w:r>
                    <w:rPr>
                      <w:rFonts w:hint="eastAsia"/>
                      <w:color w:val="auto"/>
                      <w:lang w:val="en-US" w:eastAsia="zh-CN"/>
                    </w:rPr>
                    <w:t>4</w:t>
                  </w:r>
                  <w:r>
                    <w:rPr>
                      <w:color w:val="auto"/>
                    </w:rPr>
                    <w:t>.15~</w:t>
                  </w:r>
                  <w:r>
                    <w:rPr>
                      <w:rFonts w:hint="eastAsia"/>
                      <w:color w:val="auto"/>
                      <w:lang w:val="en-US" w:eastAsia="zh-CN"/>
                    </w:rPr>
                    <w:t>17</w:t>
                  </w:r>
                </w:p>
              </w:tc>
              <w:tc>
                <w:tcPr>
                  <w:tcW w:w="776" w:type="dxa"/>
                  <w:tcBorders>
                    <w:top w:val="single" w:color="auto" w:sz="4" w:space="0"/>
                    <w:left w:val="single" w:color="auto" w:sz="4" w:space="0"/>
                    <w:bottom w:val="single" w:color="auto" w:sz="4" w:space="0"/>
                    <w:right w:val="single" w:color="auto" w:sz="4" w:space="0"/>
                  </w:tcBorders>
                  <w:noWrap w:val="0"/>
                  <w:vAlign w:val="center"/>
                </w:tcPr>
                <w:p w14:paraId="25DFD65A">
                  <w:pPr>
                    <w:jc w:val="center"/>
                    <w:rPr>
                      <w:color w:val="auto"/>
                    </w:rPr>
                  </w:pPr>
                  <w:r>
                    <w:rPr>
                      <w:color w:val="auto"/>
                    </w:rPr>
                    <w:t>S</w:t>
                  </w:r>
                </w:p>
              </w:tc>
              <w:tc>
                <w:tcPr>
                  <w:tcW w:w="1215" w:type="dxa"/>
                  <w:tcBorders>
                    <w:top w:val="single" w:color="auto" w:sz="4" w:space="0"/>
                    <w:left w:val="single" w:color="auto" w:sz="4" w:space="0"/>
                    <w:bottom w:val="single" w:color="auto" w:sz="4" w:space="0"/>
                    <w:right w:val="single" w:color="auto" w:sz="4" w:space="0"/>
                  </w:tcBorders>
                  <w:noWrap w:val="0"/>
                  <w:vAlign w:val="center"/>
                </w:tcPr>
                <w:p w14:paraId="710A621D">
                  <w:pPr>
                    <w:jc w:val="center"/>
                    <w:rPr>
                      <w:rFonts w:hint="eastAsia" w:eastAsia="宋体"/>
                      <w:color w:val="auto"/>
                      <w:lang w:eastAsia="zh-CN"/>
                    </w:rPr>
                  </w:pPr>
                  <w:r>
                    <w:rPr>
                      <w:rFonts w:hint="eastAsia" w:eastAsia="宋体"/>
                      <w:color w:val="auto"/>
                      <w:lang w:val="en-US" w:eastAsia="zh-CN"/>
                    </w:rPr>
                    <w:t>1</w:t>
                  </w:r>
                </w:p>
              </w:tc>
            </w:tr>
            <w:tr w14:paraId="737E8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409" w:type="dxa"/>
                  <w:gridSpan w:val="7"/>
                  <w:tcBorders>
                    <w:top w:val="single" w:color="auto" w:sz="4" w:space="0"/>
                    <w:left w:val="single" w:color="auto" w:sz="4" w:space="0"/>
                    <w:bottom w:val="single" w:color="auto" w:sz="4" w:space="0"/>
                    <w:right w:val="single" w:color="auto" w:sz="4" w:space="0"/>
                  </w:tcBorders>
                  <w:noWrap w:val="0"/>
                  <w:vAlign w:val="center"/>
                </w:tcPr>
                <w:p w14:paraId="14FCB329">
                  <w:pPr>
                    <w:rPr>
                      <w:rFonts w:hint="default" w:eastAsia="宋体"/>
                      <w:color w:val="auto"/>
                      <w:lang w:val="en-US" w:eastAsia="zh-CN"/>
                    </w:rPr>
                  </w:pPr>
                  <w:r>
                    <w:rPr>
                      <w:color w:val="auto"/>
                    </w:rPr>
                    <w:t>以厂址中心为X、Y坐标原点（0，0）</w:t>
                  </w:r>
                  <w:r>
                    <w:rPr>
                      <w:rFonts w:hint="eastAsia"/>
                      <w:color w:val="auto"/>
                      <w:lang w:eastAsia="zh-CN"/>
                    </w:rPr>
                    <w:t>，</w:t>
                  </w:r>
                  <w:r>
                    <w:rPr>
                      <w:rFonts w:hint="eastAsia"/>
                      <w:color w:val="auto"/>
                      <w:lang w:val="en-US" w:eastAsia="zh-CN"/>
                    </w:rPr>
                    <w:t>正东方向为正方向</w:t>
                  </w:r>
                </w:p>
              </w:tc>
            </w:tr>
          </w:tbl>
          <w:p w14:paraId="55A7B4E8">
            <w:pPr>
              <w:spacing w:line="360" w:lineRule="auto"/>
              <w:ind w:firstLine="480" w:firstLineChars="200"/>
              <w:rPr>
                <w:color w:val="auto"/>
                <w:sz w:val="24"/>
              </w:rPr>
            </w:pPr>
            <w:r>
              <w:rPr>
                <w:rFonts w:hint="eastAsia"/>
                <w:color w:val="auto"/>
                <w:sz w:val="24"/>
                <w:lang w:val="en-US" w:eastAsia="zh-CN"/>
              </w:rPr>
              <w:t>①</w:t>
            </w:r>
            <w:r>
              <w:rPr>
                <w:color w:val="auto"/>
                <w:sz w:val="24"/>
              </w:rPr>
              <w:t>评价标准及方法</w:t>
            </w:r>
          </w:p>
          <w:p w14:paraId="34FBE566">
            <w:pPr>
              <w:spacing w:line="360" w:lineRule="auto"/>
              <w:ind w:firstLine="480" w:firstLineChars="200"/>
              <w:rPr>
                <w:color w:val="auto"/>
                <w:sz w:val="24"/>
              </w:rPr>
            </w:pPr>
            <w:r>
              <w:rPr>
                <w:color w:val="auto"/>
                <w:sz w:val="24"/>
              </w:rPr>
              <w:t>环境空气质量现状评价方法常采用（HJ2.2-2018）中的相关要求评价，给出各监测点大气污染物的浓度变化范围，并给出最大浓度值占相应标准浓度限值的百分比和超标率。评价公式如下：</w:t>
            </w:r>
          </w:p>
          <w:p w14:paraId="1ABC5BAB">
            <w:pPr>
              <w:spacing w:line="360" w:lineRule="auto"/>
              <w:ind w:firstLine="480" w:firstLineChars="200"/>
              <w:jc w:val="center"/>
              <w:rPr>
                <w:color w:val="auto"/>
                <w:sz w:val="24"/>
              </w:rPr>
            </w:pPr>
            <w:r>
              <w:rPr>
                <w:color w:val="auto"/>
                <w:sz w:val="24"/>
              </w:rPr>
              <w:object>
                <v:shape id="_x0000_i1025" o:spt="75" type="#_x0000_t75" style="height:28.5pt;width:66.75pt;" o:ole="t" filled="f" o:preferrelative="t" stroked="f" coordsize="21600,21600">
                  <v:path/>
                  <v:fill on="f" focussize="0,0"/>
                  <v:stroke on="f"/>
                  <v:imagedata r:id="rId5" embosscolor="#FFFFFF" o:title=""/>
                  <o:lock v:ext="edit" grouping="f" rotation="f" text="f" aspectratio="t"/>
                  <w10:wrap type="none"/>
                  <w10:anchorlock/>
                </v:shape>
                <o:OLEObject Type="Embed" ProgID="Equation.3" ShapeID="_x0000_i1025" DrawAspect="Content" ObjectID="_1468075725" r:id="rId4">
                  <o:LockedField>false</o:LockedField>
                </o:OLEObject>
              </w:object>
            </w:r>
          </w:p>
          <w:p w14:paraId="1345ECEB">
            <w:pPr>
              <w:spacing w:line="360" w:lineRule="auto"/>
              <w:ind w:firstLine="480" w:firstLineChars="200"/>
              <w:rPr>
                <w:color w:val="auto"/>
                <w:sz w:val="24"/>
              </w:rPr>
            </w:pPr>
            <w:r>
              <w:rPr>
                <w:color w:val="auto"/>
                <w:sz w:val="24"/>
              </w:rPr>
              <w:t>式中：P</w:t>
            </w:r>
            <w:r>
              <w:rPr>
                <w:color w:val="auto"/>
                <w:sz w:val="24"/>
                <w:vertAlign w:val="subscript"/>
              </w:rPr>
              <w:t>i</w:t>
            </w:r>
            <w:r>
              <w:rPr>
                <w:color w:val="auto"/>
                <w:sz w:val="24"/>
              </w:rPr>
              <w:t>——第i个污染物的监测最大浓度占相应标准浓度限值的百分比，%；</w:t>
            </w:r>
          </w:p>
          <w:p w14:paraId="02B9B849">
            <w:pPr>
              <w:spacing w:line="360" w:lineRule="auto"/>
              <w:ind w:firstLine="1200" w:firstLineChars="500"/>
              <w:rPr>
                <w:color w:val="auto"/>
                <w:sz w:val="24"/>
              </w:rPr>
            </w:pPr>
            <w:r>
              <w:rPr>
                <w:color w:val="auto"/>
                <w:sz w:val="24"/>
              </w:rPr>
              <w:t>C</w:t>
            </w:r>
            <w:r>
              <w:rPr>
                <w:color w:val="auto"/>
                <w:sz w:val="24"/>
                <w:vertAlign w:val="subscript"/>
              </w:rPr>
              <w:t>i</w:t>
            </w:r>
            <w:r>
              <w:rPr>
                <w:color w:val="auto"/>
                <w:sz w:val="24"/>
              </w:rPr>
              <w:t>－第i个污染物的监测浓度值，mg/m</w:t>
            </w:r>
            <w:r>
              <w:rPr>
                <w:color w:val="auto"/>
                <w:sz w:val="24"/>
                <w:vertAlign w:val="superscript"/>
              </w:rPr>
              <w:t>3</w:t>
            </w:r>
            <w:r>
              <w:rPr>
                <w:color w:val="auto"/>
                <w:sz w:val="24"/>
              </w:rPr>
              <w:t>；</w:t>
            </w:r>
          </w:p>
          <w:p w14:paraId="47DEEDD9">
            <w:pPr>
              <w:spacing w:line="360" w:lineRule="auto"/>
              <w:ind w:firstLine="1200" w:firstLineChars="500"/>
              <w:rPr>
                <w:color w:val="auto"/>
                <w:sz w:val="24"/>
              </w:rPr>
            </w:pPr>
            <w:r>
              <w:rPr>
                <w:color w:val="auto"/>
                <w:sz w:val="24"/>
              </w:rPr>
              <w:t>C</w:t>
            </w:r>
            <w:r>
              <w:rPr>
                <w:color w:val="auto"/>
                <w:sz w:val="24"/>
                <w:vertAlign w:val="subscript"/>
              </w:rPr>
              <w:t>0i</w:t>
            </w:r>
            <w:r>
              <w:rPr>
                <w:color w:val="auto"/>
                <w:sz w:val="24"/>
              </w:rPr>
              <w:t>－第i个污染物的环境空气质量标准，mg/m</w:t>
            </w:r>
            <w:r>
              <w:rPr>
                <w:color w:val="auto"/>
                <w:sz w:val="24"/>
                <w:vertAlign w:val="superscript"/>
              </w:rPr>
              <w:t>3</w:t>
            </w:r>
            <w:r>
              <w:rPr>
                <w:color w:val="auto"/>
                <w:sz w:val="24"/>
              </w:rPr>
              <w:t>。</w:t>
            </w:r>
          </w:p>
          <w:p w14:paraId="3C239109">
            <w:pPr>
              <w:spacing w:line="360" w:lineRule="auto"/>
              <w:ind w:firstLine="1200" w:firstLineChars="500"/>
              <w:rPr>
                <w:color w:val="auto"/>
                <w:sz w:val="24"/>
              </w:rPr>
            </w:pPr>
            <w:r>
              <w:rPr>
                <w:color w:val="auto"/>
                <w:sz w:val="24"/>
              </w:rPr>
              <w:t>C</w:t>
            </w:r>
            <w:r>
              <w:rPr>
                <w:color w:val="auto"/>
                <w:sz w:val="24"/>
                <w:vertAlign w:val="subscript"/>
              </w:rPr>
              <w:t>0i</w:t>
            </w:r>
            <w:r>
              <w:rPr>
                <w:color w:val="auto"/>
                <w:sz w:val="24"/>
              </w:rPr>
              <w:t>－第i个污染物的环境空气质量标准（mg/m</w:t>
            </w:r>
            <w:r>
              <w:rPr>
                <w:color w:val="auto"/>
                <w:sz w:val="24"/>
                <w:vertAlign w:val="superscript"/>
              </w:rPr>
              <w:t>3</w:t>
            </w:r>
            <w:r>
              <w:rPr>
                <w:color w:val="auto"/>
                <w:sz w:val="24"/>
              </w:rPr>
              <w:t>）。</w:t>
            </w:r>
          </w:p>
          <w:p w14:paraId="261BFEE5">
            <w:pPr>
              <w:spacing w:line="360" w:lineRule="auto"/>
              <w:ind w:firstLine="480" w:firstLineChars="200"/>
              <w:rPr>
                <w:color w:val="auto"/>
                <w:sz w:val="24"/>
              </w:rPr>
            </w:pPr>
            <w:r>
              <w:rPr>
                <w:rFonts w:hint="eastAsia"/>
                <w:color w:val="auto"/>
                <w:sz w:val="24"/>
                <w:lang w:val="en-US" w:eastAsia="zh-CN"/>
              </w:rPr>
              <w:t>②</w:t>
            </w:r>
            <w:r>
              <w:rPr>
                <w:color w:val="auto"/>
                <w:sz w:val="24"/>
              </w:rPr>
              <w:t>评价结果及分析：</w:t>
            </w:r>
          </w:p>
          <w:p w14:paraId="5C00228C">
            <w:pPr>
              <w:spacing w:line="360" w:lineRule="auto"/>
              <w:ind w:firstLine="480" w:firstLineChars="200"/>
              <w:rPr>
                <w:color w:val="auto"/>
                <w:sz w:val="24"/>
              </w:rPr>
            </w:pPr>
            <w:r>
              <w:rPr>
                <w:color w:val="auto"/>
                <w:sz w:val="24"/>
              </w:rPr>
              <w:t>环境空气现状监测结果见表3</w:t>
            </w:r>
            <w:r>
              <w:rPr>
                <w:rFonts w:hint="eastAsia"/>
                <w:color w:val="auto"/>
                <w:sz w:val="24"/>
                <w:lang w:val="en-US" w:eastAsia="zh-CN"/>
              </w:rPr>
              <w:t>-3</w:t>
            </w:r>
            <w:r>
              <w:rPr>
                <w:color w:val="auto"/>
                <w:sz w:val="24"/>
              </w:rPr>
              <w:t>。</w:t>
            </w:r>
          </w:p>
          <w:p w14:paraId="238810D8">
            <w:pPr>
              <w:pStyle w:val="70"/>
              <w:spacing w:before="0" w:beforeLines="0"/>
              <w:rPr>
                <w:color w:val="auto"/>
              </w:rPr>
            </w:pPr>
            <w:r>
              <w:rPr>
                <w:color w:val="auto"/>
                <w:sz w:val="24"/>
              </w:rPr>
              <w:t>表3</w:t>
            </w:r>
            <w:r>
              <w:rPr>
                <w:rFonts w:hint="eastAsia"/>
                <w:color w:val="auto"/>
                <w:sz w:val="24"/>
                <w:lang w:val="en-US" w:eastAsia="zh-CN"/>
              </w:rPr>
              <w:t>-3</w:t>
            </w:r>
            <w:r>
              <w:rPr>
                <w:color w:val="auto"/>
                <w:sz w:val="24"/>
              </w:rPr>
              <w:t xml:space="preserve">   环境空气小时值浓度监测结果</w:t>
            </w:r>
            <w:r>
              <w:rPr>
                <w:color w:val="auto"/>
              </w:rPr>
              <w:t xml:space="preserve"> </w:t>
            </w:r>
          </w:p>
          <w:tbl>
            <w:tblPr>
              <w:tblStyle w:val="23"/>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80"/>
              <w:gridCol w:w="1058"/>
              <w:gridCol w:w="1649"/>
              <w:gridCol w:w="1307"/>
              <w:gridCol w:w="1184"/>
              <w:gridCol w:w="1353"/>
            </w:tblGrid>
            <w:tr w14:paraId="7E001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02" w:type="dxa"/>
                  <w:noWrap w:val="0"/>
                  <w:vAlign w:val="center"/>
                </w:tcPr>
                <w:p w14:paraId="4E2CD4EE">
                  <w:pPr>
                    <w:jc w:val="center"/>
                    <w:rPr>
                      <w:color w:val="auto"/>
                      <w:lang w:val="en-GB"/>
                    </w:rPr>
                  </w:pPr>
                  <w:r>
                    <w:rPr>
                      <w:color w:val="auto"/>
                      <w:lang w:val="en-GB"/>
                    </w:rPr>
                    <w:t>评价因子</w:t>
                  </w:r>
                </w:p>
              </w:tc>
              <w:tc>
                <w:tcPr>
                  <w:tcW w:w="1075" w:type="dxa"/>
                  <w:noWrap w:val="0"/>
                  <w:vAlign w:val="center"/>
                </w:tcPr>
                <w:p w14:paraId="1D5AE4B8">
                  <w:pPr>
                    <w:jc w:val="center"/>
                    <w:rPr>
                      <w:color w:val="auto"/>
                      <w:lang w:val="en-GB"/>
                    </w:rPr>
                  </w:pPr>
                  <w:r>
                    <w:rPr>
                      <w:color w:val="auto"/>
                      <w:lang w:val="en-GB"/>
                    </w:rPr>
                    <w:t>标准值</w:t>
                  </w:r>
                  <w:r>
                    <w:rPr>
                      <w:color w:val="auto"/>
                    </w:rPr>
                    <w:t>mg/m</w:t>
                  </w:r>
                  <w:r>
                    <w:rPr>
                      <w:color w:val="auto"/>
                      <w:vertAlign w:val="superscript"/>
                    </w:rPr>
                    <w:t>3</w:t>
                  </w:r>
                </w:p>
              </w:tc>
              <w:tc>
                <w:tcPr>
                  <w:tcW w:w="1676" w:type="dxa"/>
                  <w:noWrap w:val="0"/>
                  <w:vAlign w:val="center"/>
                </w:tcPr>
                <w:p w14:paraId="3E757CC0">
                  <w:pPr>
                    <w:jc w:val="center"/>
                    <w:rPr>
                      <w:color w:val="auto"/>
                      <w:lang w:val="en-GB"/>
                    </w:rPr>
                  </w:pPr>
                  <w:r>
                    <w:rPr>
                      <w:color w:val="auto"/>
                      <w:lang w:val="en-GB"/>
                    </w:rPr>
                    <w:t>测量值范围</w:t>
                  </w:r>
                  <w:r>
                    <w:rPr>
                      <w:color w:val="auto"/>
                    </w:rPr>
                    <w:t>mg/m</w:t>
                  </w:r>
                  <w:r>
                    <w:rPr>
                      <w:color w:val="auto"/>
                      <w:vertAlign w:val="superscript"/>
                    </w:rPr>
                    <w:t>3</w:t>
                  </w:r>
                </w:p>
              </w:tc>
              <w:tc>
                <w:tcPr>
                  <w:tcW w:w="1329" w:type="dxa"/>
                  <w:noWrap w:val="0"/>
                  <w:vAlign w:val="center"/>
                </w:tcPr>
                <w:p w14:paraId="077A2BCD">
                  <w:pPr>
                    <w:jc w:val="center"/>
                    <w:rPr>
                      <w:color w:val="auto"/>
                      <w:lang w:val="en-GB"/>
                    </w:rPr>
                  </w:pPr>
                  <w:r>
                    <w:rPr>
                      <w:color w:val="auto"/>
                      <w:lang w:val="en-GB"/>
                    </w:rPr>
                    <w:t>最大占标率（</w:t>
                  </w:r>
                  <w:r>
                    <w:rPr>
                      <w:color w:val="auto"/>
                    </w:rPr>
                    <w:t>%）</w:t>
                  </w:r>
                </w:p>
              </w:tc>
              <w:tc>
                <w:tcPr>
                  <w:tcW w:w="1203" w:type="dxa"/>
                  <w:noWrap w:val="0"/>
                  <w:vAlign w:val="center"/>
                </w:tcPr>
                <w:p w14:paraId="388E5519">
                  <w:pPr>
                    <w:jc w:val="center"/>
                    <w:rPr>
                      <w:color w:val="auto"/>
                      <w:lang w:val="en-GB"/>
                    </w:rPr>
                  </w:pPr>
                  <w:r>
                    <w:rPr>
                      <w:color w:val="auto"/>
                      <w:lang w:val="en-GB"/>
                    </w:rPr>
                    <w:t>超标率（%）</w:t>
                  </w:r>
                </w:p>
              </w:tc>
              <w:tc>
                <w:tcPr>
                  <w:tcW w:w="1375" w:type="dxa"/>
                  <w:noWrap w:val="0"/>
                  <w:vAlign w:val="center"/>
                </w:tcPr>
                <w:p w14:paraId="4D1C8E16">
                  <w:pPr>
                    <w:jc w:val="center"/>
                    <w:rPr>
                      <w:color w:val="auto"/>
                      <w:lang w:val="en-GB"/>
                    </w:rPr>
                  </w:pPr>
                  <w:r>
                    <w:rPr>
                      <w:color w:val="auto"/>
                      <w:lang w:val="en-GB"/>
                    </w:rPr>
                    <w:t>最大超标倍数（%）</w:t>
                  </w:r>
                </w:p>
              </w:tc>
            </w:tr>
            <w:tr w14:paraId="41A41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02" w:type="dxa"/>
                  <w:noWrap w:val="0"/>
                  <w:vAlign w:val="center"/>
                </w:tcPr>
                <w:p w14:paraId="3793B781">
                  <w:pPr>
                    <w:jc w:val="center"/>
                    <w:rPr>
                      <w:color w:val="auto"/>
                    </w:rPr>
                  </w:pPr>
                  <w:r>
                    <w:rPr>
                      <w:color w:val="auto"/>
                    </w:rPr>
                    <w:t>非甲烷总烃</w:t>
                  </w:r>
                </w:p>
              </w:tc>
              <w:tc>
                <w:tcPr>
                  <w:tcW w:w="1075" w:type="dxa"/>
                  <w:noWrap w:val="0"/>
                  <w:vAlign w:val="center"/>
                </w:tcPr>
                <w:p w14:paraId="64018BA9">
                  <w:pPr>
                    <w:jc w:val="center"/>
                    <w:rPr>
                      <w:color w:val="auto"/>
                    </w:rPr>
                  </w:pPr>
                  <w:r>
                    <w:rPr>
                      <w:color w:val="auto"/>
                    </w:rPr>
                    <w:t>2.0</w:t>
                  </w:r>
                </w:p>
              </w:tc>
              <w:tc>
                <w:tcPr>
                  <w:tcW w:w="1676" w:type="dxa"/>
                  <w:noWrap w:val="0"/>
                  <w:vAlign w:val="center"/>
                </w:tcPr>
                <w:p w14:paraId="68C75F19">
                  <w:pPr>
                    <w:widowControl/>
                    <w:jc w:val="center"/>
                    <w:rPr>
                      <w:rFonts w:hint="default" w:eastAsia="宋体"/>
                      <w:color w:val="auto"/>
                      <w:lang w:val="en-US" w:eastAsia="zh-CN"/>
                    </w:rPr>
                  </w:pPr>
                  <w:r>
                    <w:rPr>
                      <w:color w:val="auto"/>
                    </w:rPr>
                    <w:t>0.</w:t>
                  </w:r>
                  <w:r>
                    <w:rPr>
                      <w:rFonts w:hint="eastAsia"/>
                      <w:color w:val="auto"/>
                      <w:lang w:val="en-US" w:eastAsia="zh-CN"/>
                    </w:rPr>
                    <w:t>44</w:t>
                  </w:r>
                  <w:r>
                    <w:rPr>
                      <w:color w:val="auto"/>
                    </w:rPr>
                    <w:t>~0.</w:t>
                  </w:r>
                  <w:r>
                    <w:rPr>
                      <w:rFonts w:hint="eastAsia"/>
                      <w:color w:val="auto"/>
                      <w:lang w:val="en-US" w:eastAsia="zh-CN"/>
                    </w:rPr>
                    <w:t>59</w:t>
                  </w:r>
                </w:p>
              </w:tc>
              <w:tc>
                <w:tcPr>
                  <w:tcW w:w="1329" w:type="dxa"/>
                  <w:noWrap w:val="0"/>
                  <w:vAlign w:val="center"/>
                </w:tcPr>
                <w:p w14:paraId="75CBE338">
                  <w:pPr>
                    <w:widowControl/>
                    <w:jc w:val="center"/>
                    <w:rPr>
                      <w:rFonts w:hint="default" w:eastAsia="宋体"/>
                      <w:color w:val="auto"/>
                      <w:lang w:val="en-US" w:eastAsia="zh-CN"/>
                    </w:rPr>
                  </w:pPr>
                  <w:r>
                    <w:rPr>
                      <w:rFonts w:hint="eastAsia"/>
                      <w:color w:val="auto"/>
                      <w:lang w:val="en-US" w:eastAsia="zh-CN"/>
                    </w:rPr>
                    <w:t>29.5</w:t>
                  </w:r>
                </w:p>
              </w:tc>
              <w:tc>
                <w:tcPr>
                  <w:tcW w:w="1203" w:type="dxa"/>
                  <w:noWrap w:val="0"/>
                  <w:vAlign w:val="center"/>
                </w:tcPr>
                <w:p w14:paraId="7B06A1B7">
                  <w:pPr>
                    <w:widowControl/>
                    <w:jc w:val="center"/>
                    <w:rPr>
                      <w:rFonts w:hint="default" w:ascii="Times New Roman" w:hAnsi="Times New Roman" w:eastAsia="宋体" w:cs="Times New Roman"/>
                      <w:color w:val="auto"/>
                      <w:lang w:val="en-US"/>
                    </w:rPr>
                  </w:pPr>
                  <w:r>
                    <w:rPr>
                      <w:rFonts w:hint="eastAsia" w:ascii="Times New Roman" w:hAnsi="Times New Roman" w:eastAsia="宋体" w:cs="Times New Roman"/>
                      <w:color w:val="auto"/>
                      <w:lang w:val="en-US" w:eastAsia="zh-CN"/>
                    </w:rPr>
                    <w:t>0</w:t>
                  </w:r>
                </w:p>
              </w:tc>
              <w:tc>
                <w:tcPr>
                  <w:tcW w:w="1375" w:type="dxa"/>
                  <w:noWrap w:val="0"/>
                  <w:vAlign w:val="center"/>
                </w:tcPr>
                <w:p w14:paraId="569212E9">
                  <w:pPr>
                    <w:widowControl/>
                    <w:jc w:val="center"/>
                    <w:rPr>
                      <w:rFonts w:ascii="Times New Roman" w:hAnsi="Times New Roman" w:eastAsia="宋体" w:cs="Times New Roman"/>
                      <w:color w:val="auto"/>
                    </w:rPr>
                  </w:pPr>
                  <w:r>
                    <w:rPr>
                      <w:rFonts w:hint="eastAsia" w:ascii="Times New Roman" w:hAnsi="Times New Roman" w:eastAsia="宋体" w:cs="Times New Roman"/>
                      <w:color w:val="auto"/>
                      <w:lang w:val="en-US" w:eastAsia="zh-CN"/>
                    </w:rPr>
                    <w:t>/</w:t>
                  </w:r>
                </w:p>
              </w:tc>
            </w:tr>
            <w:tr w14:paraId="15C4F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02" w:type="dxa"/>
                  <w:noWrap w:val="0"/>
                  <w:vAlign w:val="center"/>
                </w:tcPr>
                <w:p w14:paraId="6CA3927B">
                  <w:pPr>
                    <w:jc w:val="center"/>
                    <w:rPr>
                      <w:color w:val="auto"/>
                    </w:rPr>
                  </w:pPr>
                  <w:r>
                    <w:rPr>
                      <w:color w:val="auto"/>
                      <w:szCs w:val="21"/>
                    </w:rPr>
                    <w:t>总悬浮颗粒物</w:t>
                  </w:r>
                </w:p>
              </w:tc>
              <w:tc>
                <w:tcPr>
                  <w:tcW w:w="1075" w:type="dxa"/>
                  <w:noWrap w:val="0"/>
                  <w:vAlign w:val="center"/>
                </w:tcPr>
                <w:p w14:paraId="5C60735E">
                  <w:pPr>
                    <w:jc w:val="center"/>
                    <w:rPr>
                      <w:color w:val="auto"/>
                    </w:rPr>
                  </w:pPr>
                  <w:r>
                    <w:rPr>
                      <w:color w:val="auto"/>
                      <w:szCs w:val="21"/>
                    </w:rPr>
                    <w:t>0.3</w:t>
                  </w:r>
                </w:p>
              </w:tc>
              <w:tc>
                <w:tcPr>
                  <w:tcW w:w="1676" w:type="dxa"/>
                  <w:noWrap w:val="0"/>
                  <w:vAlign w:val="center"/>
                </w:tcPr>
                <w:p w14:paraId="1DC18FC8">
                  <w:pPr>
                    <w:widowControl/>
                    <w:jc w:val="center"/>
                    <w:rPr>
                      <w:rFonts w:hint="eastAsia" w:eastAsia="宋体"/>
                      <w:color w:val="auto"/>
                      <w:lang w:val="en-US" w:eastAsia="zh-CN"/>
                    </w:rPr>
                  </w:pPr>
                  <w:r>
                    <w:rPr>
                      <w:color w:val="auto"/>
                    </w:rPr>
                    <w:t>0.0</w:t>
                  </w:r>
                  <w:r>
                    <w:rPr>
                      <w:rFonts w:hint="eastAsia"/>
                      <w:color w:val="auto"/>
                      <w:lang w:val="en-US" w:eastAsia="zh-CN"/>
                    </w:rPr>
                    <w:t>94</w:t>
                  </w:r>
                  <w:r>
                    <w:rPr>
                      <w:color w:val="auto"/>
                    </w:rPr>
                    <w:t>~0.</w:t>
                  </w:r>
                  <w:r>
                    <w:rPr>
                      <w:rFonts w:hint="eastAsia"/>
                      <w:color w:val="auto"/>
                      <w:lang w:eastAsia="zh-CN"/>
                    </w:rPr>
                    <w:t>375</w:t>
                  </w:r>
                </w:p>
              </w:tc>
              <w:tc>
                <w:tcPr>
                  <w:tcW w:w="1329" w:type="dxa"/>
                  <w:noWrap w:val="0"/>
                  <w:vAlign w:val="center"/>
                </w:tcPr>
                <w:p w14:paraId="68CF0F28">
                  <w:pPr>
                    <w:widowControl/>
                    <w:jc w:val="center"/>
                    <w:rPr>
                      <w:rFonts w:hint="default" w:eastAsia="宋体"/>
                      <w:color w:val="auto"/>
                      <w:lang w:val="en-US" w:eastAsia="zh-CN"/>
                    </w:rPr>
                  </w:pPr>
                  <w:r>
                    <w:rPr>
                      <w:rFonts w:hint="eastAsia"/>
                      <w:color w:val="auto"/>
                      <w:lang w:val="en-US" w:eastAsia="zh-CN"/>
                    </w:rPr>
                    <w:t>46.3</w:t>
                  </w:r>
                </w:p>
              </w:tc>
              <w:tc>
                <w:tcPr>
                  <w:tcW w:w="1203" w:type="dxa"/>
                  <w:noWrap w:val="0"/>
                  <w:vAlign w:val="center"/>
                </w:tcPr>
                <w:p w14:paraId="7D5A80EC">
                  <w:pPr>
                    <w:widowControl/>
                    <w:jc w:val="center"/>
                    <w:rPr>
                      <w:rFonts w:ascii="Times New Roman" w:hAnsi="Times New Roman" w:eastAsia="宋体" w:cs="Times New Roman"/>
                      <w:color w:val="auto"/>
                    </w:rPr>
                  </w:pPr>
                  <w:r>
                    <w:rPr>
                      <w:rFonts w:hint="eastAsia" w:ascii="Times New Roman" w:hAnsi="Times New Roman" w:eastAsia="宋体" w:cs="Times New Roman"/>
                      <w:color w:val="auto"/>
                      <w:lang w:val="en-US" w:eastAsia="zh-CN"/>
                    </w:rPr>
                    <w:t>0</w:t>
                  </w:r>
                </w:p>
              </w:tc>
              <w:tc>
                <w:tcPr>
                  <w:tcW w:w="1375" w:type="dxa"/>
                  <w:noWrap w:val="0"/>
                  <w:vAlign w:val="center"/>
                </w:tcPr>
                <w:p w14:paraId="48F973AB">
                  <w:pPr>
                    <w:widowControl/>
                    <w:jc w:val="center"/>
                    <w:rPr>
                      <w:rFonts w:ascii="Times New Roman" w:hAnsi="Times New Roman" w:eastAsia="宋体" w:cs="Times New Roman"/>
                      <w:color w:val="auto"/>
                    </w:rPr>
                  </w:pPr>
                  <w:r>
                    <w:rPr>
                      <w:rFonts w:hint="eastAsia" w:ascii="Times New Roman" w:hAnsi="Times New Roman" w:eastAsia="宋体" w:cs="Times New Roman"/>
                      <w:color w:val="auto"/>
                      <w:lang w:val="en-US" w:eastAsia="zh-CN"/>
                    </w:rPr>
                    <w:t>/</w:t>
                  </w:r>
                </w:p>
              </w:tc>
            </w:tr>
          </w:tbl>
          <w:p w14:paraId="4B6852AD">
            <w:pPr>
              <w:pStyle w:val="69"/>
              <w:spacing w:before="0" w:beforeLines="0" w:line="360" w:lineRule="auto"/>
              <w:ind w:left="0" w:leftChars="0" w:right="0" w:rightChars="0" w:firstLineChars="200"/>
              <w:rPr>
                <w:color w:val="auto"/>
                <w:sz w:val="24"/>
              </w:rPr>
            </w:pPr>
            <w:r>
              <w:rPr>
                <w:color w:val="auto"/>
                <w:sz w:val="24"/>
              </w:rPr>
              <w:t>从表3-3中可看出，项目区域监测点非甲烷总烃满足河北省地方标准《环境空气质量非甲烷总烃限值》（DB13/1577-2012），总悬浮颗粒物满足《环境空气质量标准》（GB 3095-2012）二级标准。</w:t>
            </w:r>
          </w:p>
          <w:p w14:paraId="0E15794A">
            <w:pPr>
              <w:pStyle w:val="29"/>
              <w:bidi w:val="0"/>
              <w:ind w:left="0" w:leftChars="0" w:firstLine="0" w:firstLineChars="0"/>
              <w:rPr>
                <w:rFonts w:ascii="Times New Roman" w:hAnsi="宋体"/>
                <w:b/>
                <w:bCs/>
                <w:color w:val="000000"/>
                <w:sz w:val="24"/>
                <w:szCs w:val="24"/>
              </w:rPr>
            </w:pPr>
            <w:r>
              <w:rPr>
                <w:rFonts w:hint="eastAsia" w:ascii="Times New Roman" w:hAnsi="Times New Roman"/>
                <w:b/>
                <w:bCs/>
                <w:color w:val="000000"/>
                <w:sz w:val="24"/>
                <w:szCs w:val="24"/>
                <w:lang w:val="en-US" w:eastAsia="zh-CN"/>
              </w:rPr>
              <w:t>2、</w:t>
            </w:r>
            <w:r>
              <w:rPr>
                <w:rFonts w:ascii="Times New Roman" w:hAnsi="宋体"/>
                <w:b/>
                <w:bCs/>
                <w:color w:val="000000"/>
                <w:sz w:val="24"/>
                <w:szCs w:val="24"/>
              </w:rPr>
              <w:t>地表</w:t>
            </w:r>
            <w:r>
              <w:rPr>
                <w:rFonts w:ascii="Times New Roman" w:hAnsi="宋体"/>
                <w:b/>
                <w:color w:val="000000"/>
                <w:sz w:val="24"/>
                <w:szCs w:val="24"/>
              </w:rPr>
              <w:t>水环境质量现状评价</w:t>
            </w:r>
          </w:p>
          <w:p w14:paraId="1B7E0C29">
            <w:pPr>
              <w:keepNext w:val="0"/>
              <w:keepLines w:val="0"/>
              <w:pageBreakBefore w:val="0"/>
              <w:widowControl w:val="0"/>
              <w:tabs>
                <w:tab w:val="left" w:pos="662"/>
              </w:tabs>
              <w:kinsoku/>
              <w:wordWrap/>
              <w:overflowPunct/>
              <w:topLinePunct w:val="0"/>
              <w:autoSpaceDE/>
              <w:autoSpaceDN/>
              <w:bidi w:val="0"/>
              <w:adjustRightInd w:val="0"/>
              <w:snapToGrid w:val="0"/>
              <w:spacing w:line="460" w:lineRule="exact"/>
              <w:ind w:firstLine="480" w:firstLineChars="200"/>
              <w:textAlignment w:val="auto"/>
              <w:rPr>
                <w:rFonts w:hint="eastAsia" w:ascii="Times New Roman" w:hAnsi="Times New Roman" w:eastAsia="宋体" w:cs="Times New Roman"/>
                <w:color w:val="000000"/>
                <w:kern w:val="0"/>
                <w:sz w:val="24"/>
              </w:rPr>
            </w:pPr>
            <w:r>
              <w:rPr>
                <w:rFonts w:hint="eastAsia" w:ascii="Times New Roman" w:hAnsi="Times New Roman" w:eastAsia="宋体" w:cs="Times New Roman"/>
                <w:color w:val="000000"/>
                <w:kern w:val="0"/>
                <w:sz w:val="24"/>
              </w:rPr>
              <w:t>本项目所在区域地表水最终受纳水体为长江，根据《重庆市人民政府批转重庆市地表水环境功能类别调整方案的通知》</w:t>
            </w:r>
            <w:r>
              <w:rPr>
                <w:rFonts w:hint="eastAsia" w:ascii="Times New Roman" w:hAnsi="Times New Roman" w:eastAsia="宋体" w:cs="Times New Roman"/>
                <w:color w:val="000000"/>
                <w:kern w:val="0"/>
                <w:sz w:val="24"/>
                <w:lang w:eastAsia="zh-CN"/>
              </w:rPr>
              <w:t>(</w:t>
            </w:r>
            <w:r>
              <w:rPr>
                <w:rFonts w:hint="eastAsia" w:ascii="Times New Roman" w:hAnsi="Times New Roman" w:eastAsia="宋体" w:cs="Times New Roman"/>
                <w:color w:val="000000"/>
                <w:kern w:val="0"/>
                <w:sz w:val="24"/>
              </w:rPr>
              <w:t>渝府发</w:t>
            </w:r>
            <w:r>
              <w:rPr>
                <w:rFonts w:hint="eastAsia" w:cs="Times New Roman"/>
                <w:color w:val="000000"/>
                <w:kern w:val="0"/>
                <w:sz w:val="24"/>
                <w:lang w:val="en-US" w:eastAsia="zh-CN"/>
              </w:rPr>
              <w:t>[</w:t>
            </w:r>
            <w:r>
              <w:rPr>
                <w:rFonts w:hint="eastAsia" w:ascii="Times New Roman" w:hAnsi="Times New Roman" w:eastAsia="宋体" w:cs="Times New Roman"/>
                <w:color w:val="000000"/>
                <w:kern w:val="0"/>
                <w:sz w:val="24"/>
              </w:rPr>
              <w:t>2012</w:t>
            </w:r>
            <w:r>
              <w:rPr>
                <w:rFonts w:hint="eastAsia" w:cs="Times New Roman"/>
                <w:color w:val="000000"/>
                <w:kern w:val="0"/>
                <w:sz w:val="24"/>
                <w:lang w:val="en-US" w:eastAsia="zh-CN"/>
              </w:rPr>
              <w:t>]</w:t>
            </w:r>
            <w:r>
              <w:rPr>
                <w:rFonts w:hint="eastAsia" w:ascii="Times New Roman" w:hAnsi="Times New Roman" w:eastAsia="宋体" w:cs="Times New Roman"/>
                <w:color w:val="000000"/>
                <w:kern w:val="0"/>
                <w:sz w:val="24"/>
              </w:rPr>
              <w:t>4号</w:t>
            </w:r>
            <w:r>
              <w:rPr>
                <w:rFonts w:hint="eastAsia" w:ascii="Times New Roman" w:hAnsi="Times New Roman" w:eastAsia="宋体" w:cs="Times New Roman"/>
                <w:color w:val="000000"/>
                <w:kern w:val="0"/>
                <w:sz w:val="24"/>
                <w:lang w:eastAsia="zh-CN"/>
              </w:rPr>
              <w:t>)</w:t>
            </w:r>
            <w:r>
              <w:rPr>
                <w:rFonts w:hint="eastAsia" w:ascii="Times New Roman" w:hAnsi="Times New Roman" w:eastAsia="宋体" w:cs="Times New Roman"/>
                <w:color w:val="000000"/>
                <w:kern w:val="0"/>
                <w:sz w:val="24"/>
              </w:rPr>
              <w:t>、《重庆市人民政府关于批转重庆市地表水环境功能类别局部调整方案的通知》</w:t>
            </w:r>
            <w:r>
              <w:rPr>
                <w:rFonts w:hint="eastAsia" w:ascii="Times New Roman" w:hAnsi="Times New Roman" w:eastAsia="宋体" w:cs="Times New Roman"/>
                <w:color w:val="000000"/>
                <w:kern w:val="0"/>
                <w:sz w:val="24"/>
                <w:lang w:eastAsia="zh-CN"/>
              </w:rPr>
              <w:t>(</w:t>
            </w:r>
            <w:r>
              <w:rPr>
                <w:rFonts w:hint="eastAsia" w:ascii="Times New Roman" w:hAnsi="Times New Roman" w:eastAsia="宋体" w:cs="Times New Roman"/>
                <w:color w:val="000000"/>
                <w:kern w:val="0"/>
                <w:sz w:val="24"/>
              </w:rPr>
              <w:t>渝府[2016]43号</w:t>
            </w:r>
            <w:r>
              <w:rPr>
                <w:rFonts w:hint="eastAsia" w:ascii="Times New Roman" w:hAnsi="Times New Roman" w:eastAsia="宋体" w:cs="Times New Roman"/>
                <w:color w:val="000000"/>
                <w:kern w:val="0"/>
                <w:sz w:val="24"/>
                <w:lang w:eastAsia="zh-CN"/>
              </w:rPr>
              <w:t>)</w:t>
            </w:r>
            <w:r>
              <w:rPr>
                <w:rFonts w:hint="eastAsia" w:cs="Times New Roman"/>
                <w:color w:val="000000"/>
                <w:kern w:val="0"/>
                <w:sz w:val="24"/>
                <w:lang w:eastAsia="zh-CN"/>
              </w:rPr>
              <w:t>等文件</w:t>
            </w:r>
            <w:r>
              <w:rPr>
                <w:rFonts w:hint="eastAsia" w:ascii="Times New Roman" w:hAnsi="Times New Roman" w:eastAsia="宋体" w:cs="Times New Roman"/>
                <w:color w:val="000000"/>
                <w:kern w:val="0"/>
                <w:sz w:val="24"/>
              </w:rPr>
              <w:t>，</w:t>
            </w:r>
            <w:r>
              <w:rPr>
                <w:rFonts w:hint="eastAsia" w:cs="Times New Roman"/>
                <w:color w:val="000000"/>
                <w:kern w:val="0"/>
                <w:sz w:val="24"/>
                <w:lang w:eastAsia="zh-CN"/>
              </w:rPr>
              <w:t>长江新田镇——大周镇段属于Ⅲ类水体，执行《地表水环境质量标准》(GB3838-2002)中Ⅲ类水域标准</w:t>
            </w:r>
            <w:r>
              <w:rPr>
                <w:rFonts w:hint="eastAsia" w:ascii="Times New Roman" w:hAnsi="Times New Roman" w:eastAsia="宋体" w:cs="Times New Roman"/>
                <w:color w:val="000000"/>
                <w:kern w:val="0"/>
                <w:sz w:val="24"/>
              </w:rPr>
              <w:t>。</w:t>
            </w:r>
          </w:p>
          <w:p w14:paraId="39C2DDF3">
            <w:pPr>
              <w:keepNext w:val="0"/>
              <w:keepLines w:val="0"/>
              <w:pageBreakBefore w:val="0"/>
              <w:widowControl w:val="0"/>
              <w:tabs>
                <w:tab w:val="left" w:pos="662"/>
              </w:tabs>
              <w:kinsoku/>
              <w:wordWrap w:val="0"/>
              <w:overflowPunct/>
              <w:topLinePunct w:val="0"/>
              <w:autoSpaceDE/>
              <w:autoSpaceDN/>
              <w:bidi w:val="0"/>
              <w:adjustRightInd w:val="0"/>
              <w:snapToGrid w:val="0"/>
              <w:spacing w:line="460" w:lineRule="exact"/>
              <w:ind w:firstLine="480" w:firstLineChars="200"/>
              <w:textAlignment w:val="auto"/>
              <w:rPr>
                <w:rFonts w:hint="eastAsia" w:ascii="Times New Roman" w:hAnsi="Times New Roman" w:eastAsia="宋体" w:cs="Times New Roman"/>
                <w:color w:val="000000"/>
                <w:kern w:val="0"/>
                <w:sz w:val="24"/>
                <w:lang w:eastAsia="zh-CN"/>
              </w:rPr>
            </w:pPr>
            <w:r>
              <w:rPr>
                <w:rFonts w:hint="eastAsia" w:ascii="Times New Roman" w:hAnsi="Times New Roman" w:eastAsia="宋体" w:cs="Times New Roman"/>
                <w:color w:val="000000"/>
                <w:kern w:val="0"/>
                <w:sz w:val="24"/>
              </w:rPr>
              <w:t>根据重庆市生态环境局于202</w:t>
            </w:r>
            <w:r>
              <w:rPr>
                <w:rFonts w:hint="eastAsia" w:cs="Times New Roman"/>
                <w:color w:val="000000"/>
                <w:kern w:val="0"/>
                <w:sz w:val="24"/>
                <w:lang w:val="en-US" w:eastAsia="zh-CN"/>
              </w:rPr>
              <w:t>5</w:t>
            </w:r>
            <w:r>
              <w:rPr>
                <w:rFonts w:hint="eastAsia" w:ascii="Times New Roman" w:hAnsi="Times New Roman" w:eastAsia="宋体" w:cs="Times New Roman"/>
                <w:color w:val="000000"/>
                <w:kern w:val="0"/>
                <w:sz w:val="24"/>
              </w:rPr>
              <w:t>年</w:t>
            </w:r>
            <w:r>
              <w:rPr>
                <w:rFonts w:hint="eastAsia" w:cs="Times New Roman"/>
                <w:color w:val="000000"/>
                <w:kern w:val="0"/>
                <w:sz w:val="24"/>
                <w:lang w:val="en-US" w:eastAsia="zh-CN"/>
              </w:rPr>
              <w:t>7</w:t>
            </w:r>
            <w:r>
              <w:rPr>
                <w:rFonts w:hint="eastAsia" w:ascii="Times New Roman" w:hAnsi="Times New Roman" w:eastAsia="宋体" w:cs="Times New Roman"/>
                <w:color w:val="000000"/>
                <w:kern w:val="0"/>
                <w:sz w:val="24"/>
              </w:rPr>
              <w:t>月</w:t>
            </w:r>
            <w:r>
              <w:rPr>
                <w:rFonts w:hint="eastAsia" w:cs="Times New Roman"/>
                <w:color w:val="000000"/>
                <w:kern w:val="0"/>
                <w:sz w:val="24"/>
                <w:lang w:val="en-US" w:eastAsia="zh-CN"/>
              </w:rPr>
              <w:t>9</w:t>
            </w:r>
            <w:r>
              <w:rPr>
                <w:rFonts w:hint="eastAsia" w:ascii="Times New Roman" w:hAnsi="Times New Roman" w:eastAsia="宋体" w:cs="Times New Roman"/>
                <w:color w:val="000000"/>
                <w:kern w:val="0"/>
                <w:sz w:val="24"/>
              </w:rPr>
              <w:t>日在重庆市生态环境局网站上对外公布公示的《2025年</w:t>
            </w:r>
            <w:r>
              <w:rPr>
                <w:rFonts w:hint="eastAsia" w:cs="Times New Roman"/>
                <w:color w:val="000000"/>
                <w:kern w:val="0"/>
                <w:sz w:val="24"/>
                <w:lang w:val="en-US" w:eastAsia="zh-CN"/>
              </w:rPr>
              <w:t>6</w:t>
            </w:r>
            <w:r>
              <w:rPr>
                <w:rFonts w:hint="eastAsia" w:ascii="Times New Roman" w:hAnsi="Times New Roman" w:eastAsia="宋体" w:cs="Times New Roman"/>
                <w:color w:val="000000"/>
                <w:kern w:val="0"/>
                <w:sz w:val="24"/>
              </w:rPr>
              <w:t>月份重庆市水环境质量状况》</w:t>
            </w:r>
            <w:r>
              <w:rPr>
                <w:rFonts w:hint="eastAsia" w:ascii="Times New Roman" w:hAnsi="Times New Roman" w:eastAsia="宋体" w:cs="Times New Roman"/>
                <w:color w:val="000000"/>
                <w:kern w:val="0"/>
                <w:sz w:val="24"/>
                <w:lang w:eastAsia="zh-CN"/>
              </w:rPr>
              <w:t>(</w:t>
            </w:r>
            <w:r>
              <w:rPr>
                <w:rFonts w:hint="eastAsia" w:ascii="Times New Roman" w:hAnsi="Times New Roman" w:eastAsia="宋体" w:cs="Times New Roman"/>
                <w:color w:val="000000"/>
                <w:kern w:val="0"/>
                <w:sz w:val="24"/>
              </w:rPr>
              <w:t>https://sthjj.cq.gov.cn/hjzl_249/shjzl/shjzlzk/202507/t20250709_14799639.html</w:t>
            </w:r>
            <w:r>
              <w:rPr>
                <w:rFonts w:hint="eastAsia" w:ascii="Times New Roman" w:hAnsi="Times New Roman" w:eastAsia="宋体" w:cs="Times New Roman"/>
                <w:color w:val="000000"/>
                <w:kern w:val="0"/>
                <w:sz w:val="24"/>
                <w:lang w:eastAsia="zh-CN"/>
              </w:rPr>
              <w:t>)</w:t>
            </w:r>
            <w:r>
              <w:rPr>
                <w:rFonts w:hint="eastAsia" w:ascii="Times New Roman" w:hAnsi="Times New Roman" w:eastAsia="宋体" w:cs="Times New Roman"/>
                <w:color w:val="000000"/>
                <w:kern w:val="0"/>
                <w:sz w:val="24"/>
              </w:rPr>
              <w:t>中的</w:t>
            </w:r>
            <w:r>
              <w:rPr>
                <w:rFonts w:hint="eastAsia" w:cs="Times New Roman"/>
                <w:color w:val="000000"/>
                <w:kern w:val="0"/>
                <w:sz w:val="24"/>
                <w:lang w:eastAsia="zh-CN"/>
              </w:rPr>
              <w:t>长江晒网坝</w:t>
            </w:r>
            <w:r>
              <w:rPr>
                <w:rFonts w:hint="eastAsia" w:ascii="Times New Roman" w:hAnsi="Times New Roman" w:eastAsia="宋体" w:cs="Times New Roman"/>
                <w:color w:val="000000"/>
                <w:kern w:val="0"/>
                <w:sz w:val="24"/>
              </w:rPr>
              <w:t>断面水质数据来说明当地地表水环境质量现状，</w:t>
            </w:r>
            <w:r>
              <w:rPr>
                <w:rFonts w:hint="eastAsia" w:cs="Times New Roman"/>
                <w:color w:val="000000"/>
                <w:kern w:val="0"/>
                <w:sz w:val="24"/>
                <w:lang w:eastAsia="zh-CN"/>
              </w:rPr>
              <w:t>晒网坝</w:t>
            </w:r>
            <w:r>
              <w:rPr>
                <w:rFonts w:hint="eastAsia" w:ascii="Times New Roman" w:hAnsi="Times New Roman" w:eastAsia="宋体" w:cs="Times New Roman"/>
                <w:color w:val="000000"/>
                <w:kern w:val="0"/>
                <w:sz w:val="24"/>
              </w:rPr>
              <w:t>断面地表水达到Ⅱ类水质要求。</w:t>
            </w:r>
            <w:r>
              <w:rPr>
                <w:rFonts w:hint="default" w:ascii="Times New Roman" w:hAnsi="Times New Roman" w:cs="Times New Roman"/>
                <w:b w:val="0"/>
                <w:bCs/>
                <w:color w:val="000000"/>
                <w:kern w:val="0"/>
                <w:sz w:val="24"/>
                <w:lang w:val="en-US" w:eastAsia="zh-CN"/>
              </w:rPr>
              <w:t>因此，</w:t>
            </w:r>
            <w:r>
              <w:rPr>
                <w:rFonts w:hint="default" w:ascii="Times New Roman" w:hAnsi="Times New Roman" w:cs="Times New Roman"/>
                <w:color w:val="000000"/>
                <w:sz w:val="24"/>
                <w:lang w:eastAsia="zh-CN"/>
              </w:rPr>
              <w:t>长</w:t>
            </w:r>
            <w:r>
              <w:rPr>
                <w:rFonts w:hint="default" w:ascii="Times New Roman" w:hAnsi="Times New Roman" w:cs="Times New Roman"/>
                <w:color w:val="000000"/>
                <w:sz w:val="24"/>
                <w:highlight w:val="none"/>
                <w:lang w:eastAsia="zh-CN"/>
              </w:rPr>
              <w:t>江新田镇——大周镇</w:t>
            </w:r>
            <w:r>
              <w:rPr>
                <w:rFonts w:hint="default" w:ascii="Times New Roman" w:hAnsi="Times New Roman" w:cs="Times New Roman"/>
                <w:b w:val="0"/>
                <w:bCs/>
                <w:color w:val="000000"/>
                <w:kern w:val="0"/>
                <w:sz w:val="24"/>
                <w:lang w:val="en-US" w:eastAsia="zh-CN"/>
              </w:rPr>
              <w:t>段水域满足《地表水环境质量标准》</w:t>
            </w:r>
            <w:r>
              <w:rPr>
                <w:rFonts w:hint="eastAsia" w:ascii="Times New Roman" w:hAnsi="Times New Roman" w:cs="Times New Roman"/>
                <w:b w:val="0"/>
                <w:bCs/>
                <w:color w:val="000000"/>
                <w:kern w:val="0"/>
                <w:sz w:val="24"/>
                <w:lang w:val="en-US" w:eastAsia="zh-CN"/>
              </w:rPr>
              <w:t>(</w:t>
            </w:r>
            <w:r>
              <w:rPr>
                <w:rFonts w:hint="default" w:ascii="Times New Roman" w:hAnsi="Times New Roman" w:cs="Times New Roman"/>
                <w:b w:val="0"/>
                <w:bCs/>
                <w:color w:val="000000"/>
                <w:kern w:val="0"/>
                <w:sz w:val="24"/>
                <w:lang w:val="en-US" w:eastAsia="zh-CN"/>
              </w:rPr>
              <w:t>GB3838-2002</w:t>
            </w:r>
            <w:r>
              <w:rPr>
                <w:rFonts w:hint="eastAsia" w:ascii="Times New Roman" w:hAnsi="Times New Roman" w:cs="Times New Roman"/>
                <w:b w:val="0"/>
                <w:bCs/>
                <w:color w:val="000000"/>
                <w:kern w:val="0"/>
                <w:sz w:val="24"/>
                <w:lang w:val="en-US" w:eastAsia="zh-CN"/>
              </w:rPr>
              <w:t>)</w:t>
            </w:r>
            <w:r>
              <w:rPr>
                <w:rFonts w:hint="default" w:ascii="Times New Roman" w:hAnsi="Times New Roman" w:cs="Times New Roman"/>
                <w:color w:val="000000"/>
                <w:sz w:val="24"/>
              </w:rPr>
              <w:t>Ⅲ类</w:t>
            </w:r>
            <w:r>
              <w:rPr>
                <w:rFonts w:hint="default" w:ascii="Times New Roman" w:hAnsi="Times New Roman" w:cs="Times New Roman"/>
                <w:b w:val="0"/>
                <w:bCs/>
                <w:color w:val="000000"/>
                <w:kern w:val="0"/>
                <w:sz w:val="24"/>
                <w:lang w:val="en-US" w:eastAsia="zh-CN"/>
              </w:rPr>
              <w:t>标准</w:t>
            </w:r>
            <w:r>
              <w:rPr>
                <w:rFonts w:hint="default" w:ascii="Times New Roman" w:hAnsi="Times New Roman" w:cs="Times New Roman"/>
                <w:color w:val="000000"/>
                <w:kern w:val="0"/>
                <w:szCs w:val="21"/>
                <w:lang w:eastAsia="zh-CN"/>
              </w:rPr>
              <w:t>。</w:t>
            </w:r>
          </w:p>
          <w:p w14:paraId="2ABE6202">
            <w:pPr>
              <w:tabs>
                <w:tab w:val="left" w:pos="662"/>
              </w:tabs>
              <w:adjustRightInd w:val="0"/>
              <w:snapToGrid w:val="0"/>
              <w:spacing w:line="500" w:lineRule="exact"/>
              <w:ind w:firstLine="480" w:firstLineChars="200"/>
              <w:rPr>
                <w:rFonts w:hint="eastAsia" w:ascii="Times New Roman" w:hAnsi="Times New Roman" w:eastAsia="宋体" w:cs="Times New Roman"/>
                <w:color w:val="000000"/>
                <w:kern w:val="0"/>
                <w:sz w:val="24"/>
                <w:lang w:eastAsia="zh-CN"/>
              </w:rPr>
            </w:pPr>
          </w:p>
          <w:p w14:paraId="50F71BB2">
            <w:pPr>
              <w:tabs>
                <w:tab w:val="left" w:pos="662"/>
              </w:tabs>
              <w:adjustRightInd w:val="0"/>
              <w:snapToGrid w:val="0"/>
              <w:spacing w:line="500" w:lineRule="exact"/>
              <w:ind w:firstLine="480" w:firstLineChars="200"/>
              <w:rPr>
                <w:rFonts w:hint="eastAsia" w:ascii="Times New Roman" w:hAnsi="Times New Roman" w:eastAsia="宋体" w:cs="Times New Roman"/>
                <w:color w:val="000000"/>
                <w:kern w:val="0"/>
                <w:sz w:val="24"/>
              </w:rPr>
            </w:pPr>
          </w:p>
          <w:p w14:paraId="693CA8F2">
            <w:pPr>
              <w:tabs>
                <w:tab w:val="left" w:pos="662"/>
              </w:tabs>
              <w:adjustRightInd w:val="0"/>
              <w:snapToGrid w:val="0"/>
              <w:spacing w:line="500" w:lineRule="exact"/>
              <w:ind w:firstLine="480" w:firstLineChars="200"/>
              <w:rPr>
                <w:rFonts w:hint="eastAsia" w:ascii="Times New Roman" w:hAnsi="Times New Roman" w:eastAsia="宋体" w:cs="Times New Roman"/>
                <w:color w:val="000000"/>
                <w:kern w:val="0"/>
                <w:sz w:val="24"/>
              </w:rPr>
            </w:pPr>
          </w:p>
          <w:p w14:paraId="2843E3F2">
            <w:pPr>
              <w:tabs>
                <w:tab w:val="left" w:pos="662"/>
              </w:tabs>
              <w:adjustRightInd w:val="0"/>
              <w:snapToGrid w:val="0"/>
              <w:spacing w:line="500" w:lineRule="exact"/>
              <w:ind w:firstLine="480" w:firstLineChars="200"/>
              <w:rPr>
                <w:rFonts w:hint="eastAsia" w:ascii="Times New Roman" w:hAnsi="Times New Roman" w:eastAsia="宋体" w:cs="Times New Roman"/>
                <w:color w:val="000000"/>
                <w:kern w:val="0"/>
                <w:sz w:val="24"/>
              </w:rPr>
            </w:pPr>
          </w:p>
          <w:p w14:paraId="1025BF9B">
            <w:pPr>
              <w:tabs>
                <w:tab w:val="left" w:pos="662"/>
              </w:tabs>
              <w:adjustRightInd w:val="0"/>
              <w:snapToGrid w:val="0"/>
              <w:spacing w:line="500" w:lineRule="exact"/>
              <w:ind w:firstLine="480" w:firstLineChars="200"/>
              <w:rPr>
                <w:rFonts w:hint="eastAsia" w:ascii="Times New Roman" w:hAnsi="Times New Roman" w:eastAsia="宋体" w:cs="Times New Roman"/>
                <w:color w:val="000000"/>
                <w:kern w:val="0"/>
                <w:sz w:val="24"/>
              </w:rPr>
            </w:pPr>
          </w:p>
          <w:p w14:paraId="2E193121">
            <w:pPr>
              <w:tabs>
                <w:tab w:val="left" w:pos="662"/>
              </w:tabs>
              <w:adjustRightInd w:val="0"/>
              <w:snapToGrid w:val="0"/>
              <w:spacing w:line="500" w:lineRule="exact"/>
              <w:ind w:firstLine="480" w:firstLineChars="200"/>
              <w:rPr>
                <w:rFonts w:hint="eastAsia" w:ascii="Times New Roman" w:hAnsi="Times New Roman" w:eastAsia="宋体" w:cs="Times New Roman"/>
                <w:color w:val="000000"/>
                <w:kern w:val="0"/>
                <w:sz w:val="24"/>
              </w:rPr>
            </w:pPr>
          </w:p>
          <w:p w14:paraId="76490D4E">
            <w:pPr>
              <w:tabs>
                <w:tab w:val="left" w:pos="662"/>
              </w:tabs>
              <w:adjustRightInd w:val="0"/>
              <w:snapToGrid w:val="0"/>
              <w:spacing w:line="500" w:lineRule="exact"/>
              <w:ind w:firstLine="480" w:firstLineChars="200"/>
              <w:rPr>
                <w:rFonts w:hint="eastAsia" w:ascii="Times New Roman" w:hAnsi="Times New Roman" w:eastAsia="宋体" w:cs="Times New Roman"/>
                <w:color w:val="000000"/>
                <w:kern w:val="0"/>
                <w:sz w:val="24"/>
              </w:rPr>
            </w:pPr>
          </w:p>
          <w:p w14:paraId="33E7E4CB">
            <w:pPr>
              <w:tabs>
                <w:tab w:val="left" w:pos="662"/>
              </w:tabs>
              <w:adjustRightInd w:val="0"/>
              <w:snapToGrid w:val="0"/>
              <w:spacing w:line="500" w:lineRule="exact"/>
              <w:ind w:firstLine="480" w:firstLineChars="200"/>
              <w:rPr>
                <w:rFonts w:hint="eastAsia" w:ascii="Times New Roman" w:hAnsi="Times New Roman" w:eastAsia="宋体" w:cs="Times New Roman"/>
                <w:color w:val="000000"/>
                <w:kern w:val="0"/>
                <w:sz w:val="24"/>
              </w:rPr>
            </w:pPr>
          </w:p>
          <w:p w14:paraId="7CCB2696">
            <w:pPr>
              <w:tabs>
                <w:tab w:val="left" w:pos="662"/>
              </w:tabs>
              <w:adjustRightInd w:val="0"/>
              <w:snapToGrid w:val="0"/>
              <w:spacing w:line="500" w:lineRule="exact"/>
              <w:ind w:firstLine="420" w:firstLineChars="200"/>
              <w:rPr>
                <w:rFonts w:hint="eastAsia" w:ascii="Times New Roman" w:hAnsi="Times New Roman" w:eastAsia="宋体" w:cs="Times New Roman"/>
                <w:color w:val="000000"/>
                <w:kern w:val="0"/>
                <w:sz w:val="24"/>
              </w:rPr>
            </w:pPr>
            <w:r>
              <w:rPr>
                <w:color w:val="000000"/>
              </w:rPr>
              <w:drawing>
                <wp:anchor distT="0" distB="0" distL="114300" distR="114300" simplePos="0" relativeHeight="251659264" behindDoc="1" locked="0" layoutInCell="1" allowOverlap="1">
                  <wp:simplePos x="0" y="0"/>
                  <wp:positionH relativeFrom="column">
                    <wp:posOffset>610870</wp:posOffset>
                  </wp:positionH>
                  <wp:positionV relativeFrom="paragraph">
                    <wp:posOffset>32385</wp:posOffset>
                  </wp:positionV>
                  <wp:extent cx="3449320" cy="5636260"/>
                  <wp:effectExtent l="0" t="0" r="17780" b="2540"/>
                  <wp:wrapNone/>
                  <wp:docPr id="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5"/>
                          <pic:cNvPicPr>
                            <a:picLocks noChangeAspect="1"/>
                          </pic:cNvPicPr>
                        </pic:nvPicPr>
                        <pic:blipFill>
                          <a:blip r:embed="rId6"/>
                          <a:stretch>
                            <a:fillRect/>
                          </a:stretch>
                        </pic:blipFill>
                        <pic:spPr>
                          <a:xfrm>
                            <a:off x="0" y="0"/>
                            <a:ext cx="3449320" cy="5636260"/>
                          </a:xfrm>
                          <a:prstGeom prst="rect">
                            <a:avLst/>
                          </a:prstGeom>
                          <a:noFill/>
                          <a:ln>
                            <a:noFill/>
                          </a:ln>
                        </pic:spPr>
                      </pic:pic>
                    </a:graphicData>
                  </a:graphic>
                </wp:anchor>
              </w:drawing>
            </w:r>
          </w:p>
          <w:p w14:paraId="7A49C099">
            <w:pPr>
              <w:tabs>
                <w:tab w:val="left" w:pos="662"/>
              </w:tabs>
              <w:adjustRightInd w:val="0"/>
              <w:snapToGrid w:val="0"/>
              <w:spacing w:line="500" w:lineRule="exact"/>
              <w:jc w:val="both"/>
              <w:rPr>
                <w:rFonts w:hint="eastAsia" w:cs="Times New Roman"/>
                <w:b/>
                <w:bCs/>
                <w:color w:val="000000"/>
                <w:kern w:val="0"/>
                <w:sz w:val="24"/>
                <w:lang w:eastAsia="zh-CN"/>
              </w:rPr>
            </w:pPr>
          </w:p>
          <w:p w14:paraId="6ADC5CA8">
            <w:pPr>
              <w:pStyle w:val="2"/>
              <w:rPr>
                <w:rFonts w:hint="eastAsia" w:cs="Times New Roman"/>
                <w:b/>
                <w:bCs/>
                <w:color w:val="000000"/>
                <w:kern w:val="0"/>
                <w:sz w:val="24"/>
                <w:lang w:eastAsia="zh-CN"/>
              </w:rPr>
            </w:pPr>
          </w:p>
          <w:p w14:paraId="73AED0D3">
            <w:pPr>
              <w:pStyle w:val="3"/>
              <w:rPr>
                <w:rFonts w:hint="eastAsia" w:cs="Times New Roman"/>
                <w:b/>
                <w:bCs/>
                <w:color w:val="000000"/>
                <w:kern w:val="0"/>
                <w:sz w:val="24"/>
                <w:lang w:eastAsia="zh-CN"/>
              </w:rPr>
            </w:pPr>
          </w:p>
          <w:p w14:paraId="00609ED1">
            <w:pPr>
              <w:rPr>
                <w:rFonts w:hint="eastAsia" w:cs="Times New Roman"/>
                <w:b/>
                <w:bCs/>
                <w:color w:val="000000"/>
                <w:kern w:val="0"/>
                <w:sz w:val="24"/>
                <w:lang w:eastAsia="zh-CN"/>
              </w:rPr>
            </w:pPr>
          </w:p>
          <w:p w14:paraId="09CF72C5">
            <w:pPr>
              <w:pStyle w:val="2"/>
              <w:rPr>
                <w:rFonts w:hint="eastAsia" w:cs="Times New Roman"/>
                <w:b/>
                <w:bCs/>
                <w:color w:val="000000"/>
                <w:kern w:val="0"/>
                <w:sz w:val="24"/>
                <w:lang w:eastAsia="zh-CN"/>
              </w:rPr>
            </w:pPr>
          </w:p>
          <w:p w14:paraId="48FA9B85">
            <w:pPr>
              <w:pStyle w:val="3"/>
              <w:rPr>
                <w:rFonts w:hint="eastAsia" w:cs="Times New Roman"/>
                <w:b/>
                <w:bCs/>
                <w:color w:val="000000"/>
                <w:kern w:val="0"/>
                <w:sz w:val="24"/>
                <w:lang w:eastAsia="zh-CN"/>
              </w:rPr>
            </w:pPr>
          </w:p>
          <w:p w14:paraId="4B629B53">
            <w:pPr>
              <w:rPr>
                <w:rFonts w:hint="eastAsia" w:cs="Times New Roman"/>
                <w:b/>
                <w:bCs/>
                <w:color w:val="000000"/>
                <w:kern w:val="0"/>
                <w:sz w:val="24"/>
                <w:lang w:eastAsia="zh-CN"/>
              </w:rPr>
            </w:pPr>
          </w:p>
          <w:p w14:paraId="1B90D6F4">
            <w:pPr>
              <w:pStyle w:val="2"/>
              <w:rPr>
                <w:rFonts w:hint="eastAsia" w:cs="Times New Roman"/>
                <w:b/>
                <w:bCs/>
                <w:color w:val="000000"/>
                <w:kern w:val="0"/>
                <w:sz w:val="24"/>
                <w:lang w:eastAsia="zh-CN"/>
              </w:rPr>
            </w:pPr>
          </w:p>
          <w:p w14:paraId="3A9A38EA">
            <w:pPr>
              <w:pStyle w:val="3"/>
              <w:rPr>
                <w:rFonts w:hint="eastAsia" w:cs="Times New Roman"/>
                <w:b/>
                <w:bCs/>
                <w:color w:val="000000"/>
                <w:kern w:val="0"/>
                <w:sz w:val="24"/>
                <w:lang w:eastAsia="zh-CN"/>
              </w:rPr>
            </w:pPr>
          </w:p>
          <w:p w14:paraId="2677C7EC">
            <w:pPr>
              <w:rPr>
                <w:rFonts w:hint="eastAsia" w:cs="Times New Roman"/>
                <w:b/>
                <w:bCs/>
                <w:color w:val="000000"/>
                <w:kern w:val="0"/>
                <w:sz w:val="24"/>
                <w:lang w:eastAsia="zh-CN"/>
              </w:rPr>
            </w:pPr>
          </w:p>
          <w:p w14:paraId="1FC80C65">
            <w:pPr>
              <w:pStyle w:val="2"/>
              <w:rPr>
                <w:rFonts w:hint="eastAsia" w:cs="Times New Roman"/>
                <w:b/>
                <w:bCs/>
                <w:color w:val="000000"/>
                <w:kern w:val="0"/>
                <w:sz w:val="24"/>
                <w:lang w:eastAsia="zh-CN"/>
              </w:rPr>
            </w:pPr>
          </w:p>
          <w:p w14:paraId="478D40E7">
            <w:pPr>
              <w:pStyle w:val="3"/>
              <w:rPr>
                <w:rFonts w:hint="eastAsia" w:cs="Times New Roman"/>
                <w:b/>
                <w:bCs/>
                <w:color w:val="000000"/>
                <w:kern w:val="0"/>
                <w:sz w:val="24"/>
                <w:lang w:eastAsia="zh-CN"/>
              </w:rPr>
            </w:pPr>
          </w:p>
          <w:p w14:paraId="09E63649">
            <w:pPr>
              <w:rPr>
                <w:rFonts w:hint="eastAsia" w:cs="Times New Roman"/>
                <w:b/>
                <w:bCs/>
                <w:color w:val="000000"/>
                <w:kern w:val="0"/>
                <w:sz w:val="24"/>
                <w:lang w:eastAsia="zh-CN"/>
              </w:rPr>
            </w:pPr>
          </w:p>
          <w:p w14:paraId="547AA373">
            <w:pPr>
              <w:pStyle w:val="2"/>
              <w:rPr>
                <w:rFonts w:hint="eastAsia" w:cs="Times New Roman"/>
                <w:b/>
                <w:bCs/>
                <w:color w:val="000000"/>
                <w:kern w:val="0"/>
                <w:sz w:val="24"/>
                <w:lang w:eastAsia="zh-CN"/>
              </w:rPr>
            </w:pPr>
          </w:p>
          <w:p w14:paraId="0231D401">
            <w:pPr>
              <w:pStyle w:val="3"/>
              <w:rPr>
                <w:rFonts w:hint="eastAsia" w:cs="Times New Roman"/>
                <w:b/>
                <w:bCs/>
                <w:color w:val="000000"/>
                <w:kern w:val="0"/>
                <w:sz w:val="24"/>
                <w:lang w:eastAsia="zh-CN"/>
              </w:rPr>
            </w:pPr>
          </w:p>
          <w:p w14:paraId="6496F29E">
            <w:pPr>
              <w:rPr>
                <w:rFonts w:hint="eastAsia" w:cs="Times New Roman"/>
                <w:b/>
                <w:bCs/>
                <w:color w:val="000000"/>
                <w:kern w:val="0"/>
                <w:sz w:val="24"/>
                <w:lang w:eastAsia="zh-CN"/>
              </w:rPr>
            </w:pPr>
          </w:p>
          <w:p w14:paraId="4D3C989E">
            <w:pPr>
              <w:pStyle w:val="2"/>
              <w:rPr>
                <w:rFonts w:hint="eastAsia" w:cs="Times New Roman"/>
                <w:b/>
                <w:bCs/>
                <w:color w:val="000000"/>
                <w:kern w:val="0"/>
                <w:sz w:val="24"/>
                <w:lang w:eastAsia="zh-CN"/>
              </w:rPr>
            </w:pPr>
          </w:p>
          <w:p w14:paraId="49B77BA8">
            <w:pPr>
              <w:pStyle w:val="3"/>
              <w:rPr>
                <w:rFonts w:hint="eastAsia" w:cs="Times New Roman"/>
                <w:b/>
                <w:bCs/>
                <w:color w:val="000000"/>
                <w:kern w:val="0"/>
                <w:sz w:val="24"/>
                <w:lang w:eastAsia="zh-CN"/>
              </w:rPr>
            </w:pPr>
          </w:p>
          <w:p w14:paraId="6A24C69C">
            <w:pPr>
              <w:rPr>
                <w:rFonts w:hint="eastAsia" w:cs="Times New Roman"/>
                <w:b/>
                <w:bCs/>
                <w:color w:val="000000"/>
                <w:kern w:val="0"/>
                <w:sz w:val="24"/>
                <w:lang w:eastAsia="zh-CN"/>
              </w:rPr>
            </w:pPr>
          </w:p>
          <w:p w14:paraId="5A616738">
            <w:pPr>
              <w:pStyle w:val="2"/>
              <w:rPr>
                <w:rFonts w:hint="eastAsia" w:cs="Times New Roman"/>
                <w:b/>
                <w:bCs/>
                <w:color w:val="000000"/>
                <w:kern w:val="0"/>
                <w:sz w:val="24"/>
                <w:lang w:eastAsia="zh-CN"/>
              </w:rPr>
            </w:pPr>
          </w:p>
          <w:p w14:paraId="17772E87">
            <w:pPr>
              <w:pStyle w:val="3"/>
              <w:rPr>
                <w:rFonts w:hint="eastAsia" w:cs="Times New Roman"/>
                <w:b/>
                <w:bCs/>
                <w:color w:val="000000"/>
                <w:kern w:val="0"/>
                <w:sz w:val="24"/>
                <w:lang w:eastAsia="zh-CN"/>
              </w:rPr>
            </w:pPr>
          </w:p>
          <w:p w14:paraId="08516A7A">
            <w:pPr>
              <w:rPr>
                <w:rFonts w:hint="eastAsia" w:cs="Times New Roman"/>
                <w:b/>
                <w:bCs/>
                <w:color w:val="000000"/>
                <w:kern w:val="0"/>
                <w:sz w:val="24"/>
                <w:lang w:eastAsia="zh-CN"/>
              </w:rPr>
            </w:pPr>
          </w:p>
          <w:p w14:paraId="22D94BB7">
            <w:pPr>
              <w:pStyle w:val="2"/>
              <w:rPr>
                <w:rFonts w:hint="eastAsia" w:cs="Times New Roman"/>
                <w:b/>
                <w:bCs/>
                <w:color w:val="000000"/>
                <w:kern w:val="0"/>
                <w:sz w:val="24"/>
                <w:lang w:eastAsia="zh-CN"/>
              </w:rPr>
            </w:pPr>
          </w:p>
          <w:p w14:paraId="1D14A210">
            <w:pPr>
              <w:pStyle w:val="3"/>
              <w:rPr>
                <w:rFonts w:hint="eastAsia" w:cs="Times New Roman"/>
                <w:b/>
                <w:bCs/>
                <w:color w:val="000000"/>
                <w:kern w:val="0"/>
                <w:sz w:val="24"/>
                <w:lang w:eastAsia="zh-CN"/>
              </w:rPr>
            </w:pPr>
          </w:p>
          <w:p w14:paraId="25FC2B52">
            <w:pPr>
              <w:rPr>
                <w:rFonts w:hint="eastAsia" w:cs="Times New Roman"/>
                <w:b/>
                <w:bCs/>
                <w:color w:val="000000"/>
                <w:kern w:val="0"/>
                <w:sz w:val="24"/>
                <w:lang w:eastAsia="zh-CN"/>
              </w:rPr>
            </w:pPr>
          </w:p>
          <w:p w14:paraId="09155187">
            <w:pPr>
              <w:pStyle w:val="2"/>
              <w:rPr>
                <w:rFonts w:hint="eastAsia" w:cs="Times New Roman"/>
                <w:b/>
                <w:bCs/>
                <w:color w:val="000000"/>
                <w:kern w:val="0"/>
                <w:sz w:val="24"/>
                <w:lang w:eastAsia="zh-CN"/>
              </w:rPr>
            </w:pPr>
          </w:p>
          <w:p w14:paraId="297FDABD">
            <w:pPr>
              <w:pStyle w:val="3"/>
              <w:rPr>
                <w:rFonts w:hint="eastAsia" w:cs="Times New Roman"/>
                <w:b/>
                <w:bCs/>
                <w:color w:val="000000"/>
                <w:kern w:val="0"/>
                <w:sz w:val="24"/>
                <w:lang w:eastAsia="zh-CN"/>
              </w:rPr>
            </w:pPr>
          </w:p>
          <w:p w14:paraId="310F88AD">
            <w:pPr>
              <w:keepNext w:val="0"/>
              <w:keepLines w:val="0"/>
              <w:pageBreakBefore w:val="0"/>
              <w:widowControl w:val="0"/>
              <w:tabs>
                <w:tab w:val="left" w:pos="662"/>
              </w:tabs>
              <w:kinsoku/>
              <w:wordWrap/>
              <w:overflowPunct/>
              <w:topLinePunct w:val="0"/>
              <w:autoSpaceDE/>
              <w:autoSpaceDN/>
              <w:bidi w:val="0"/>
              <w:adjustRightInd w:val="0"/>
              <w:snapToGrid w:val="0"/>
              <w:spacing w:line="460" w:lineRule="exact"/>
              <w:jc w:val="center"/>
              <w:textAlignment w:val="auto"/>
              <w:rPr>
                <w:rFonts w:hint="default" w:ascii="Times New Roman" w:hAnsi="Times New Roman" w:eastAsia="宋体" w:cs="Times New Roman"/>
                <w:b/>
                <w:bCs/>
                <w:color w:val="000000"/>
                <w:kern w:val="0"/>
                <w:sz w:val="24"/>
                <w:lang w:val="en-US" w:eastAsia="zh-CN"/>
              </w:rPr>
            </w:pPr>
            <w:r>
              <w:rPr>
                <w:rFonts w:hint="eastAsia" w:cs="Times New Roman"/>
                <w:b/>
                <w:bCs/>
                <w:color w:val="000000"/>
                <w:kern w:val="0"/>
                <w:sz w:val="24"/>
                <w:lang w:eastAsia="zh-CN"/>
              </w:rPr>
              <w:t>图</w:t>
            </w:r>
            <w:r>
              <w:rPr>
                <w:rFonts w:hint="eastAsia" w:cs="Times New Roman"/>
                <w:b/>
                <w:bCs/>
                <w:color w:val="000000"/>
                <w:kern w:val="0"/>
                <w:sz w:val="24"/>
                <w:lang w:val="en-US" w:eastAsia="zh-CN"/>
              </w:rPr>
              <w:t>3-1  2025年6月份重庆市水环境质量状况</w:t>
            </w:r>
          </w:p>
          <w:p w14:paraId="48758026">
            <w:pPr>
              <w:keepLines w:val="0"/>
              <w:pageBreakBefore w:val="0"/>
              <w:kinsoku/>
              <w:wordWrap/>
              <w:topLinePunct w:val="0"/>
              <w:bidi w:val="0"/>
              <w:spacing w:line="360" w:lineRule="auto"/>
              <w:ind w:left="0" w:leftChars="0"/>
              <w:contextualSpacing/>
              <w:rPr>
                <w:rFonts w:ascii="Times New Roman" w:hAnsi="Times New Roman"/>
                <w:b/>
                <w:color w:val="000000"/>
                <w:sz w:val="24"/>
                <w:szCs w:val="24"/>
              </w:rPr>
            </w:pPr>
            <w:r>
              <w:rPr>
                <w:rFonts w:hint="eastAsia" w:ascii="Times New Roman" w:hAnsi="Times New Roman"/>
                <w:b/>
                <w:color w:val="000000"/>
                <w:sz w:val="24"/>
                <w:szCs w:val="24"/>
                <w:lang w:val="en-US" w:eastAsia="zh-CN"/>
              </w:rPr>
              <w:t>3、</w:t>
            </w:r>
            <w:r>
              <w:rPr>
                <w:rFonts w:ascii="Times New Roman" w:hAnsi="宋体"/>
                <w:b/>
                <w:color w:val="000000"/>
                <w:sz w:val="24"/>
                <w:szCs w:val="24"/>
              </w:rPr>
              <w:t>声环境质量现状及评价</w:t>
            </w:r>
          </w:p>
          <w:p w14:paraId="0EF6F0AC">
            <w:pPr>
              <w:keepNext w:val="0"/>
              <w:keepLines w:val="0"/>
              <w:pageBreakBefore w:val="0"/>
              <w:widowControl w:val="0"/>
              <w:kinsoku/>
              <w:wordWrap/>
              <w:overflowPunct/>
              <w:topLinePunct w:val="0"/>
              <w:autoSpaceDE/>
              <w:autoSpaceDN/>
              <w:bidi w:val="0"/>
              <w:adjustRightInd/>
              <w:snapToGrid/>
              <w:spacing w:line="460" w:lineRule="exact"/>
              <w:textAlignment w:val="auto"/>
              <w:rPr>
                <w:rFonts w:hint="default"/>
                <w:color w:val="000000"/>
                <w:lang w:eastAsia="zh-CN"/>
              </w:rPr>
            </w:pPr>
            <w:r>
              <w:rPr>
                <w:rFonts w:hint="eastAsia"/>
                <w:color w:val="000000"/>
                <w:lang w:val="en-US" w:eastAsia="zh-CN"/>
              </w:rPr>
              <w:t xml:space="preserve">根据《建设项目环境影响报告表编制技术指南（污染影响类）》（试行）的要求，“厂界外周边 </w:t>
            </w:r>
            <w:r>
              <w:rPr>
                <w:rFonts w:hint="default"/>
                <w:color w:val="000000"/>
                <w:lang w:val="en-US" w:eastAsia="zh-CN"/>
              </w:rPr>
              <w:t xml:space="preserve">50 </w:t>
            </w:r>
            <w:r>
              <w:rPr>
                <w:rFonts w:hint="eastAsia"/>
                <w:color w:val="000000"/>
                <w:lang w:val="en-US" w:eastAsia="zh-CN"/>
              </w:rPr>
              <w:t>米范围内存在声环境保护目标的建设项目，应监测保护目标声环境质量现状并评价达标情况。各点位应监测昼夜间噪声，监测时间不少于1天，项目夜间不生产则仅监测昼间噪声”。</w:t>
            </w:r>
          </w:p>
          <w:p w14:paraId="16013B8B">
            <w:pPr>
              <w:keepNext w:val="0"/>
              <w:keepLines w:val="0"/>
              <w:pageBreakBefore w:val="0"/>
              <w:widowControl w:val="0"/>
              <w:kinsoku/>
              <w:wordWrap/>
              <w:overflowPunct/>
              <w:topLinePunct w:val="0"/>
              <w:autoSpaceDE/>
              <w:autoSpaceDN/>
              <w:bidi w:val="0"/>
              <w:adjustRightInd/>
              <w:snapToGrid/>
              <w:spacing w:line="460" w:lineRule="exact"/>
              <w:textAlignment w:val="auto"/>
              <w:rPr>
                <w:rFonts w:hint="default"/>
                <w:color w:val="000000"/>
                <w:lang w:eastAsia="zh-CN"/>
              </w:rPr>
            </w:pPr>
            <w:r>
              <w:rPr>
                <w:rFonts w:hint="default"/>
                <w:color w:val="000000"/>
                <w:lang w:eastAsia="zh-CN"/>
              </w:rPr>
              <w:t>本项目厂界外50</w:t>
            </w:r>
            <w:r>
              <w:rPr>
                <w:rFonts w:hint="default"/>
                <w:color w:val="000000"/>
                <w:lang w:val="en-US" w:eastAsia="zh-CN"/>
              </w:rPr>
              <w:t>m</w:t>
            </w:r>
            <w:r>
              <w:rPr>
                <w:rFonts w:hint="default"/>
                <w:color w:val="000000"/>
                <w:lang w:eastAsia="zh-CN"/>
              </w:rPr>
              <w:t>范围内无声环境保护目标，可不开展声环境质量现状调查。</w:t>
            </w:r>
          </w:p>
          <w:p w14:paraId="37B5807C">
            <w:pPr>
              <w:keepLines w:val="0"/>
              <w:pageBreakBefore w:val="0"/>
              <w:kinsoku/>
              <w:wordWrap/>
              <w:topLinePunct w:val="0"/>
              <w:bidi w:val="0"/>
              <w:adjustRightInd w:val="0"/>
              <w:snapToGrid w:val="0"/>
              <w:spacing w:line="360" w:lineRule="auto"/>
              <w:jc w:val="left"/>
              <w:rPr>
                <w:rFonts w:hint="eastAsia" w:ascii="Times New Roman" w:hAnsi="宋体"/>
                <w:b/>
                <w:bCs/>
                <w:snapToGrid w:val="0"/>
                <w:color w:val="000000"/>
                <w:kern w:val="0"/>
                <w:sz w:val="24"/>
                <w:szCs w:val="24"/>
              </w:rPr>
            </w:pPr>
            <w:r>
              <w:rPr>
                <w:rFonts w:hint="eastAsia" w:ascii="Times New Roman" w:hAnsi="宋体"/>
                <w:b/>
                <w:bCs/>
                <w:snapToGrid w:val="0"/>
                <w:color w:val="000000"/>
                <w:kern w:val="0"/>
                <w:sz w:val="24"/>
                <w:szCs w:val="24"/>
                <w:lang w:val="en-US" w:eastAsia="zh-CN"/>
              </w:rPr>
              <w:t>4、</w:t>
            </w:r>
            <w:r>
              <w:rPr>
                <w:rFonts w:hint="eastAsia" w:ascii="Times New Roman" w:hAnsi="宋体"/>
                <w:b/>
                <w:bCs/>
                <w:snapToGrid w:val="0"/>
                <w:color w:val="000000"/>
                <w:kern w:val="0"/>
                <w:sz w:val="24"/>
                <w:szCs w:val="24"/>
              </w:rPr>
              <w:t>生态环境质量现状</w:t>
            </w:r>
          </w:p>
          <w:p w14:paraId="685B8EA4">
            <w:pPr>
              <w:pStyle w:val="69"/>
              <w:spacing w:before="0" w:beforeLines="0" w:line="360" w:lineRule="auto"/>
              <w:ind w:left="0" w:leftChars="0" w:right="0" w:rightChars="0" w:firstLineChars="200"/>
              <w:rPr>
                <w:rFonts w:ascii="Times New Roman" w:hAnsi="Times New Roman" w:eastAsia="宋体" w:cs="Times New Roman"/>
                <w:color w:val="auto"/>
                <w:sz w:val="24"/>
              </w:rPr>
            </w:pPr>
            <w:r>
              <w:rPr>
                <w:rFonts w:hint="eastAsia" w:ascii="Times New Roman" w:hAnsi="Times New Roman" w:eastAsia="宋体" w:cs="Times New Roman"/>
                <w:color w:val="auto"/>
                <w:sz w:val="24"/>
              </w:rPr>
              <w:t>根据《建设项目环境影响报告表编制技术指南</w:t>
            </w:r>
            <w:r>
              <w:rPr>
                <w:rFonts w:hint="eastAsia" w:ascii="Times New Roman" w:hAnsi="Times New Roman" w:eastAsia="宋体" w:cs="Times New Roman"/>
                <w:color w:val="auto"/>
                <w:sz w:val="24"/>
                <w:lang w:eastAsia="zh-CN"/>
              </w:rPr>
              <w:t>（</w:t>
            </w:r>
            <w:r>
              <w:rPr>
                <w:rFonts w:hint="eastAsia" w:ascii="Times New Roman" w:hAnsi="Times New Roman" w:eastAsia="宋体" w:cs="Times New Roman"/>
                <w:color w:val="auto"/>
                <w:sz w:val="24"/>
              </w:rPr>
              <w:t>污染影响类</w:t>
            </w:r>
            <w:r>
              <w:rPr>
                <w:rFonts w:hint="eastAsia" w:ascii="Times New Roman" w:hAnsi="Times New Roman" w:eastAsia="宋体" w:cs="Times New Roman"/>
                <w:color w:val="auto"/>
                <w:sz w:val="24"/>
                <w:lang w:eastAsia="zh-CN"/>
              </w:rPr>
              <w:t>）（</w:t>
            </w:r>
            <w:r>
              <w:rPr>
                <w:rFonts w:hint="eastAsia" w:ascii="Times New Roman" w:hAnsi="Times New Roman" w:eastAsia="宋体" w:cs="Times New Roman"/>
                <w:color w:val="auto"/>
                <w:sz w:val="24"/>
              </w:rPr>
              <w:t>试行</w:t>
            </w:r>
            <w:r>
              <w:rPr>
                <w:rFonts w:hint="eastAsia" w:ascii="Times New Roman" w:hAnsi="Times New Roman" w:eastAsia="宋体" w:cs="Times New Roman"/>
                <w:color w:val="auto"/>
                <w:sz w:val="24"/>
                <w:lang w:eastAsia="zh-CN"/>
              </w:rPr>
              <w:t>）</w:t>
            </w:r>
            <w:r>
              <w:rPr>
                <w:rFonts w:hint="eastAsia" w:ascii="Times New Roman" w:hAnsi="Times New Roman" w:eastAsia="宋体" w:cs="Times New Roman"/>
                <w:color w:val="auto"/>
                <w:sz w:val="24"/>
              </w:rPr>
              <w:t>》</w:t>
            </w:r>
            <w:r>
              <w:rPr>
                <w:rFonts w:hint="eastAsia" w:ascii="Times New Roman" w:hAnsi="Times New Roman" w:eastAsia="宋体" w:cs="Times New Roman"/>
                <w:color w:val="auto"/>
                <w:sz w:val="24"/>
                <w:lang w:eastAsia="zh-CN"/>
              </w:rPr>
              <w:t>，</w:t>
            </w:r>
            <w:r>
              <w:rPr>
                <w:rFonts w:hint="eastAsia" w:ascii="Times New Roman" w:hAnsi="Times New Roman" w:eastAsia="宋体" w:cs="Times New Roman"/>
                <w:color w:val="auto"/>
                <w:sz w:val="24"/>
              </w:rPr>
              <w:t>项目位于</w:t>
            </w:r>
            <w:r>
              <w:rPr>
                <w:rFonts w:hint="eastAsia"/>
                <w:color w:val="auto"/>
                <w:sz w:val="24"/>
                <w:lang w:eastAsia="zh-CN"/>
              </w:rPr>
              <w:t>万州经济技术开发区天子园</w:t>
            </w:r>
            <w:r>
              <w:rPr>
                <w:rFonts w:hint="eastAsia" w:ascii="Times New Roman" w:hAnsi="Times New Roman" w:eastAsia="宋体" w:cs="Times New Roman"/>
                <w:color w:val="auto"/>
                <w:sz w:val="24"/>
              </w:rPr>
              <w:t>，</w:t>
            </w:r>
            <w:r>
              <w:rPr>
                <w:rFonts w:hint="eastAsia" w:ascii="Times New Roman" w:hAnsi="Times New Roman" w:eastAsia="宋体" w:cs="Times New Roman"/>
                <w:color w:val="auto"/>
                <w:sz w:val="24"/>
                <w:lang w:val="en-US" w:eastAsia="zh-CN"/>
              </w:rPr>
              <w:t>用地为工业用地</w:t>
            </w:r>
            <w:r>
              <w:rPr>
                <w:rFonts w:hint="eastAsia" w:ascii="Times New Roman" w:hAnsi="Times New Roman" w:eastAsia="宋体" w:cs="Times New Roman"/>
                <w:color w:val="auto"/>
                <w:sz w:val="24"/>
              </w:rPr>
              <w:t>，不新增用地且用地范围内无生态环境保护目标时，本次评价不进行生态环境质量现状监测与评价工作。</w:t>
            </w:r>
          </w:p>
          <w:p w14:paraId="3C24A5C1">
            <w:pPr>
              <w:keepLines w:val="0"/>
              <w:pageBreakBefore w:val="0"/>
              <w:kinsoku/>
              <w:wordWrap/>
              <w:topLinePunct w:val="0"/>
              <w:bidi w:val="0"/>
              <w:adjustRightInd w:val="0"/>
              <w:snapToGrid w:val="0"/>
              <w:spacing w:line="360" w:lineRule="auto"/>
              <w:jc w:val="left"/>
              <w:rPr>
                <w:rFonts w:hint="eastAsia" w:ascii="Times New Roman" w:hAnsi="宋体"/>
                <w:b/>
                <w:bCs/>
                <w:snapToGrid w:val="0"/>
                <w:color w:val="000000"/>
                <w:kern w:val="0"/>
                <w:sz w:val="24"/>
                <w:szCs w:val="24"/>
              </w:rPr>
            </w:pPr>
            <w:r>
              <w:rPr>
                <w:rFonts w:hint="eastAsia" w:ascii="Times New Roman" w:hAnsi="宋体"/>
                <w:b/>
                <w:bCs/>
                <w:snapToGrid w:val="0"/>
                <w:color w:val="000000"/>
                <w:kern w:val="0"/>
                <w:sz w:val="24"/>
                <w:szCs w:val="24"/>
                <w:lang w:val="en-US" w:eastAsia="zh-CN"/>
              </w:rPr>
              <w:t>5、</w:t>
            </w:r>
            <w:r>
              <w:rPr>
                <w:rFonts w:hint="eastAsia" w:ascii="Times New Roman" w:hAnsi="宋体"/>
                <w:b/>
                <w:bCs/>
                <w:snapToGrid w:val="0"/>
                <w:color w:val="000000"/>
                <w:kern w:val="0"/>
                <w:sz w:val="24"/>
                <w:szCs w:val="24"/>
              </w:rPr>
              <w:t>地下水、土壤环境质量现状</w:t>
            </w:r>
          </w:p>
          <w:p w14:paraId="23B16C66">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color w:val="000000"/>
                <w:lang w:val="en-US" w:eastAsia="zh-CN"/>
              </w:rPr>
            </w:pPr>
            <w:r>
              <w:rPr>
                <w:rFonts w:hint="eastAsia"/>
                <w:color w:val="000000"/>
                <w:lang w:val="en-US" w:eastAsia="zh-CN"/>
              </w:rPr>
              <w:t>根据调查，本项目位于万州经济技术开发区天子园，项目所在区域已经铺设供水管网，使用自来水，不取用地下水。项目厂界外500m范围内无集中式饮用水水源、热水、矿泉水、温泉等特殊地下水资源分布。且项目用地为工业用地，贮存设施设置在3F。</w:t>
            </w:r>
          </w:p>
          <w:p w14:paraId="16D47B07">
            <w:pPr>
              <w:keepNext w:val="0"/>
              <w:keepLines w:val="0"/>
              <w:pageBreakBefore w:val="0"/>
              <w:widowControl w:val="0"/>
              <w:kinsoku/>
              <w:wordWrap/>
              <w:overflowPunct/>
              <w:topLinePunct w:val="0"/>
              <w:autoSpaceDE/>
              <w:autoSpaceDN/>
              <w:bidi w:val="0"/>
              <w:adjustRightInd/>
              <w:snapToGrid/>
              <w:spacing w:line="460" w:lineRule="exact"/>
              <w:textAlignment w:val="auto"/>
              <w:rPr>
                <w:rFonts w:hint="default"/>
                <w:color w:val="000000"/>
                <w:sz w:val="24"/>
                <w:szCs w:val="24"/>
                <w:lang w:val="en-US" w:eastAsia="zh-CN"/>
              </w:rPr>
            </w:pPr>
            <w:r>
              <w:rPr>
                <w:rFonts w:hint="eastAsia"/>
                <w:color w:val="000000"/>
                <w:sz w:val="24"/>
                <w:szCs w:val="24"/>
                <w:lang w:eastAsia="zh-CN"/>
              </w:rPr>
              <w:t>本次评价为调查项目区域地下水环境质量现状以留作背景值，引用重庆市万州区建设工程质量检测中心出具的监测报告中</w:t>
            </w:r>
            <w:r>
              <w:rPr>
                <w:rFonts w:hint="eastAsia"/>
                <w:color w:val="000000"/>
                <w:sz w:val="24"/>
                <w:szCs w:val="24"/>
                <w:lang w:val="en-US" w:eastAsia="zh-CN"/>
              </w:rPr>
              <w:t>DX001号地下水监测点监测数据，监测时间为2024年11月28日，监测报告编号：CQWZJJC24H2819号，监测监测点距本项目直线距离约350m（东南侧），地下水监测点与本项目所在区域为同一水文地质单元内，监测时间在3年以内，满足引用要求。同时本项目废铅蓄电池中液态物质主要为硫酸，本次评价委托重庆鑫浦江环境检测有限公司于2025年7月10日在前文DX001号地下水监测点补测硫化物、硫酸盐，监测报告编号：XPJ20250246。</w:t>
            </w:r>
          </w:p>
          <w:p w14:paraId="4C53492C">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color w:val="000000"/>
                <w:sz w:val="24"/>
                <w:szCs w:val="24"/>
                <w:lang w:val="en-US" w:eastAsia="zh-CN"/>
              </w:rPr>
            </w:pPr>
            <w:r>
              <w:rPr>
                <w:rFonts w:hint="eastAsia"/>
                <w:color w:val="000000"/>
                <w:sz w:val="24"/>
                <w:szCs w:val="24"/>
                <w:lang w:val="en-US" w:eastAsia="zh-CN"/>
              </w:rPr>
              <w:t>地下水引用监测数据以及补充监测结果见下表。</w:t>
            </w:r>
          </w:p>
          <w:p w14:paraId="29EF947C">
            <w:pPr>
              <w:keepNext w:val="0"/>
              <w:keepLines w:val="0"/>
              <w:pageBreakBefore w:val="0"/>
              <w:widowControl w:val="0"/>
              <w:kinsoku/>
              <w:wordWrap/>
              <w:overflowPunct/>
              <w:topLinePunct w:val="0"/>
              <w:autoSpaceDE/>
              <w:autoSpaceDN/>
              <w:bidi w:val="0"/>
              <w:adjustRightInd/>
              <w:snapToGrid/>
              <w:spacing w:line="460" w:lineRule="exact"/>
              <w:ind w:firstLine="0" w:firstLineChars="0"/>
              <w:jc w:val="center"/>
              <w:textAlignment w:val="auto"/>
              <w:rPr>
                <w:rFonts w:hint="default"/>
                <w:b/>
                <w:bCs/>
                <w:color w:val="000000"/>
                <w:sz w:val="24"/>
                <w:szCs w:val="24"/>
                <w:lang w:val="en-US" w:eastAsia="zh-CN"/>
              </w:rPr>
            </w:pPr>
            <w:r>
              <w:rPr>
                <w:rFonts w:hint="eastAsia"/>
                <w:b/>
                <w:bCs/>
                <w:color w:val="000000"/>
                <w:sz w:val="24"/>
                <w:szCs w:val="24"/>
                <w:lang w:val="en-US" w:eastAsia="zh-CN"/>
              </w:rPr>
              <w:t>表3-2  地下水调查结果情况表</w:t>
            </w:r>
          </w:p>
          <w:tbl>
            <w:tblPr>
              <w:tblStyle w:val="24"/>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5"/>
              <w:gridCol w:w="1100"/>
              <w:gridCol w:w="1580"/>
              <w:gridCol w:w="1065"/>
              <w:gridCol w:w="992"/>
              <w:gridCol w:w="1018"/>
              <w:gridCol w:w="1062"/>
            </w:tblGrid>
            <w:tr w14:paraId="175C9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48" w:type="pct"/>
                  <w:noWrap w:val="0"/>
                  <w:vAlign w:val="center"/>
                </w:tcPr>
                <w:p w14:paraId="61A0A3A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000000"/>
                      <w:sz w:val="21"/>
                      <w:szCs w:val="21"/>
                      <w:vertAlign w:val="baseline"/>
                      <w:lang w:val="en-US" w:eastAsia="zh-CN"/>
                    </w:rPr>
                  </w:pPr>
                  <w:r>
                    <w:rPr>
                      <w:rFonts w:hint="eastAsia"/>
                      <w:color w:val="000000"/>
                      <w:sz w:val="21"/>
                      <w:szCs w:val="21"/>
                      <w:vertAlign w:val="baseline"/>
                      <w:lang w:val="en-US" w:eastAsia="zh-CN"/>
                    </w:rPr>
                    <w:t>监测点位</w:t>
                  </w:r>
                </w:p>
              </w:tc>
              <w:tc>
                <w:tcPr>
                  <w:tcW w:w="702" w:type="pct"/>
                  <w:noWrap w:val="0"/>
                  <w:vAlign w:val="center"/>
                </w:tcPr>
                <w:p w14:paraId="231B156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000000"/>
                      <w:sz w:val="21"/>
                      <w:szCs w:val="21"/>
                      <w:vertAlign w:val="baseline"/>
                      <w:lang w:val="en-US" w:eastAsia="zh-CN"/>
                    </w:rPr>
                  </w:pPr>
                  <w:r>
                    <w:rPr>
                      <w:rFonts w:hint="eastAsia"/>
                      <w:color w:val="000000"/>
                      <w:sz w:val="21"/>
                      <w:szCs w:val="21"/>
                      <w:vertAlign w:val="baseline"/>
                      <w:lang w:val="en-US" w:eastAsia="zh-CN"/>
                    </w:rPr>
                    <w:t>监测时间</w:t>
                  </w:r>
                </w:p>
              </w:tc>
              <w:tc>
                <w:tcPr>
                  <w:tcW w:w="1009" w:type="pct"/>
                  <w:noWrap w:val="0"/>
                  <w:vAlign w:val="center"/>
                </w:tcPr>
                <w:p w14:paraId="4CB3464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000000"/>
                      <w:sz w:val="21"/>
                      <w:szCs w:val="21"/>
                      <w:vertAlign w:val="baseline"/>
                      <w:lang w:val="en-US" w:eastAsia="zh-CN"/>
                    </w:rPr>
                  </w:pPr>
                  <w:r>
                    <w:rPr>
                      <w:rFonts w:hint="eastAsia"/>
                      <w:color w:val="000000"/>
                      <w:sz w:val="21"/>
                      <w:szCs w:val="21"/>
                      <w:vertAlign w:val="baseline"/>
                      <w:lang w:val="en-US" w:eastAsia="zh-CN"/>
                    </w:rPr>
                    <w:t>监测因子</w:t>
                  </w:r>
                </w:p>
              </w:tc>
              <w:tc>
                <w:tcPr>
                  <w:tcW w:w="680" w:type="pct"/>
                  <w:noWrap w:val="0"/>
                  <w:vAlign w:val="center"/>
                </w:tcPr>
                <w:p w14:paraId="35599BA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000000"/>
                      <w:sz w:val="21"/>
                      <w:szCs w:val="21"/>
                      <w:vertAlign w:val="baseline"/>
                      <w:lang w:val="en-US" w:eastAsia="zh-CN"/>
                    </w:rPr>
                  </w:pPr>
                  <w:r>
                    <w:rPr>
                      <w:rFonts w:hint="eastAsia"/>
                      <w:color w:val="000000"/>
                      <w:sz w:val="21"/>
                      <w:szCs w:val="21"/>
                      <w:vertAlign w:val="baseline"/>
                      <w:lang w:val="en-US" w:eastAsia="zh-CN"/>
                    </w:rPr>
                    <w:t>单位</w:t>
                  </w:r>
                </w:p>
              </w:tc>
              <w:tc>
                <w:tcPr>
                  <w:tcW w:w="633" w:type="pct"/>
                  <w:noWrap w:val="0"/>
                  <w:vAlign w:val="center"/>
                </w:tcPr>
                <w:p w14:paraId="41F9506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000000"/>
                      <w:sz w:val="21"/>
                      <w:szCs w:val="21"/>
                      <w:vertAlign w:val="baseline"/>
                      <w:lang w:val="en-US" w:eastAsia="zh-CN"/>
                    </w:rPr>
                  </w:pPr>
                  <w:r>
                    <w:rPr>
                      <w:rFonts w:hint="eastAsia"/>
                      <w:color w:val="000000"/>
                      <w:sz w:val="21"/>
                      <w:szCs w:val="21"/>
                      <w:vertAlign w:val="baseline"/>
                      <w:lang w:val="en-US" w:eastAsia="zh-CN"/>
                    </w:rPr>
                    <w:t>监测结果</w:t>
                  </w:r>
                </w:p>
              </w:tc>
              <w:tc>
                <w:tcPr>
                  <w:tcW w:w="650" w:type="pct"/>
                  <w:noWrap w:val="0"/>
                  <w:vAlign w:val="center"/>
                </w:tcPr>
                <w:p w14:paraId="0E50AA7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000000"/>
                      <w:sz w:val="21"/>
                      <w:szCs w:val="21"/>
                      <w:vertAlign w:val="baseline"/>
                      <w:lang w:val="en-US" w:eastAsia="zh-CN"/>
                    </w:rPr>
                  </w:pPr>
                  <w:r>
                    <w:rPr>
                      <w:rFonts w:hint="eastAsia"/>
                      <w:color w:val="000000"/>
                      <w:sz w:val="21"/>
                      <w:szCs w:val="21"/>
                      <w:vertAlign w:val="baseline"/>
                      <w:lang w:val="en-US" w:eastAsia="zh-CN"/>
                    </w:rPr>
                    <w:t>标准限值</w:t>
                  </w:r>
                </w:p>
              </w:tc>
              <w:tc>
                <w:tcPr>
                  <w:tcW w:w="674" w:type="pct"/>
                  <w:noWrap w:val="0"/>
                  <w:vAlign w:val="center"/>
                </w:tcPr>
                <w:p w14:paraId="3EBE93A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000000"/>
                      <w:sz w:val="21"/>
                      <w:szCs w:val="21"/>
                      <w:vertAlign w:val="baseline"/>
                      <w:lang w:val="en-US" w:eastAsia="zh-CN"/>
                    </w:rPr>
                  </w:pPr>
                  <w:r>
                    <w:rPr>
                      <w:rFonts w:hint="eastAsia"/>
                      <w:color w:val="000000"/>
                      <w:sz w:val="21"/>
                      <w:szCs w:val="21"/>
                      <w:vertAlign w:val="baseline"/>
                      <w:lang w:val="en-US" w:eastAsia="zh-CN"/>
                    </w:rPr>
                    <w:t>是否达标</w:t>
                  </w:r>
                </w:p>
              </w:tc>
            </w:tr>
            <w:tr w14:paraId="78B8A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48" w:type="pct"/>
                  <w:vMerge w:val="restart"/>
                  <w:noWrap w:val="0"/>
                  <w:vAlign w:val="center"/>
                </w:tcPr>
                <w:p w14:paraId="3ABB70A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000000"/>
                      <w:sz w:val="21"/>
                      <w:szCs w:val="21"/>
                      <w:vertAlign w:val="baseline"/>
                      <w:lang w:val="en-US" w:eastAsia="zh-CN"/>
                    </w:rPr>
                  </w:pPr>
                  <w:r>
                    <w:rPr>
                      <w:rFonts w:hint="eastAsia"/>
                      <w:color w:val="000000"/>
                      <w:sz w:val="21"/>
                      <w:szCs w:val="21"/>
                      <w:vertAlign w:val="baseline"/>
                      <w:lang w:val="en-US" w:eastAsia="zh-CN"/>
                    </w:rPr>
                    <w:t>DX001</w:t>
                  </w:r>
                </w:p>
              </w:tc>
              <w:tc>
                <w:tcPr>
                  <w:tcW w:w="702" w:type="pct"/>
                  <w:vMerge w:val="restart"/>
                  <w:noWrap w:val="0"/>
                  <w:vAlign w:val="center"/>
                </w:tcPr>
                <w:p w14:paraId="778C804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000000"/>
                      <w:sz w:val="21"/>
                      <w:szCs w:val="21"/>
                      <w:vertAlign w:val="baseline"/>
                      <w:lang w:val="en-US" w:eastAsia="zh-CN"/>
                    </w:rPr>
                  </w:pPr>
                  <w:r>
                    <w:rPr>
                      <w:rFonts w:hint="eastAsia"/>
                      <w:color w:val="000000"/>
                      <w:sz w:val="21"/>
                      <w:szCs w:val="21"/>
                      <w:vertAlign w:val="baseline"/>
                      <w:lang w:val="en-US" w:eastAsia="zh-CN"/>
                    </w:rPr>
                    <w:t>2024.11.28</w:t>
                  </w:r>
                </w:p>
              </w:tc>
              <w:tc>
                <w:tcPr>
                  <w:tcW w:w="1009" w:type="pct"/>
                  <w:noWrap w:val="0"/>
                  <w:vAlign w:val="center"/>
                </w:tcPr>
                <w:p w14:paraId="6FE1362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000000"/>
                      <w:sz w:val="21"/>
                      <w:szCs w:val="21"/>
                      <w:vertAlign w:val="baseline"/>
                      <w:lang w:val="en-US" w:eastAsia="zh-CN"/>
                    </w:rPr>
                  </w:pPr>
                  <w:r>
                    <w:rPr>
                      <w:rFonts w:hint="eastAsia"/>
                      <w:color w:val="000000"/>
                      <w:sz w:val="21"/>
                      <w:szCs w:val="21"/>
                      <w:vertAlign w:val="baseline"/>
                      <w:lang w:val="en-US" w:eastAsia="zh-CN"/>
                    </w:rPr>
                    <w:t>pH</w:t>
                  </w:r>
                </w:p>
              </w:tc>
              <w:tc>
                <w:tcPr>
                  <w:tcW w:w="680" w:type="pct"/>
                  <w:noWrap w:val="0"/>
                  <w:vAlign w:val="center"/>
                </w:tcPr>
                <w:p w14:paraId="280347F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000000"/>
                      <w:sz w:val="21"/>
                      <w:szCs w:val="21"/>
                      <w:vertAlign w:val="baseline"/>
                      <w:lang w:val="en-US" w:eastAsia="zh-CN"/>
                    </w:rPr>
                  </w:pPr>
                  <w:r>
                    <w:rPr>
                      <w:rFonts w:hint="eastAsia"/>
                      <w:color w:val="000000"/>
                      <w:sz w:val="21"/>
                      <w:szCs w:val="21"/>
                      <w:vertAlign w:val="baseline"/>
                      <w:lang w:val="en-US" w:eastAsia="zh-CN"/>
                    </w:rPr>
                    <w:t>无量纲</w:t>
                  </w:r>
                </w:p>
              </w:tc>
              <w:tc>
                <w:tcPr>
                  <w:tcW w:w="633" w:type="pct"/>
                  <w:noWrap w:val="0"/>
                  <w:vAlign w:val="center"/>
                </w:tcPr>
                <w:p w14:paraId="1F247DA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000000"/>
                      <w:sz w:val="21"/>
                      <w:szCs w:val="21"/>
                      <w:vertAlign w:val="baseline"/>
                      <w:lang w:val="en-US" w:eastAsia="zh-CN"/>
                    </w:rPr>
                  </w:pPr>
                  <w:r>
                    <w:rPr>
                      <w:rFonts w:hint="eastAsia"/>
                      <w:color w:val="000000"/>
                      <w:sz w:val="21"/>
                      <w:szCs w:val="21"/>
                      <w:vertAlign w:val="baseline"/>
                      <w:lang w:val="en-US" w:eastAsia="zh-CN"/>
                    </w:rPr>
                    <w:t>7.1</w:t>
                  </w:r>
                </w:p>
              </w:tc>
              <w:tc>
                <w:tcPr>
                  <w:tcW w:w="650" w:type="pct"/>
                  <w:noWrap w:val="0"/>
                  <w:vAlign w:val="center"/>
                </w:tcPr>
                <w:p w14:paraId="7FB56FE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000000"/>
                      <w:sz w:val="21"/>
                      <w:szCs w:val="21"/>
                      <w:vertAlign w:val="baseline"/>
                      <w:lang w:val="en-US" w:eastAsia="zh-CN"/>
                    </w:rPr>
                  </w:pPr>
                  <w:r>
                    <w:rPr>
                      <w:rFonts w:hint="eastAsia"/>
                      <w:color w:val="000000"/>
                      <w:sz w:val="21"/>
                      <w:szCs w:val="21"/>
                      <w:vertAlign w:val="baseline"/>
                      <w:lang w:val="en-US" w:eastAsia="zh-CN"/>
                    </w:rPr>
                    <w:t>6.5~8.5</w:t>
                  </w:r>
                </w:p>
              </w:tc>
              <w:tc>
                <w:tcPr>
                  <w:tcW w:w="674" w:type="pct"/>
                  <w:noWrap w:val="0"/>
                  <w:vAlign w:val="center"/>
                </w:tcPr>
                <w:p w14:paraId="0BC2AD0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000000"/>
                      <w:sz w:val="21"/>
                      <w:szCs w:val="21"/>
                      <w:vertAlign w:val="baseline"/>
                      <w:lang w:val="en-US" w:eastAsia="zh-CN"/>
                    </w:rPr>
                  </w:pPr>
                  <w:r>
                    <w:rPr>
                      <w:rFonts w:hint="eastAsia"/>
                      <w:color w:val="000000"/>
                      <w:sz w:val="21"/>
                      <w:szCs w:val="21"/>
                      <w:vertAlign w:val="baseline"/>
                      <w:lang w:val="en-US" w:eastAsia="zh-CN"/>
                    </w:rPr>
                    <w:t>是</w:t>
                  </w:r>
                </w:p>
              </w:tc>
            </w:tr>
            <w:tr w14:paraId="50283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48" w:type="pct"/>
                  <w:vMerge w:val="continue"/>
                  <w:noWrap w:val="0"/>
                  <w:vAlign w:val="center"/>
                </w:tcPr>
                <w:p w14:paraId="14A2C57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000000"/>
                      <w:sz w:val="21"/>
                      <w:szCs w:val="21"/>
                      <w:vertAlign w:val="baseline"/>
                      <w:lang w:val="en-US" w:eastAsia="zh-CN"/>
                    </w:rPr>
                  </w:pPr>
                </w:p>
              </w:tc>
              <w:tc>
                <w:tcPr>
                  <w:tcW w:w="702" w:type="pct"/>
                  <w:vMerge w:val="continue"/>
                  <w:noWrap w:val="0"/>
                  <w:vAlign w:val="center"/>
                </w:tcPr>
                <w:p w14:paraId="299C344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000000"/>
                      <w:sz w:val="21"/>
                      <w:szCs w:val="21"/>
                      <w:vertAlign w:val="baseline"/>
                      <w:lang w:val="en-US" w:eastAsia="zh-CN"/>
                    </w:rPr>
                  </w:pPr>
                </w:p>
              </w:tc>
              <w:tc>
                <w:tcPr>
                  <w:tcW w:w="1009" w:type="pct"/>
                  <w:noWrap w:val="0"/>
                  <w:vAlign w:val="center"/>
                </w:tcPr>
                <w:p w14:paraId="4DBBC12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000000"/>
                      <w:sz w:val="21"/>
                      <w:szCs w:val="21"/>
                      <w:vertAlign w:val="baseline"/>
                      <w:lang w:val="en-US" w:eastAsia="zh-CN"/>
                    </w:rPr>
                  </w:pPr>
                  <w:r>
                    <w:rPr>
                      <w:rFonts w:hint="eastAsia"/>
                      <w:color w:val="000000"/>
                      <w:sz w:val="21"/>
                      <w:szCs w:val="21"/>
                      <w:vertAlign w:val="baseline"/>
                      <w:lang w:val="en-US" w:eastAsia="zh-CN"/>
                    </w:rPr>
                    <w:t>氨氮</w:t>
                  </w:r>
                </w:p>
                <w:p w14:paraId="02010EA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000000"/>
                      <w:sz w:val="21"/>
                      <w:szCs w:val="21"/>
                      <w:vertAlign w:val="baseline"/>
                      <w:lang w:val="en-US" w:eastAsia="zh-CN"/>
                    </w:rPr>
                  </w:pPr>
                  <w:r>
                    <w:rPr>
                      <w:rFonts w:hint="eastAsia"/>
                      <w:color w:val="000000"/>
                      <w:sz w:val="21"/>
                      <w:szCs w:val="21"/>
                      <w:vertAlign w:val="baseline"/>
                      <w:lang w:val="en-US" w:eastAsia="zh-CN"/>
                    </w:rPr>
                    <w:t>（以N计）</w:t>
                  </w:r>
                </w:p>
              </w:tc>
              <w:tc>
                <w:tcPr>
                  <w:tcW w:w="680" w:type="pct"/>
                  <w:noWrap w:val="0"/>
                  <w:vAlign w:val="center"/>
                </w:tcPr>
                <w:p w14:paraId="71AD5E5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000000"/>
                      <w:sz w:val="21"/>
                      <w:szCs w:val="21"/>
                      <w:vertAlign w:val="baseline"/>
                      <w:lang w:val="en-US" w:eastAsia="zh-CN"/>
                    </w:rPr>
                  </w:pPr>
                  <w:r>
                    <w:rPr>
                      <w:rFonts w:hint="eastAsia"/>
                      <w:color w:val="000000"/>
                      <w:sz w:val="21"/>
                      <w:szCs w:val="21"/>
                      <w:vertAlign w:val="baseline"/>
                      <w:lang w:val="en-US" w:eastAsia="zh-CN"/>
                    </w:rPr>
                    <w:t>mg/L</w:t>
                  </w:r>
                </w:p>
              </w:tc>
              <w:tc>
                <w:tcPr>
                  <w:tcW w:w="633" w:type="pct"/>
                  <w:noWrap w:val="0"/>
                  <w:vAlign w:val="center"/>
                </w:tcPr>
                <w:p w14:paraId="168E29C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000000"/>
                      <w:sz w:val="21"/>
                      <w:szCs w:val="21"/>
                      <w:vertAlign w:val="baseline"/>
                      <w:lang w:val="en-US" w:eastAsia="zh-CN"/>
                    </w:rPr>
                  </w:pPr>
                  <w:r>
                    <w:rPr>
                      <w:rFonts w:hint="eastAsia"/>
                      <w:color w:val="000000"/>
                      <w:sz w:val="21"/>
                      <w:szCs w:val="21"/>
                      <w:vertAlign w:val="baseline"/>
                      <w:lang w:val="en-US" w:eastAsia="zh-CN"/>
                    </w:rPr>
                    <w:t>0.02L</w:t>
                  </w:r>
                </w:p>
              </w:tc>
              <w:tc>
                <w:tcPr>
                  <w:tcW w:w="650" w:type="pct"/>
                  <w:noWrap w:val="0"/>
                  <w:vAlign w:val="center"/>
                </w:tcPr>
                <w:p w14:paraId="62DC701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000000"/>
                      <w:sz w:val="21"/>
                      <w:szCs w:val="21"/>
                      <w:vertAlign w:val="baseline"/>
                      <w:lang w:val="en-US" w:eastAsia="zh-CN"/>
                    </w:rPr>
                  </w:pPr>
                  <w:r>
                    <w:rPr>
                      <w:rFonts w:hint="eastAsia"/>
                      <w:color w:val="000000"/>
                      <w:sz w:val="21"/>
                      <w:szCs w:val="21"/>
                      <w:vertAlign w:val="baseline"/>
                      <w:lang w:val="en-US" w:eastAsia="zh-CN"/>
                    </w:rPr>
                    <w:t>0.50</w:t>
                  </w:r>
                </w:p>
              </w:tc>
              <w:tc>
                <w:tcPr>
                  <w:tcW w:w="674" w:type="pct"/>
                  <w:noWrap w:val="0"/>
                  <w:vAlign w:val="center"/>
                </w:tcPr>
                <w:p w14:paraId="4EBA337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000000"/>
                      <w:sz w:val="21"/>
                      <w:szCs w:val="21"/>
                      <w:vertAlign w:val="baseline"/>
                      <w:lang w:val="en-US" w:eastAsia="zh-CN"/>
                    </w:rPr>
                  </w:pPr>
                  <w:r>
                    <w:rPr>
                      <w:rFonts w:hint="eastAsia"/>
                      <w:color w:val="000000"/>
                      <w:sz w:val="21"/>
                      <w:szCs w:val="21"/>
                      <w:vertAlign w:val="baseline"/>
                      <w:lang w:val="en-US" w:eastAsia="zh-CN"/>
                    </w:rPr>
                    <w:t>是</w:t>
                  </w:r>
                </w:p>
              </w:tc>
            </w:tr>
            <w:tr w14:paraId="04E76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48" w:type="pct"/>
                  <w:vMerge w:val="continue"/>
                  <w:noWrap w:val="0"/>
                  <w:vAlign w:val="center"/>
                </w:tcPr>
                <w:p w14:paraId="2E0CB6B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000000"/>
                      <w:sz w:val="21"/>
                      <w:szCs w:val="21"/>
                      <w:vertAlign w:val="baseline"/>
                      <w:lang w:val="en-US" w:eastAsia="zh-CN"/>
                    </w:rPr>
                  </w:pPr>
                </w:p>
              </w:tc>
              <w:tc>
                <w:tcPr>
                  <w:tcW w:w="702" w:type="pct"/>
                  <w:vMerge w:val="continue"/>
                  <w:noWrap w:val="0"/>
                  <w:vAlign w:val="center"/>
                </w:tcPr>
                <w:p w14:paraId="0EA6754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000000"/>
                      <w:sz w:val="21"/>
                      <w:szCs w:val="21"/>
                      <w:vertAlign w:val="baseline"/>
                      <w:lang w:val="en-US" w:eastAsia="zh-CN"/>
                    </w:rPr>
                  </w:pPr>
                </w:p>
              </w:tc>
              <w:tc>
                <w:tcPr>
                  <w:tcW w:w="1009" w:type="pct"/>
                  <w:noWrap w:val="0"/>
                  <w:vAlign w:val="center"/>
                </w:tcPr>
                <w:p w14:paraId="25880F2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000000"/>
                      <w:sz w:val="21"/>
                      <w:szCs w:val="21"/>
                      <w:vertAlign w:val="baseline"/>
                      <w:lang w:val="en-US" w:eastAsia="zh-CN"/>
                    </w:rPr>
                  </w:pPr>
                  <w:r>
                    <w:rPr>
                      <w:rFonts w:hint="eastAsia"/>
                      <w:color w:val="000000"/>
                      <w:sz w:val="21"/>
                      <w:szCs w:val="21"/>
                      <w:vertAlign w:val="baseline"/>
                      <w:lang w:val="en-US" w:eastAsia="zh-CN"/>
                    </w:rPr>
                    <w:t>总硬度</w:t>
                  </w:r>
                </w:p>
                <w:p w14:paraId="1DF8998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000000"/>
                      <w:sz w:val="21"/>
                      <w:szCs w:val="21"/>
                      <w:vertAlign w:val="baseline"/>
                      <w:lang w:val="en-US" w:eastAsia="zh-CN"/>
                    </w:rPr>
                  </w:pPr>
                  <w:r>
                    <w:rPr>
                      <w:rFonts w:hint="eastAsia"/>
                      <w:color w:val="000000"/>
                      <w:sz w:val="21"/>
                      <w:szCs w:val="21"/>
                      <w:vertAlign w:val="baseline"/>
                      <w:lang w:val="en-US" w:eastAsia="zh-CN"/>
                    </w:rPr>
                    <w:t>（以CaCO</w:t>
                  </w:r>
                  <w:r>
                    <w:rPr>
                      <w:rFonts w:hint="eastAsia"/>
                      <w:color w:val="000000"/>
                      <w:sz w:val="21"/>
                      <w:szCs w:val="21"/>
                      <w:vertAlign w:val="subscript"/>
                      <w:lang w:val="en-US" w:eastAsia="zh-CN"/>
                    </w:rPr>
                    <w:t>3</w:t>
                  </w:r>
                  <w:r>
                    <w:rPr>
                      <w:rFonts w:hint="eastAsia"/>
                      <w:color w:val="000000"/>
                      <w:sz w:val="21"/>
                      <w:szCs w:val="21"/>
                      <w:vertAlign w:val="baseline"/>
                      <w:lang w:val="en-US" w:eastAsia="zh-CN"/>
                    </w:rPr>
                    <w:t>计）</w:t>
                  </w:r>
                </w:p>
              </w:tc>
              <w:tc>
                <w:tcPr>
                  <w:tcW w:w="680" w:type="pct"/>
                  <w:noWrap w:val="0"/>
                  <w:vAlign w:val="center"/>
                </w:tcPr>
                <w:p w14:paraId="29597CE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000000"/>
                      <w:sz w:val="21"/>
                      <w:szCs w:val="21"/>
                      <w:vertAlign w:val="baseline"/>
                      <w:lang w:val="en-US" w:eastAsia="zh-CN"/>
                    </w:rPr>
                  </w:pPr>
                  <w:r>
                    <w:rPr>
                      <w:rFonts w:hint="eastAsia"/>
                      <w:color w:val="000000"/>
                      <w:sz w:val="21"/>
                      <w:szCs w:val="21"/>
                      <w:vertAlign w:val="baseline"/>
                      <w:lang w:val="en-US" w:eastAsia="zh-CN"/>
                    </w:rPr>
                    <w:t>mg/L</w:t>
                  </w:r>
                </w:p>
              </w:tc>
              <w:tc>
                <w:tcPr>
                  <w:tcW w:w="633" w:type="pct"/>
                  <w:noWrap w:val="0"/>
                  <w:vAlign w:val="center"/>
                </w:tcPr>
                <w:p w14:paraId="79490DA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000000"/>
                      <w:sz w:val="21"/>
                      <w:szCs w:val="21"/>
                      <w:vertAlign w:val="baseline"/>
                      <w:lang w:val="en-US" w:eastAsia="zh-CN"/>
                    </w:rPr>
                  </w:pPr>
                  <w:r>
                    <w:rPr>
                      <w:rFonts w:hint="eastAsia"/>
                      <w:color w:val="000000"/>
                      <w:sz w:val="21"/>
                      <w:szCs w:val="21"/>
                      <w:vertAlign w:val="baseline"/>
                      <w:lang w:val="en-US" w:eastAsia="zh-CN"/>
                    </w:rPr>
                    <w:t>444</w:t>
                  </w:r>
                </w:p>
              </w:tc>
              <w:tc>
                <w:tcPr>
                  <w:tcW w:w="650" w:type="pct"/>
                  <w:noWrap w:val="0"/>
                  <w:vAlign w:val="center"/>
                </w:tcPr>
                <w:p w14:paraId="3DB07DB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000000"/>
                      <w:sz w:val="21"/>
                      <w:szCs w:val="21"/>
                      <w:vertAlign w:val="baseline"/>
                      <w:lang w:val="en-US" w:eastAsia="zh-CN"/>
                    </w:rPr>
                  </w:pPr>
                  <w:r>
                    <w:rPr>
                      <w:rFonts w:hint="eastAsia"/>
                      <w:color w:val="000000"/>
                      <w:sz w:val="21"/>
                      <w:szCs w:val="21"/>
                      <w:vertAlign w:val="baseline"/>
                      <w:lang w:val="en-US" w:eastAsia="zh-CN"/>
                    </w:rPr>
                    <w:t>450</w:t>
                  </w:r>
                </w:p>
              </w:tc>
              <w:tc>
                <w:tcPr>
                  <w:tcW w:w="674" w:type="pct"/>
                  <w:noWrap w:val="0"/>
                  <w:vAlign w:val="center"/>
                </w:tcPr>
                <w:p w14:paraId="49954DB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000000"/>
                      <w:sz w:val="21"/>
                      <w:szCs w:val="21"/>
                      <w:vertAlign w:val="baseline"/>
                      <w:lang w:val="en-US" w:eastAsia="zh-CN"/>
                    </w:rPr>
                  </w:pPr>
                  <w:r>
                    <w:rPr>
                      <w:rFonts w:hint="eastAsia"/>
                      <w:color w:val="000000"/>
                      <w:sz w:val="21"/>
                      <w:szCs w:val="21"/>
                      <w:vertAlign w:val="baseline"/>
                      <w:lang w:val="en-US" w:eastAsia="zh-CN"/>
                    </w:rPr>
                    <w:t>是</w:t>
                  </w:r>
                </w:p>
              </w:tc>
            </w:tr>
            <w:tr w14:paraId="42B87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48" w:type="pct"/>
                  <w:vMerge w:val="continue"/>
                  <w:noWrap w:val="0"/>
                  <w:vAlign w:val="center"/>
                </w:tcPr>
                <w:p w14:paraId="70A250C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000000"/>
                      <w:sz w:val="21"/>
                      <w:szCs w:val="21"/>
                      <w:vertAlign w:val="baseline"/>
                      <w:lang w:val="en-US" w:eastAsia="zh-CN"/>
                    </w:rPr>
                  </w:pPr>
                </w:p>
              </w:tc>
              <w:tc>
                <w:tcPr>
                  <w:tcW w:w="702" w:type="pct"/>
                  <w:vMerge w:val="continue"/>
                  <w:noWrap w:val="0"/>
                  <w:vAlign w:val="center"/>
                </w:tcPr>
                <w:p w14:paraId="62E0B1F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000000"/>
                      <w:sz w:val="21"/>
                      <w:szCs w:val="21"/>
                      <w:vertAlign w:val="baseline"/>
                      <w:lang w:val="en-US" w:eastAsia="zh-CN"/>
                    </w:rPr>
                  </w:pPr>
                </w:p>
              </w:tc>
              <w:tc>
                <w:tcPr>
                  <w:tcW w:w="1009" w:type="pct"/>
                  <w:noWrap w:val="0"/>
                  <w:vAlign w:val="center"/>
                </w:tcPr>
                <w:p w14:paraId="0DAF785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000000"/>
                      <w:sz w:val="21"/>
                      <w:szCs w:val="21"/>
                      <w:vertAlign w:val="baseline"/>
                      <w:lang w:val="en-US" w:eastAsia="zh-CN"/>
                    </w:rPr>
                  </w:pPr>
                  <w:r>
                    <w:rPr>
                      <w:rFonts w:hint="eastAsia"/>
                      <w:color w:val="000000"/>
                      <w:sz w:val="21"/>
                      <w:szCs w:val="21"/>
                      <w:vertAlign w:val="baseline"/>
                      <w:lang w:val="en-US" w:eastAsia="zh-CN"/>
                    </w:rPr>
                    <w:t>溶解性总固体</w:t>
                  </w:r>
                </w:p>
              </w:tc>
              <w:tc>
                <w:tcPr>
                  <w:tcW w:w="680" w:type="pct"/>
                  <w:noWrap w:val="0"/>
                  <w:vAlign w:val="center"/>
                </w:tcPr>
                <w:p w14:paraId="791C20E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000000"/>
                      <w:sz w:val="21"/>
                      <w:szCs w:val="21"/>
                      <w:vertAlign w:val="baseline"/>
                      <w:lang w:val="en-US" w:eastAsia="zh-CN"/>
                    </w:rPr>
                  </w:pPr>
                  <w:r>
                    <w:rPr>
                      <w:rFonts w:hint="eastAsia"/>
                      <w:color w:val="000000"/>
                      <w:sz w:val="21"/>
                      <w:szCs w:val="21"/>
                      <w:vertAlign w:val="baseline"/>
                      <w:lang w:val="en-US" w:eastAsia="zh-CN"/>
                    </w:rPr>
                    <w:t>mg/L</w:t>
                  </w:r>
                </w:p>
              </w:tc>
              <w:tc>
                <w:tcPr>
                  <w:tcW w:w="633" w:type="pct"/>
                  <w:noWrap w:val="0"/>
                  <w:vAlign w:val="center"/>
                </w:tcPr>
                <w:p w14:paraId="4083387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000000"/>
                      <w:sz w:val="21"/>
                      <w:szCs w:val="21"/>
                      <w:vertAlign w:val="baseline"/>
                      <w:lang w:val="en-US" w:eastAsia="zh-CN"/>
                    </w:rPr>
                  </w:pPr>
                  <w:r>
                    <w:rPr>
                      <w:rFonts w:hint="eastAsia"/>
                      <w:color w:val="000000"/>
                      <w:sz w:val="21"/>
                      <w:szCs w:val="21"/>
                      <w:vertAlign w:val="baseline"/>
                      <w:lang w:val="en-US" w:eastAsia="zh-CN"/>
                    </w:rPr>
                    <w:t>496</w:t>
                  </w:r>
                </w:p>
              </w:tc>
              <w:tc>
                <w:tcPr>
                  <w:tcW w:w="650" w:type="pct"/>
                  <w:noWrap w:val="0"/>
                  <w:vAlign w:val="center"/>
                </w:tcPr>
                <w:p w14:paraId="0D55CEE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000000"/>
                      <w:sz w:val="21"/>
                      <w:szCs w:val="21"/>
                      <w:vertAlign w:val="baseline"/>
                      <w:lang w:val="en-US" w:eastAsia="zh-CN"/>
                    </w:rPr>
                  </w:pPr>
                  <w:r>
                    <w:rPr>
                      <w:rFonts w:hint="eastAsia"/>
                      <w:color w:val="000000"/>
                      <w:sz w:val="21"/>
                      <w:szCs w:val="21"/>
                      <w:vertAlign w:val="baseline"/>
                      <w:lang w:val="en-US" w:eastAsia="zh-CN"/>
                    </w:rPr>
                    <w:t>1000</w:t>
                  </w:r>
                </w:p>
              </w:tc>
              <w:tc>
                <w:tcPr>
                  <w:tcW w:w="674" w:type="pct"/>
                  <w:noWrap w:val="0"/>
                  <w:vAlign w:val="center"/>
                </w:tcPr>
                <w:p w14:paraId="33CB765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000000"/>
                      <w:sz w:val="21"/>
                      <w:szCs w:val="21"/>
                      <w:vertAlign w:val="baseline"/>
                      <w:lang w:val="en-US" w:eastAsia="zh-CN"/>
                    </w:rPr>
                  </w:pPr>
                  <w:r>
                    <w:rPr>
                      <w:rFonts w:hint="eastAsia"/>
                      <w:color w:val="000000"/>
                      <w:sz w:val="21"/>
                      <w:szCs w:val="21"/>
                      <w:vertAlign w:val="baseline"/>
                      <w:lang w:val="en-US" w:eastAsia="zh-CN"/>
                    </w:rPr>
                    <w:t>是</w:t>
                  </w:r>
                </w:p>
              </w:tc>
            </w:tr>
            <w:tr w14:paraId="22706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48" w:type="pct"/>
                  <w:vMerge w:val="continue"/>
                  <w:noWrap w:val="0"/>
                  <w:vAlign w:val="center"/>
                </w:tcPr>
                <w:p w14:paraId="17806BD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000000"/>
                      <w:sz w:val="21"/>
                      <w:szCs w:val="21"/>
                      <w:vertAlign w:val="baseline"/>
                      <w:lang w:val="en-US" w:eastAsia="zh-CN"/>
                    </w:rPr>
                  </w:pPr>
                </w:p>
              </w:tc>
              <w:tc>
                <w:tcPr>
                  <w:tcW w:w="702" w:type="pct"/>
                  <w:vMerge w:val="continue"/>
                  <w:noWrap w:val="0"/>
                  <w:vAlign w:val="center"/>
                </w:tcPr>
                <w:p w14:paraId="66318C8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000000"/>
                      <w:sz w:val="21"/>
                      <w:szCs w:val="21"/>
                      <w:vertAlign w:val="baseline"/>
                      <w:lang w:val="en-US" w:eastAsia="zh-CN"/>
                    </w:rPr>
                  </w:pPr>
                </w:p>
              </w:tc>
              <w:tc>
                <w:tcPr>
                  <w:tcW w:w="1009" w:type="pct"/>
                  <w:noWrap w:val="0"/>
                  <w:vAlign w:val="center"/>
                </w:tcPr>
                <w:p w14:paraId="5F3539E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000000"/>
                      <w:sz w:val="21"/>
                      <w:szCs w:val="21"/>
                      <w:vertAlign w:val="baseline"/>
                      <w:lang w:val="en-US" w:eastAsia="zh-CN"/>
                    </w:rPr>
                  </w:pPr>
                  <w:r>
                    <w:rPr>
                      <w:rFonts w:hint="eastAsia"/>
                      <w:color w:val="000000"/>
                      <w:sz w:val="21"/>
                      <w:szCs w:val="21"/>
                      <w:vertAlign w:val="baseline"/>
                      <w:lang w:val="en-US" w:eastAsia="zh-CN"/>
                    </w:rPr>
                    <w:t>耗氧量（COD</w:t>
                  </w:r>
                  <w:r>
                    <w:rPr>
                      <w:rFonts w:hint="eastAsia"/>
                      <w:color w:val="000000"/>
                      <w:sz w:val="21"/>
                      <w:szCs w:val="21"/>
                      <w:vertAlign w:val="subscript"/>
                      <w:lang w:val="en-US" w:eastAsia="zh-CN"/>
                    </w:rPr>
                    <w:t>Mn</w:t>
                  </w:r>
                  <w:r>
                    <w:rPr>
                      <w:rFonts w:hint="eastAsia"/>
                      <w:color w:val="000000"/>
                      <w:sz w:val="21"/>
                      <w:szCs w:val="21"/>
                      <w:vertAlign w:val="baseline"/>
                      <w:lang w:val="en-US" w:eastAsia="zh-CN"/>
                    </w:rPr>
                    <w:t>法，以O</w:t>
                  </w:r>
                  <w:r>
                    <w:rPr>
                      <w:rFonts w:hint="eastAsia"/>
                      <w:color w:val="000000"/>
                      <w:sz w:val="21"/>
                      <w:szCs w:val="21"/>
                      <w:vertAlign w:val="subscript"/>
                      <w:lang w:val="en-US" w:eastAsia="zh-CN"/>
                    </w:rPr>
                    <w:t>2</w:t>
                  </w:r>
                  <w:r>
                    <w:rPr>
                      <w:rFonts w:hint="eastAsia"/>
                      <w:color w:val="000000"/>
                      <w:sz w:val="21"/>
                      <w:szCs w:val="21"/>
                      <w:vertAlign w:val="baseline"/>
                      <w:lang w:val="en-US" w:eastAsia="zh-CN"/>
                    </w:rPr>
                    <w:t>计）</w:t>
                  </w:r>
                </w:p>
              </w:tc>
              <w:tc>
                <w:tcPr>
                  <w:tcW w:w="680" w:type="pct"/>
                  <w:noWrap w:val="0"/>
                  <w:vAlign w:val="center"/>
                </w:tcPr>
                <w:p w14:paraId="7D033BD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000000"/>
                      <w:sz w:val="21"/>
                      <w:szCs w:val="21"/>
                      <w:vertAlign w:val="baseline"/>
                      <w:lang w:val="en-US" w:eastAsia="zh-CN"/>
                    </w:rPr>
                  </w:pPr>
                  <w:r>
                    <w:rPr>
                      <w:rFonts w:hint="eastAsia"/>
                      <w:color w:val="000000"/>
                      <w:sz w:val="21"/>
                      <w:szCs w:val="21"/>
                      <w:vertAlign w:val="baseline"/>
                      <w:lang w:val="en-US" w:eastAsia="zh-CN"/>
                    </w:rPr>
                    <w:t>mg/L</w:t>
                  </w:r>
                </w:p>
              </w:tc>
              <w:tc>
                <w:tcPr>
                  <w:tcW w:w="633" w:type="pct"/>
                  <w:noWrap w:val="0"/>
                  <w:vAlign w:val="center"/>
                </w:tcPr>
                <w:p w14:paraId="02C1746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000000"/>
                      <w:sz w:val="21"/>
                      <w:szCs w:val="21"/>
                      <w:vertAlign w:val="baseline"/>
                      <w:lang w:val="en-US" w:eastAsia="zh-CN"/>
                    </w:rPr>
                  </w:pPr>
                  <w:r>
                    <w:rPr>
                      <w:rFonts w:hint="eastAsia"/>
                      <w:color w:val="000000"/>
                      <w:sz w:val="21"/>
                      <w:szCs w:val="21"/>
                      <w:vertAlign w:val="baseline"/>
                      <w:lang w:val="en-US" w:eastAsia="zh-CN"/>
                    </w:rPr>
                    <w:t>0.9</w:t>
                  </w:r>
                </w:p>
              </w:tc>
              <w:tc>
                <w:tcPr>
                  <w:tcW w:w="650" w:type="pct"/>
                  <w:noWrap w:val="0"/>
                  <w:vAlign w:val="center"/>
                </w:tcPr>
                <w:p w14:paraId="2CFE4B7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000000"/>
                      <w:sz w:val="21"/>
                      <w:szCs w:val="21"/>
                      <w:vertAlign w:val="baseline"/>
                      <w:lang w:val="en-US" w:eastAsia="zh-CN"/>
                    </w:rPr>
                  </w:pPr>
                  <w:r>
                    <w:rPr>
                      <w:rFonts w:hint="eastAsia"/>
                      <w:color w:val="000000"/>
                      <w:sz w:val="21"/>
                      <w:szCs w:val="21"/>
                      <w:vertAlign w:val="baseline"/>
                      <w:lang w:val="en-US" w:eastAsia="zh-CN"/>
                    </w:rPr>
                    <w:t>3.0</w:t>
                  </w:r>
                </w:p>
              </w:tc>
              <w:tc>
                <w:tcPr>
                  <w:tcW w:w="674" w:type="pct"/>
                  <w:noWrap w:val="0"/>
                  <w:vAlign w:val="center"/>
                </w:tcPr>
                <w:p w14:paraId="38FEA06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000000"/>
                      <w:sz w:val="21"/>
                      <w:szCs w:val="21"/>
                      <w:vertAlign w:val="baseline"/>
                      <w:lang w:val="en-US" w:eastAsia="zh-CN"/>
                    </w:rPr>
                  </w:pPr>
                  <w:r>
                    <w:rPr>
                      <w:rFonts w:hint="eastAsia"/>
                      <w:color w:val="000000"/>
                      <w:sz w:val="21"/>
                      <w:szCs w:val="21"/>
                      <w:vertAlign w:val="baseline"/>
                      <w:lang w:val="en-US" w:eastAsia="zh-CN"/>
                    </w:rPr>
                    <w:t>是</w:t>
                  </w:r>
                </w:p>
              </w:tc>
            </w:tr>
            <w:tr w14:paraId="33B15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48" w:type="pct"/>
                  <w:vMerge w:val="continue"/>
                  <w:noWrap w:val="0"/>
                  <w:vAlign w:val="center"/>
                </w:tcPr>
                <w:p w14:paraId="4BEE774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000000"/>
                      <w:sz w:val="21"/>
                      <w:szCs w:val="21"/>
                      <w:vertAlign w:val="baseline"/>
                      <w:lang w:val="en-US" w:eastAsia="zh-CN"/>
                    </w:rPr>
                  </w:pPr>
                </w:p>
              </w:tc>
              <w:tc>
                <w:tcPr>
                  <w:tcW w:w="702" w:type="pct"/>
                  <w:vMerge w:val="continue"/>
                  <w:noWrap w:val="0"/>
                  <w:vAlign w:val="center"/>
                </w:tcPr>
                <w:p w14:paraId="1542AC0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000000"/>
                      <w:sz w:val="21"/>
                      <w:szCs w:val="21"/>
                      <w:vertAlign w:val="baseline"/>
                      <w:lang w:val="en-US" w:eastAsia="zh-CN"/>
                    </w:rPr>
                  </w:pPr>
                </w:p>
              </w:tc>
              <w:tc>
                <w:tcPr>
                  <w:tcW w:w="1009" w:type="pct"/>
                  <w:noWrap w:val="0"/>
                  <w:vAlign w:val="center"/>
                </w:tcPr>
                <w:p w14:paraId="01EF75D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000000"/>
                      <w:sz w:val="21"/>
                      <w:szCs w:val="21"/>
                      <w:vertAlign w:val="baseline"/>
                      <w:lang w:val="en-US" w:eastAsia="zh-CN"/>
                    </w:rPr>
                  </w:pPr>
                  <w:r>
                    <w:rPr>
                      <w:rFonts w:hint="eastAsia"/>
                      <w:color w:val="000000"/>
                      <w:sz w:val="21"/>
                      <w:szCs w:val="21"/>
                      <w:vertAlign w:val="baseline"/>
                      <w:lang w:val="en-US" w:eastAsia="zh-CN"/>
                    </w:rPr>
                    <w:t>氟化物</w:t>
                  </w:r>
                </w:p>
              </w:tc>
              <w:tc>
                <w:tcPr>
                  <w:tcW w:w="680" w:type="pct"/>
                  <w:noWrap w:val="0"/>
                  <w:vAlign w:val="center"/>
                </w:tcPr>
                <w:p w14:paraId="5AB0B36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000000"/>
                      <w:sz w:val="21"/>
                      <w:szCs w:val="21"/>
                      <w:vertAlign w:val="baseline"/>
                      <w:lang w:val="en-US" w:eastAsia="zh-CN"/>
                    </w:rPr>
                  </w:pPr>
                  <w:r>
                    <w:rPr>
                      <w:rFonts w:hint="eastAsia"/>
                      <w:color w:val="000000"/>
                      <w:sz w:val="21"/>
                      <w:szCs w:val="21"/>
                      <w:vertAlign w:val="baseline"/>
                      <w:lang w:val="en-US" w:eastAsia="zh-CN"/>
                    </w:rPr>
                    <w:t>mg/L</w:t>
                  </w:r>
                </w:p>
              </w:tc>
              <w:tc>
                <w:tcPr>
                  <w:tcW w:w="633" w:type="pct"/>
                  <w:noWrap w:val="0"/>
                  <w:vAlign w:val="center"/>
                </w:tcPr>
                <w:p w14:paraId="7507A11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000000"/>
                      <w:sz w:val="21"/>
                      <w:szCs w:val="21"/>
                      <w:vertAlign w:val="baseline"/>
                      <w:lang w:val="en-US" w:eastAsia="zh-CN"/>
                    </w:rPr>
                  </w:pPr>
                  <w:r>
                    <w:rPr>
                      <w:rFonts w:hint="eastAsia"/>
                      <w:color w:val="000000"/>
                      <w:sz w:val="21"/>
                      <w:szCs w:val="21"/>
                      <w:vertAlign w:val="baseline"/>
                      <w:lang w:val="en-US" w:eastAsia="zh-CN"/>
                    </w:rPr>
                    <w:t>0.077</w:t>
                  </w:r>
                </w:p>
              </w:tc>
              <w:tc>
                <w:tcPr>
                  <w:tcW w:w="650" w:type="pct"/>
                  <w:noWrap w:val="0"/>
                  <w:vAlign w:val="center"/>
                </w:tcPr>
                <w:p w14:paraId="4F4A2B2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000000"/>
                      <w:sz w:val="21"/>
                      <w:szCs w:val="21"/>
                      <w:vertAlign w:val="baseline"/>
                      <w:lang w:val="en-US" w:eastAsia="zh-CN"/>
                    </w:rPr>
                  </w:pPr>
                  <w:r>
                    <w:rPr>
                      <w:rFonts w:hint="eastAsia"/>
                      <w:color w:val="000000"/>
                      <w:sz w:val="21"/>
                      <w:szCs w:val="21"/>
                      <w:vertAlign w:val="baseline"/>
                      <w:lang w:val="en-US" w:eastAsia="zh-CN"/>
                    </w:rPr>
                    <w:t>1.0</w:t>
                  </w:r>
                </w:p>
              </w:tc>
              <w:tc>
                <w:tcPr>
                  <w:tcW w:w="674" w:type="pct"/>
                  <w:noWrap w:val="0"/>
                  <w:vAlign w:val="center"/>
                </w:tcPr>
                <w:p w14:paraId="3CEC4FF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000000"/>
                      <w:sz w:val="21"/>
                      <w:szCs w:val="21"/>
                      <w:vertAlign w:val="baseline"/>
                      <w:lang w:val="en-US" w:eastAsia="zh-CN"/>
                    </w:rPr>
                  </w:pPr>
                  <w:r>
                    <w:rPr>
                      <w:rFonts w:hint="eastAsia"/>
                      <w:color w:val="000000"/>
                      <w:sz w:val="21"/>
                      <w:szCs w:val="21"/>
                      <w:vertAlign w:val="baseline"/>
                      <w:lang w:val="en-US" w:eastAsia="zh-CN"/>
                    </w:rPr>
                    <w:t>是</w:t>
                  </w:r>
                </w:p>
              </w:tc>
            </w:tr>
            <w:tr w14:paraId="3DAA0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48" w:type="pct"/>
                  <w:vMerge w:val="continue"/>
                  <w:noWrap w:val="0"/>
                  <w:vAlign w:val="center"/>
                </w:tcPr>
                <w:p w14:paraId="34EA082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000000"/>
                      <w:sz w:val="21"/>
                      <w:szCs w:val="21"/>
                      <w:vertAlign w:val="baseline"/>
                      <w:lang w:val="en-US" w:eastAsia="zh-CN"/>
                    </w:rPr>
                  </w:pPr>
                </w:p>
              </w:tc>
              <w:tc>
                <w:tcPr>
                  <w:tcW w:w="702" w:type="pct"/>
                  <w:vMerge w:val="continue"/>
                  <w:noWrap w:val="0"/>
                  <w:vAlign w:val="center"/>
                </w:tcPr>
                <w:p w14:paraId="7946D0A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000000"/>
                      <w:sz w:val="21"/>
                      <w:szCs w:val="21"/>
                      <w:vertAlign w:val="baseline"/>
                      <w:lang w:val="en-US" w:eastAsia="zh-CN"/>
                    </w:rPr>
                  </w:pPr>
                </w:p>
              </w:tc>
              <w:tc>
                <w:tcPr>
                  <w:tcW w:w="1009" w:type="pct"/>
                  <w:noWrap w:val="0"/>
                  <w:vAlign w:val="center"/>
                </w:tcPr>
                <w:p w14:paraId="408BC79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000000"/>
                      <w:sz w:val="21"/>
                      <w:szCs w:val="21"/>
                      <w:vertAlign w:val="baseline"/>
                      <w:lang w:val="en-US" w:eastAsia="zh-CN"/>
                    </w:rPr>
                  </w:pPr>
                  <w:r>
                    <w:rPr>
                      <w:rFonts w:hint="eastAsia"/>
                      <w:color w:val="000000"/>
                      <w:sz w:val="21"/>
                      <w:szCs w:val="21"/>
                      <w:vertAlign w:val="baseline"/>
                      <w:lang w:val="en-US" w:eastAsia="zh-CN"/>
                    </w:rPr>
                    <w:t>硝酸盐（以N计）</w:t>
                  </w:r>
                </w:p>
              </w:tc>
              <w:tc>
                <w:tcPr>
                  <w:tcW w:w="680" w:type="pct"/>
                  <w:noWrap w:val="0"/>
                  <w:vAlign w:val="center"/>
                </w:tcPr>
                <w:p w14:paraId="3A77033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000000"/>
                      <w:sz w:val="21"/>
                      <w:szCs w:val="21"/>
                      <w:vertAlign w:val="baseline"/>
                      <w:lang w:val="en-US" w:eastAsia="zh-CN"/>
                    </w:rPr>
                  </w:pPr>
                  <w:r>
                    <w:rPr>
                      <w:rFonts w:hint="eastAsia"/>
                      <w:color w:val="000000"/>
                      <w:sz w:val="21"/>
                      <w:szCs w:val="21"/>
                      <w:vertAlign w:val="baseline"/>
                      <w:lang w:val="en-US" w:eastAsia="zh-CN"/>
                    </w:rPr>
                    <w:t>mg/L</w:t>
                  </w:r>
                </w:p>
              </w:tc>
              <w:tc>
                <w:tcPr>
                  <w:tcW w:w="633" w:type="pct"/>
                  <w:noWrap w:val="0"/>
                  <w:vAlign w:val="center"/>
                </w:tcPr>
                <w:p w14:paraId="3F4A5B0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000000"/>
                      <w:sz w:val="21"/>
                      <w:szCs w:val="21"/>
                      <w:vertAlign w:val="baseline"/>
                      <w:lang w:val="en-US" w:eastAsia="zh-CN"/>
                    </w:rPr>
                  </w:pPr>
                  <w:r>
                    <w:rPr>
                      <w:rFonts w:hint="eastAsia"/>
                      <w:color w:val="000000"/>
                      <w:sz w:val="21"/>
                      <w:szCs w:val="21"/>
                      <w:vertAlign w:val="baseline"/>
                      <w:lang w:val="en-US" w:eastAsia="zh-CN"/>
                    </w:rPr>
                    <w:t>0.298</w:t>
                  </w:r>
                </w:p>
              </w:tc>
              <w:tc>
                <w:tcPr>
                  <w:tcW w:w="650" w:type="pct"/>
                  <w:noWrap w:val="0"/>
                  <w:vAlign w:val="center"/>
                </w:tcPr>
                <w:p w14:paraId="2C05F17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000000"/>
                      <w:sz w:val="21"/>
                      <w:szCs w:val="21"/>
                      <w:vertAlign w:val="baseline"/>
                      <w:lang w:val="en-US" w:eastAsia="zh-CN"/>
                    </w:rPr>
                  </w:pPr>
                  <w:r>
                    <w:rPr>
                      <w:rFonts w:hint="eastAsia"/>
                      <w:color w:val="000000"/>
                      <w:sz w:val="21"/>
                      <w:szCs w:val="21"/>
                      <w:vertAlign w:val="baseline"/>
                      <w:lang w:val="en-US" w:eastAsia="zh-CN"/>
                    </w:rPr>
                    <w:t>20.0</w:t>
                  </w:r>
                </w:p>
              </w:tc>
              <w:tc>
                <w:tcPr>
                  <w:tcW w:w="674" w:type="pct"/>
                  <w:noWrap w:val="0"/>
                  <w:vAlign w:val="center"/>
                </w:tcPr>
                <w:p w14:paraId="0944585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000000"/>
                      <w:sz w:val="21"/>
                      <w:szCs w:val="21"/>
                      <w:vertAlign w:val="baseline"/>
                      <w:lang w:val="en-US" w:eastAsia="zh-CN"/>
                    </w:rPr>
                  </w:pPr>
                  <w:r>
                    <w:rPr>
                      <w:rFonts w:hint="eastAsia"/>
                      <w:color w:val="000000"/>
                      <w:sz w:val="21"/>
                      <w:szCs w:val="21"/>
                      <w:vertAlign w:val="baseline"/>
                      <w:lang w:val="en-US" w:eastAsia="zh-CN"/>
                    </w:rPr>
                    <w:t>是</w:t>
                  </w:r>
                </w:p>
              </w:tc>
            </w:tr>
            <w:tr w14:paraId="3B62D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48" w:type="pct"/>
                  <w:vMerge w:val="continue"/>
                  <w:noWrap w:val="0"/>
                  <w:vAlign w:val="center"/>
                </w:tcPr>
                <w:p w14:paraId="3B4859F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000000"/>
                      <w:sz w:val="21"/>
                      <w:szCs w:val="21"/>
                      <w:vertAlign w:val="baseline"/>
                      <w:lang w:val="en-US" w:eastAsia="zh-CN"/>
                    </w:rPr>
                  </w:pPr>
                </w:p>
              </w:tc>
              <w:tc>
                <w:tcPr>
                  <w:tcW w:w="702" w:type="pct"/>
                  <w:vMerge w:val="continue"/>
                  <w:noWrap w:val="0"/>
                  <w:vAlign w:val="center"/>
                </w:tcPr>
                <w:p w14:paraId="5107C28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000000"/>
                      <w:sz w:val="21"/>
                      <w:szCs w:val="21"/>
                      <w:vertAlign w:val="baseline"/>
                      <w:lang w:val="en-US" w:eastAsia="zh-CN"/>
                    </w:rPr>
                  </w:pPr>
                </w:p>
              </w:tc>
              <w:tc>
                <w:tcPr>
                  <w:tcW w:w="1009" w:type="pct"/>
                  <w:noWrap w:val="0"/>
                  <w:vAlign w:val="center"/>
                </w:tcPr>
                <w:p w14:paraId="37EF698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000000"/>
                      <w:sz w:val="21"/>
                      <w:szCs w:val="21"/>
                      <w:vertAlign w:val="baseline"/>
                      <w:lang w:val="en-US" w:eastAsia="zh-CN"/>
                    </w:rPr>
                  </w:pPr>
                  <w:r>
                    <w:rPr>
                      <w:rFonts w:hint="eastAsia"/>
                      <w:color w:val="000000"/>
                      <w:sz w:val="21"/>
                      <w:szCs w:val="21"/>
                      <w:vertAlign w:val="baseline"/>
                      <w:lang w:val="en-US" w:eastAsia="zh-CN"/>
                    </w:rPr>
                    <w:t>亚硝酸盐</w:t>
                  </w:r>
                </w:p>
                <w:p w14:paraId="21F0ADC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000000"/>
                      <w:sz w:val="21"/>
                      <w:szCs w:val="21"/>
                      <w:vertAlign w:val="baseline"/>
                      <w:lang w:val="en-US" w:eastAsia="zh-CN"/>
                    </w:rPr>
                  </w:pPr>
                  <w:r>
                    <w:rPr>
                      <w:rFonts w:hint="eastAsia"/>
                      <w:color w:val="000000"/>
                      <w:sz w:val="21"/>
                      <w:szCs w:val="21"/>
                      <w:vertAlign w:val="baseline"/>
                      <w:lang w:val="en-US" w:eastAsia="zh-CN"/>
                    </w:rPr>
                    <w:t>（以N计）</w:t>
                  </w:r>
                </w:p>
              </w:tc>
              <w:tc>
                <w:tcPr>
                  <w:tcW w:w="680" w:type="pct"/>
                  <w:noWrap w:val="0"/>
                  <w:vAlign w:val="center"/>
                </w:tcPr>
                <w:p w14:paraId="4049A9B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000000"/>
                      <w:sz w:val="21"/>
                      <w:szCs w:val="21"/>
                      <w:vertAlign w:val="baseline"/>
                      <w:lang w:val="en-US" w:eastAsia="zh-CN"/>
                    </w:rPr>
                  </w:pPr>
                  <w:r>
                    <w:rPr>
                      <w:rFonts w:hint="eastAsia"/>
                      <w:color w:val="000000"/>
                      <w:sz w:val="21"/>
                      <w:szCs w:val="21"/>
                      <w:vertAlign w:val="baseline"/>
                      <w:lang w:val="en-US" w:eastAsia="zh-CN"/>
                    </w:rPr>
                    <w:t>mg/L</w:t>
                  </w:r>
                </w:p>
              </w:tc>
              <w:tc>
                <w:tcPr>
                  <w:tcW w:w="633" w:type="pct"/>
                  <w:noWrap w:val="0"/>
                  <w:vAlign w:val="center"/>
                </w:tcPr>
                <w:p w14:paraId="502F560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000000"/>
                      <w:sz w:val="21"/>
                      <w:szCs w:val="21"/>
                      <w:vertAlign w:val="baseline"/>
                      <w:lang w:val="en-US" w:eastAsia="zh-CN"/>
                    </w:rPr>
                  </w:pPr>
                  <w:r>
                    <w:rPr>
                      <w:rFonts w:hint="eastAsia"/>
                      <w:color w:val="000000"/>
                      <w:sz w:val="21"/>
                      <w:szCs w:val="21"/>
                      <w:vertAlign w:val="baseline"/>
                      <w:lang w:val="en-US" w:eastAsia="zh-CN"/>
                    </w:rPr>
                    <w:t>0.005L</w:t>
                  </w:r>
                </w:p>
              </w:tc>
              <w:tc>
                <w:tcPr>
                  <w:tcW w:w="650" w:type="pct"/>
                  <w:noWrap w:val="0"/>
                  <w:vAlign w:val="center"/>
                </w:tcPr>
                <w:p w14:paraId="423FD0F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000000"/>
                      <w:sz w:val="21"/>
                      <w:szCs w:val="21"/>
                      <w:vertAlign w:val="baseline"/>
                      <w:lang w:val="en-US" w:eastAsia="zh-CN"/>
                    </w:rPr>
                  </w:pPr>
                  <w:r>
                    <w:rPr>
                      <w:rFonts w:hint="eastAsia"/>
                      <w:color w:val="000000"/>
                      <w:sz w:val="21"/>
                      <w:szCs w:val="21"/>
                      <w:vertAlign w:val="baseline"/>
                      <w:lang w:val="en-US" w:eastAsia="zh-CN"/>
                    </w:rPr>
                    <w:t>1.00</w:t>
                  </w:r>
                </w:p>
              </w:tc>
              <w:tc>
                <w:tcPr>
                  <w:tcW w:w="674" w:type="pct"/>
                  <w:noWrap w:val="0"/>
                  <w:vAlign w:val="center"/>
                </w:tcPr>
                <w:p w14:paraId="480AD18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000000"/>
                      <w:sz w:val="21"/>
                      <w:szCs w:val="21"/>
                      <w:vertAlign w:val="baseline"/>
                      <w:lang w:val="en-US" w:eastAsia="zh-CN"/>
                    </w:rPr>
                  </w:pPr>
                  <w:r>
                    <w:rPr>
                      <w:rFonts w:hint="eastAsia"/>
                      <w:color w:val="000000"/>
                      <w:sz w:val="21"/>
                      <w:szCs w:val="21"/>
                      <w:vertAlign w:val="baseline"/>
                      <w:lang w:val="en-US" w:eastAsia="zh-CN"/>
                    </w:rPr>
                    <w:t>是</w:t>
                  </w:r>
                </w:p>
              </w:tc>
            </w:tr>
            <w:tr w14:paraId="5B190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48" w:type="pct"/>
                  <w:vMerge w:val="continue"/>
                  <w:noWrap w:val="0"/>
                  <w:vAlign w:val="center"/>
                </w:tcPr>
                <w:p w14:paraId="0EF6D9F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000000"/>
                      <w:sz w:val="21"/>
                      <w:szCs w:val="21"/>
                      <w:vertAlign w:val="baseline"/>
                      <w:lang w:val="en-US" w:eastAsia="zh-CN"/>
                    </w:rPr>
                  </w:pPr>
                </w:p>
              </w:tc>
              <w:tc>
                <w:tcPr>
                  <w:tcW w:w="702" w:type="pct"/>
                  <w:vMerge w:val="continue"/>
                  <w:noWrap w:val="0"/>
                  <w:vAlign w:val="center"/>
                </w:tcPr>
                <w:p w14:paraId="50F338E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000000"/>
                      <w:sz w:val="21"/>
                      <w:szCs w:val="21"/>
                      <w:vertAlign w:val="baseline"/>
                      <w:lang w:val="en-US" w:eastAsia="zh-CN"/>
                    </w:rPr>
                  </w:pPr>
                </w:p>
              </w:tc>
              <w:tc>
                <w:tcPr>
                  <w:tcW w:w="1009" w:type="pct"/>
                  <w:noWrap w:val="0"/>
                  <w:vAlign w:val="center"/>
                </w:tcPr>
                <w:p w14:paraId="34494FA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000000"/>
                      <w:sz w:val="21"/>
                      <w:szCs w:val="21"/>
                      <w:vertAlign w:val="baseline"/>
                      <w:lang w:val="en-US" w:eastAsia="zh-CN"/>
                    </w:rPr>
                  </w:pPr>
                  <w:r>
                    <w:rPr>
                      <w:rFonts w:hint="eastAsia"/>
                      <w:color w:val="000000"/>
                      <w:sz w:val="21"/>
                      <w:szCs w:val="21"/>
                      <w:vertAlign w:val="baseline"/>
                      <w:lang w:val="en-US" w:eastAsia="zh-CN"/>
                    </w:rPr>
                    <w:t>砷</w:t>
                  </w:r>
                </w:p>
              </w:tc>
              <w:tc>
                <w:tcPr>
                  <w:tcW w:w="680" w:type="pct"/>
                  <w:noWrap w:val="0"/>
                  <w:vAlign w:val="center"/>
                </w:tcPr>
                <w:p w14:paraId="16494FA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000000"/>
                      <w:sz w:val="21"/>
                      <w:szCs w:val="21"/>
                      <w:vertAlign w:val="baseline"/>
                      <w:lang w:val="en-US" w:eastAsia="zh-CN"/>
                    </w:rPr>
                  </w:pPr>
                  <w:r>
                    <w:rPr>
                      <w:rFonts w:hint="eastAsia"/>
                      <w:color w:val="000000"/>
                      <w:sz w:val="21"/>
                      <w:szCs w:val="21"/>
                      <w:vertAlign w:val="baseline"/>
                      <w:lang w:val="en-US" w:eastAsia="zh-CN"/>
                    </w:rPr>
                    <w:t>mg/L</w:t>
                  </w:r>
                </w:p>
              </w:tc>
              <w:tc>
                <w:tcPr>
                  <w:tcW w:w="633" w:type="pct"/>
                  <w:noWrap w:val="0"/>
                  <w:vAlign w:val="center"/>
                </w:tcPr>
                <w:p w14:paraId="4469330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000000"/>
                      <w:sz w:val="21"/>
                      <w:szCs w:val="21"/>
                      <w:vertAlign w:val="baseline"/>
                      <w:lang w:val="en-US" w:eastAsia="zh-CN"/>
                    </w:rPr>
                  </w:pPr>
                  <w:r>
                    <w:rPr>
                      <w:rFonts w:hint="eastAsia"/>
                      <w:color w:val="000000"/>
                      <w:sz w:val="21"/>
                      <w:szCs w:val="21"/>
                      <w:vertAlign w:val="baseline"/>
                      <w:lang w:val="en-US" w:eastAsia="zh-CN"/>
                    </w:rPr>
                    <w:t>0.0003L</w:t>
                  </w:r>
                </w:p>
              </w:tc>
              <w:tc>
                <w:tcPr>
                  <w:tcW w:w="650" w:type="pct"/>
                  <w:noWrap w:val="0"/>
                  <w:vAlign w:val="center"/>
                </w:tcPr>
                <w:p w14:paraId="27F2ECB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000000"/>
                      <w:sz w:val="21"/>
                      <w:szCs w:val="21"/>
                      <w:vertAlign w:val="baseline"/>
                      <w:lang w:val="en-US" w:eastAsia="zh-CN"/>
                    </w:rPr>
                  </w:pPr>
                  <w:r>
                    <w:rPr>
                      <w:rFonts w:hint="eastAsia"/>
                      <w:color w:val="000000"/>
                      <w:sz w:val="21"/>
                      <w:szCs w:val="21"/>
                      <w:vertAlign w:val="baseline"/>
                      <w:lang w:val="en-US" w:eastAsia="zh-CN"/>
                    </w:rPr>
                    <w:t>0.01</w:t>
                  </w:r>
                </w:p>
              </w:tc>
              <w:tc>
                <w:tcPr>
                  <w:tcW w:w="674" w:type="pct"/>
                  <w:noWrap w:val="0"/>
                  <w:vAlign w:val="center"/>
                </w:tcPr>
                <w:p w14:paraId="43B5410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000000"/>
                      <w:sz w:val="21"/>
                      <w:szCs w:val="21"/>
                      <w:vertAlign w:val="baseline"/>
                      <w:lang w:val="en-US" w:eastAsia="zh-CN"/>
                    </w:rPr>
                  </w:pPr>
                  <w:r>
                    <w:rPr>
                      <w:rFonts w:hint="eastAsia"/>
                      <w:color w:val="000000"/>
                      <w:sz w:val="21"/>
                      <w:szCs w:val="21"/>
                      <w:vertAlign w:val="baseline"/>
                      <w:lang w:val="en-US" w:eastAsia="zh-CN"/>
                    </w:rPr>
                    <w:t>是</w:t>
                  </w:r>
                </w:p>
              </w:tc>
            </w:tr>
            <w:tr w14:paraId="4F138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48" w:type="pct"/>
                  <w:vMerge w:val="continue"/>
                  <w:noWrap w:val="0"/>
                  <w:vAlign w:val="center"/>
                </w:tcPr>
                <w:p w14:paraId="3B6550C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000000"/>
                      <w:sz w:val="21"/>
                      <w:szCs w:val="21"/>
                      <w:vertAlign w:val="baseline"/>
                      <w:lang w:val="en-US" w:eastAsia="zh-CN"/>
                    </w:rPr>
                  </w:pPr>
                </w:p>
              </w:tc>
              <w:tc>
                <w:tcPr>
                  <w:tcW w:w="702" w:type="pct"/>
                  <w:vMerge w:val="continue"/>
                  <w:noWrap w:val="0"/>
                  <w:vAlign w:val="center"/>
                </w:tcPr>
                <w:p w14:paraId="30A69BE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000000"/>
                      <w:sz w:val="21"/>
                      <w:szCs w:val="21"/>
                      <w:vertAlign w:val="baseline"/>
                      <w:lang w:val="en-US" w:eastAsia="zh-CN"/>
                    </w:rPr>
                  </w:pPr>
                </w:p>
              </w:tc>
              <w:tc>
                <w:tcPr>
                  <w:tcW w:w="1009" w:type="pct"/>
                  <w:noWrap w:val="0"/>
                  <w:vAlign w:val="center"/>
                </w:tcPr>
                <w:p w14:paraId="366D9C4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000000"/>
                      <w:sz w:val="21"/>
                      <w:szCs w:val="21"/>
                      <w:vertAlign w:val="baseline"/>
                      <w:lang w:val="en-US" w:eastAsia="zh-CN"/>
                    </w:rPr>
                  </w:pPr>
                  <w:r>
                    <w:rPr>
                      <w:rFonts w:hint="eastAsia"/>
                      <w:color w:val="000000"/>
                      <w:sz w:val="21"/>
                      <w:szCs w:val="21"/>
                      <w:vertAlign w:val="baseline"/>
                      <w:lang w:val="en-US" w:eastAsia="zh-CN"/>
                    </w:rPr>
                    <w:t>汞</w:t>
                  </w:r>
                </w:p>
              </w:tc>
              <w:tc>
                <w:tcPr>
                  <w:tcW w:w="680" w:type="pct"/>
                  <w:noWrap w:val="0"/>
                  <w:vAlign w:val="center"/>
                </w:tcPr>
                <w:p w14:paraId="2EE331C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000000"/>
                      <w:sz w:val="21"/>
                      <w:szCs w:val="21"/>
                      <w:vertAlign w:val="baseline"/>
                      <w:lang w:val="en-US" w:eastAsia="zh-CN"/>
                    </w:rPr>
                  </w:pPr>
                  <w:r>
                    <w:rPr>
                      <w:rFonts w:hint="eastAsia"/>
                      <w:color w:val="000000"/>
                      <w:sz w:val="21"/>
                      <w:szCs w:val="21"/>
                      <w:vertAlign w:val="baseline"/>
                      <w:lang w:val="en-US" w:eastAsia="zh-CN"/>
                    </w:rPr>
                    <w:t>mg/L</w:t>
                  </w:r>
                </w:p>
              </w:tc>
              <w:tc>
                <w:tcPr>
                  <w:tcW w:w="633" w:type="pct"/>
                  <w:noWrap w:val="0"/>
                  <w:vAlign w:val="center"/>
                </w:tcPr>
                <w:p w14:paraId="0718B0D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000000"/>
                      <w:sz w:val="21"/>
                      <w:szCs w:val="21"/>
                      <w:vertAlign w:val="baseline"/>
                      <w:lang w:val="en-US" w:eastAsia="zh-CN"/>
                    </w:rPr>
                  </w:pPr>
                  <w:r>
                    <w:rPr>
                      <w:rFonts w:hint="eastAsia"/>
                      <w:color w:val="000000"/>
                      <w:sz w:val="21"/>
                      <w:szCs w:val="21"/>
                      <w:vertAlign w:val="baseline"/>
                      <w:lang w:val="en-US" w:eastAsia="zh-CN"/>
                    </w:rPr>
                    <w:t>0.00013</w:t>
                  </w:r>
                </w:p>
              </w:tc>
              <w:tc>
                <w:tcPr>
                  <w:tcW w:w="650" w:type="pct"/>
                  <w:noWrap w:val="0"/>
                  <w:vAlign w:val="center"/>
                </w:tcPr>
                <w:p w14:paraId="65F44A6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000000"/>
                      <w:sz w:val="21"/>
                      <w:szCs w:val="21"/>
                      <w:vertAlign w:val="baseline"/>
                      <w:lang w:val="en-US" w:eastAsia="zh-CN"/>
                    </w:rPr>
                  </w:pPr>
                  <w:r>
                    <w:rPr>
                      <w:rFonts w:hint="eastAsia"/>
                      <w:color w:val="000000"/>
                      <w:sz w:val="21"/>
                      <w:szCs w:val="21"/>
                      <w:vertAlign w:val="baseline"/>
                      <w:lang w:val="en-US" w:eastAsia="zh-CN"/>
                    </w:rPr>
                    <w:t>0.001</w:t>
                  </w:r>
                </w:p>
              </w:tc>
              <w:tc>
                <w:tcPr>
                  <w:tcW w:w="674" w:type="pct"/>
                  <w:noWrap w:val="0"/>
                  <w:vAlign w:val="center"/>
                </w:tcPr>
                <w:p w14:paraId="4F60EC5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000000"/>
                      <w:sz w:val="21"/>
                      <w:szCs w:val="21"/>
                      <w:vertAlign w:val="baseline"/>
                      <w:lang w:val="en-US" w:eastAsia="zh-CN"/>
                    </w:rPr>
                  </w:pPr>
                  <w:r>
                    <w:rPr>
                      <w:rFonts w:hint="eastAsia"/>
                      <w:color w:val="000000"/>
                      <w:sz w:val="21"/>
                      <w:szCs w:val="21"/>
                      <w:vertAlign w:val="baseline"/>
                      <w:lang w:val="en-US" w:eastAsia="zh-CN"/>
                    </w:rPr>
                    <w:t>是</w:t>
                  </w:r>
                </w:p>
              </w:tc>
            </w:tr>
            <w:tr w14:paraId="25DD6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48" w:type="pct"/>
                  <w:vMerge w:val="continue"/>
                  <w:noWrap w:val="0"/>
                  <w:vAlign w:val="center"/>
                </w:tcPr>
                <w:p w14:paraId="0241261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000000"/>
                      <w:sz w:val="21"/>
                      <w:szCs w:val="21"/>
                      <w:vertAlign w:val="baseline"/>
                      <w:lang w:val="en-US" w:eastAsia="zh-CN"/>
                    </w:rPr>
                  </w:pPr>
                </w:p>
              </w:tc>
              <w:tc>
                <w:tcPr>
                  <w:tcW w:w="702" w:type="pct"/>
                  <w:vMerge w:val="continue"/>
                  <w:noWrap w:val="0"/>
                  <w:vAlign w:val="center"/>
                </w:tcPr>
                <w:p w14:paraId="22D172F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000000"/>
                      <w:sz w:val="21"/>
                      <w:szCs w:val="21"/>
                      <w:vertAlign w:val="baseline"/>
                      <w:lang w:val="en-US" w:eastAsia="zh-CN"/>
                    </w:rPr>
                  </w:pPr>
                </w:p>
              </w:tc>
              <w:tc>
                <w:tcPr>
                  <w:tcW w:w="1009" w:type="pct"/>
                  <w:noWrap w:val="0"/>
                  <w:vAlign w:val="center"/>
                </w:tcPr>
                <w:p w14:paraId="012B399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000000"/>
                      <w:sz w:val="21"/>
                      <w:szCs w:val="21"/>
                      <w:vertAlign w:val="baseline"/>
                      <w:lang w:val="en-US" w:eastAsia="zh-CN"/>
                    </w:rPr>
                  </w:pPr>
                  <w:r>
                    <w:rPr>
                      <w:rFonts w:hint="eastAsia"/>
                      <w:color w:val="000000"/>
                      <w:sz w:val="21"/>
                      <w:szCs w:val="21"/>
                      <w:vertAlign w:val="baseline"/>
                      <w:lang w:val="en-US" w:eastAsia="zh-CN"/>
                    </w:rPr>
                    <w:t>铁</w:t>
                  </w:r>
                </w:p>
              </w:tc>
              <w:tc>
                <w:tcPr>
                  <w:tcW w:w="680" w:type="pct"/>
                  <w:noWrap w:val="0"/>
                  <w:vAlign w:val="center"/>
                </w:tcPr>
                <w:p w14:paraId="244C4C6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000000"/>
                      <w:sz w:val="21"/>
                      <w:szCs w:val="21"/>
                      <w:vertAlign w:val="baseline"/>
                      <w:lang w:val="en-US" w:eastAsia="zh-CN"/>
                    </w:rPr>
                  </w:pPr>
                  <w:r>
                    <w:rPr>
                      <w:rFonts w:hint="eastAsia"/>
                      <w:color w:val="000000"/>
                      <w:sz w:val="21"/>
                      <w:szCs w:val="21"/>
                      <w:vertAlign w:val="baseline"/>
                      <w:lang w:val="en-US" w:eastAsia="zh-CN"/>
                    </w:rPr>
                    <w:t>mg/L</w:t>
                  </w:r>
                </w:p>
              </w:tc>
              <w:tc>
                <w:tcPr>
                  <w:tcW w:w="633" w:type="pct"/>
                  <w:noWrap w:val="0"/>
                  <w:vAlign w:val="center"/>
                </w:tcPr>
                <w:p w14:paraId="53CDF11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000000"/>
                      <w:sz w:val="21"/>
                      <w:szCs w:val="21"/>
                      <w:vertAlign w:val="baseline"/>
                      <w:lang w:val="en-US" w:eastAsia="zh-CN"/>
                    </w:rPr>
                  </w:pPr>
                  <w:r>
                    <w:rPr>
                      <w:rFonts w:hint="eastAsia"/>
                      <w:color w:val="000000"/>
                      <w:sz w:val="21"/>
                      <w:szCs w:val="21"/>
                      <w:vertAlign w:val="baseline"/>
                      <w:lang w:val="en-US" w:eastAsia="zh-CN"/>
                    </w:rPr>
                    <w:t>0.02L</w:t>
                  </w:r>
                </w:p>
              </w:tc>
              <w:tc>
                <w:tcPr>
                  <w:tcW w:w="650" w:type="pct"/>
                  <w:noWrap w:val="0"/>
                  <w:vAlign w:val="center"/>
                </w:tcPr>
                <w:p w14:paraId="7189ED3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000000"/>
                      <w:sz w:val="21"/>
                      <w:szCs w:val="21"/>
                      <w:vertAlign w:val="baseline"/>
                      <w:lang w:val="en-US" w:eastAsia="zh-CN"/>
                    </w:rPr>
                  </w:pPr>
                  <w:r>
                    <w:rPr>
                      <w:rFonts w:hint="eastAsia"/>
                      <w:color w:val="000000"/>
                      <w:sz w:val="21"/>
                      <w:szCs w:val="21"/>
                      <w:vertAlign w:val="baseline"/>
                      <w:lang w:val="en-US" w:eastAsia="zh-CN"/>
                    </w:rPr>
                    <w:t>0.3</w:t>
                  </w:r>
                </w:p>
              </w:tc>
              <w:tc>
                <w:tcPr>
                  <w:tcW w:w="674" w:type="pct"/>
                  <w:noWrap w:val="0"/>
                  <w:vAlign w:val="center"/>
                </w:tcPr>
                <w:p w14:paraId="0BB21CC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000000"/>
                      <w:sz w:val="21"/>
                      <w:szCs w:val="21"/>
                      <w:vertAlign w:val="baseline"/>
                      <w:lang w:val="en-US" w:eastAsia="zh-CN"/>
                    </w:rPr>
                  </w:pPr>
                  <w:r>
                    <w:rPr>
                      <w:rFonts w:hint="eastAsia"/>
                      <w:color w:val="000000"/>
                      <w:sz w:val="21"/>
                      <w:szCs w:val="21"/>
                      <w:vertAlign w:val="baseline"/>
                      <w:lang w:val="en-US" w:eastAsia="zh-CN"/>
                    </w:rPr>
                    <w:t>是</w:t>
                  </w:r>
                </w:p>
              </w:tc>
            </w:tr>
            <w:tr w14:paraId="22E59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48" w:type="pct"/>
                  <w:vMerge w:val="continue"/>
                  <w:noWrap w:val="0"/>
                  <w:vAlign w:val="center"/>
                </w:tcPr>
                <w:p w14:paraId="754005F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000000"/>
                      <w:sz w:val="21"/>
                      <w:szCs w:val="21"/>
                      <w:vertAlign w:val="baseline"/>
                      <w:lang w:val="en-US" w:eastAsia="zh-CN"/>
                    </w:rPr>
                  </w:pPr>
                </w:p>
              </w:tc>
              <w:tc>
                <w:tcPr>
                  <w:tcW w:w="702" w:type="pct"/>
                  <w:vMerge w:val="continue"/>
                  <w:noWrap w:val="0"/>
                  <w:vAlign w:val="center"/>
                </w:tcPr>
                <w:p w14:paraId="247A551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000000"/>
                      <w:sz w:val="21"/>
                      <w:szCs w:val="21"/>
                      <w:vertAlign w:val="baseline"/>
                      <w:lang w:val="en-US" w:eastAsia="zh-CN"/>
                    </w:rPr>
                  </w:pPr>
                </w:p>
              </w:tc>
              <w:tc>
                <w:tcPr>
                  <w:tcW w:w="1009" w:type="pct"/>
                  <w:noWrap w:val="0"/>
                  <w:vAlign w:val="center"/>
                </w:tcPr>
                <w:p w14:paraId="2FAD085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000000"/>
                      <w:sz w:val="21"/>
                      <w:szCs w:val="21"/>
                      <w:vertAlign w:val="baseline"/>
                      <w:lang w:val="en-US" w:eastAsia="zh-CN"/>
                    </w:rPr>
                  </w:pPr>
                  <w:r>
                    <w:rPr>
                      <w:rFonts w:hint="eastAsia"/>
                      <w:color w:val="000000"/>
                      <w:sz w:val="21"/>
                      <w:szCs w:val="21"/>
                      <w:vertAlign w:val="baseline"/>
                      <w:lang w:val="en-US" w:eastAsia="zh-CN"/>
                    </w:rPr>
                    <w:t>锰</w:t>
                  </w:r>
                </w:p>
              </w:tc>
              <w:tc>
                <w:tcPr>
                  <w:tcW w:w="680" w:type="pct"/>
                  <w:noWrap w:val="0"/>
                  <w:vAlign w:val="center"/>
                </w:tcPr>
                <w:p w14:paraId="34FF8AF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000000"/>
                      <w:sz w:val="21"/>
                      <w:szCs w:val="21"/>
                      <w:vertAlign w:val="baseline"/>
                      <w:lang w:val="en-US" w:eastAsia="zh-CN"/>
                    </w:rPr>
                  </w:pPr>
                  <w:r>
                    <w:rPr>
                      <w:rFonts w:hint="eastAsia"/>
                      <w:color w:val="000000"/>
                      <w:sz w:val="21"/>
                      <w:szCs w:val="21"/>
                      <w:vertAlign w:val="baseline"/>
                      <w:lang w:val="en-US" w:eastAsia="zh-CN"/>
                    </w:rPr>
                    <w:t>mg/L</w:t>
                  </w:r>
                </w:p>
              </w:tc>
              <w:tc>
                <w:tcPr>
                  <w:tcW w:w="633" w:type="pct"/>
                  <w:noWrap w:val="0"/>
                  <w:vAlign w:val="center"/>
                </w:tcPr>
                <w:p w14:paraId="495B714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000000"/>
                      <w:sz w:val="21"/>
                      <w:szCs w:val="21"/>
                      <w:vertAlign w:val="baseline"/>
                      <w:lang w:val="en-US" w:eastAsia="zh-CN"/>
                    </w:rPr>
                  </w:pPr>
                  <w:r>
                    <w:rPr>
                      <w:rFonts w:hint="eastAsia"/>
                      <w:color w:val="000000"/>
                      <w:sz w:val="21"/>
                      <w:szCs w:val="21"/>
                      <w:vertAlign w:val="baseline"/>
                      <w:lang w:val="en-US" w:eastAsia="zh-CN"/>
                    </w:rPr>
                    <w:t>0.004L</w:t>
                  </w:r>
                </w:p>
              </w:tc>
              <w:tc>
                <w:tcPr>
                  <w:tcW w:w="650" w:type="pct"/>
                  <w:noWrap w:val="0"/>
                  <w:vAlign w:val="center"/>
                </w:tcPr>
                <w:p w14:paraId="6D2223C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000000"/>
                      <w:sz w:val="21"/>
                      <w:szCs w:val="21"/>
                      <w:vertAlign w:val="baseline"/>
                      <w:lang w:val="en-US" w:eastAsia="zh-CN"/>
                    </w:rPr>
                  </w:pPr>
                  <w:r>
                    <w:rPr>
                      <w:rFonts w:hint="eastAsia"/>
                      <w:color w:val="000000"/>
                      <w:sz w:val="21"/>
                      <w:szCs w:val="21"/>
                      <w:vertAlign w:val="baseline"/>
                      <w:lang w:val="en-US" w:eastAsia="zh-CN"/>
                    </w:rPr>
                    <w:t>0.10</w:t>
                  </w:r>
                </w:p>
              </w:tc>
              <w:tc>
                <w:tcPr>
                  <w:tcW w:w="674" w:type="pct"/>
                  <w:noWrap w:val="0"/>
                  <w:vAlign w:val="center"/>
                </w:tcPr>
                <w:p w14:paraId="7CC92A3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000000"/>
                      <w:sz w:val="21"/>
                      <w:szCs w:val="21"/>
                      <w:vertAlign w:val="baseline"/>
                      <w:lang w:val="en-US" w:eastAsia="zh-CN"/>
                    </w:rPr>
                  </w:pPr>
                  <w:r>
                    <w:rPr>
                      <w:rFonts w:hint="eastAsia"/>
                      <w:color w:val="000000"/>
                      <w:sz w:val="21"/>
                      <w:szCs w:val="21"/>
                      <w:vertAlign w:val="baseline"/>
                      <w:lang w:val="en-US" w:eastAsia="zh-CN"/>
                    </w:rPr>
                    <w:t>是</w:t>
                  </w:r>
                </w:p>
              </w:tc>
            </w:tr>
            <w:tr w14:paraId="1C403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48" w:type="pct"/>
                  <w:vMerge w:val="continue"/>
                  <w:noWrap w:val="0"/>
                  <w:vAlign w:val="center"/>
                </w:tcPr>
                <w:p w14:paraId="1281DAD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000000"/>
                      <w:sz w:val="21"/>
                      <w:szCs w:val="21"/>
                      <w:vertAlign w:val="baseline"/>
                      <w:lang w:val="en-US" w:eastAsia="zh-CN"/>
                    </w:rPr>
                  </w:pPr>
                </w:p>
              </w:tc>
              <w:tc>
                <w:tcPr>
                  <w:tcW w:w="702" w:type="pct"/>
                  <w:vMerge w:val="continue"/>
                  <w:noWrap w:val="0"/>
                  <w:vAlign w:val="center"/>
                </w:tcPr>
                <w:p w14:paraId="538EB1E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000000"/>
                      <w:sz w:val="21"/>
                      <w:szCs w:val="21"/>
                      <w:vertAlign w:val="baseline"/>
                      <w:lang w:val="en-US" w:eastAsia="zh-CN"/>
                    </w:rPr>
                  </w:pPr>
                </w:p>
              </w:tc>
              <w:tc>
                <w:tcPr>
                  <w:tcW w:w="1009" w:type="pct"/>
                  <w:noWrap w:val="0"/>
                  <w:vAlign w:val="center"/>
                </w:tcPr>
                <w:p w14:paraId="27CAFF2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000000"/>
                      <w:sz w:val="21"/>
                      <w:szCs w:val="21"/>
                      <w:vertAlign w:val="baseline"/>
                      <w:lang w:val="en-US" w:eastAsia="zh-CN"/>
                    </w:rPr>
                  </w:pPr>
                  <w:r>
                    <w:rPr>
                      <w:rFonts w:hint="eastAsia"/>
                      <w:color w:val="000000"/>
                      <w:sz w:val="21"/>
                      <w:szCs w:val="21"/>
                      <w:vertAlign w:val="baseline"/>
                      <w:lang w:val="en-US" w:eastAsia="zh-CN"/>
                    </w:rPr>
                    <w:t>铜</w:t>
                  </w:r>
                </w:p>
              </w:tc>
              <w:tc>
                <w:tcPr>
                  <w:tcW w:w="680" w:type="pct"/>
                  <w:noWrap w:val="0"/>
                  <w:vAlign w:val="center"/>
                </w:tcPr>
                <w:p w14:paraId="234DF98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000000"/>
                      <w:sz w:val="21"/>
                      <w:szCs w:val="21"/>
                      <w:vertAlign w:val="baseline"/>
                      <w:lang w:val="en-US" w:eastAsia="zh-CN"/>
                    </w:rPr>
                  </w:pPr>
                  <w:r>
                    <w:rPr>
                      <w:rFonts w:hint="eastAsia"/>
                      <w:color w:val="000000"/>
                      <w:sz w:val="21"/>
                      <w:szCs w:val="21"/>
                      <w:vertAlign w:val="baseline"/>
                      <w:lang w:val="en-US" w:eastAsia="zh-CN"/>
                    </w:rPr>
                    <w:t>mg/L</w:t>
                  </w:r>
                </w:p>
              </w:tc>
              <w:tc>
                <w:tcPr>
                  <w:tcW w:w="633" w:type="pct"/>
                  <w:noWrap w:val="0"/>
                  <w:vAlign w:val="center"/>
                </w:tcPr>
                <w:p w14:paraId="0F318C6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000000"/>
                      <w:sz w:val="21"/>
                      <w:szCs w:val="21"/>
                      <w:vertAlign w:val="baseline"/>
                      <w:lang w:val="en-US" w:eastAsia="zh-CN"/>
                    </w:rPr>
                  </w:pPr>
                  <w:r>
                    <w:rPr>
                      <w:rFonts w:hint="eastAsia"/>
                      <w:color w:val="000000"/>
                      <w:sz w:val="21"/>
                      <w:szCs w:val="21"/>
                      <w:vertAlign w:val="baseline"/>
                      <w:lang w:val="en-US" w:eastAsia="zh-CN"/>
                    </w:rPr>
                    <w:t>0.006L</w:t>
                  </w:r>
                </w:p>
              </w:tc>
              <w:tc>
                <w:tcPr>
                  <w:tcW w:w="650" w:type="pct"/>
                  <w:noWrap w:val="0"/>
                  <w:vAlign w:val="center"/>
                </w:tcPr>
                <w:p w14:paraId="51BE8E4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000000"/>
                      <w:sz w:val="21"/>
                      <w:szCs w:val="21"/>
                      <w:vertAlign w:val="baseline"/>
                      <w:lang w:val="en-US" w:eastAsia="zh-CN"/>
                    </w:rPr>
                  </w:pPr>
                  <w:r>
                    <w:rPr>
                      <w:rFonts w:hint="eastAsia"/>
                      <w:color w:val="000000"/>
                      <w:sz w:val="21"/>
                      <w:szCs w:val="21"/>
                      <w:vertAlign w:val="baseline"/>
                      <w:lang w:val="en-US" w:eastAsia="zh-CN"/>
                    </w:rPr>
                    <w:t>1.00</w:t>
                  </w:r>
                </w:p>
              </w:tc>
              <w:tc>
                <w:tcPr>
                  <w:tcW w:w="674" w:type="pct"/>
                  <w:noWrap w:val="0"/>
                  <w:vAlign w:val="center"/>
                </w:tcPr>
                <w:p w14:paraId="4DB32F5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000000"/>
                      <w:sz w:val="21"/>
                      <w:szCs w:val="21"/>
                      <w:vertAlign w:val="baseline"/>
                      <w:lang w:val="en-US" w:eastAsia="zh-CN"/>
                    </w:rPr>
                  </w:pPr>
                  <w:r>
                    <w:rPr>
                      <w:rFonts w:hint="eastAsia"/>
                      <w:color w:val="000000"/>
                      <w:sz w:val="21"/>
                      <w:szCs w:val="21"/>
                      <w:vertAlign w:val="baseline"/>
                      <w:lang w:val="en-US" w:eastAsia="zh-CN"/>
                    </w:rPr>
                    <w:t>是</w:t>
                  </w:r>
                </w:p>
              </w:tc>
            </w:tr>
            <w:tr w14:paraId="78DCE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48" w:type="pct"/>
                  <w:vMerge w:val="continue"/>
                  <w:noWrap w:val="0"/>
                  <w:vAlign w:val="center"/>
                </w:tcPr>
                <w:p w14:paraId="3941D7D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000000"/>
                      <w:sz w:val="21"/>
                      <w:szCs w:val="21"/>
                      <w:vertAlign w:val="baseline"/>
                      <w:lang w:val="en-US" w:eastAsia="zh-CN"/>
                    </w:rPr>
                  </w:pPr>
                </w:p>
              </w:tc>
              <w:tc>
                <w:tcPr>
                  <w:tcW w:w="702" w:type="pct"/>
                  <w:vMerge w:val="continue"/>
                  <w:noWrap w:val="0"/>
                  <w:vAlign w:val="center"/>
                </w:tcPr>
                <w:p w14:paraId="5F4529A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000000"/>
                      <w:sz w:val="21"/>
                      <w:szCs w:val="21"/>
                      <w:vertAlign w:val="baseline"/>
                      <w:lang w:val="en-US" w:eastAsia="zh-CN"/>
                    </w:rPr>
                  </w:pPr>
                </w:p>
              </w:tc>
              <w:tc>
                <w:tcPr>
                  <w:tcW w:w="1009" w:type="pct"/>
                  <w:noWrap w:val="0"/>
                  <w:vAlign w:val="center"/>
                </w:tcPr>
                <w:p w14:paraId="273B11A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000000"/>
                      <w:sz w:val="21"/>
                      <w:szCs w:val="21"/>
                      <w:vertAlign w:val="baseline"/>
                      <w:lang w:val="en-US" w:eastAsia="zh-CN"/>
                    </w:rPr>
                  </w:pPr>
                  <w:r>
                    <w:rPr>
                      <w:rFonts w:hint="eastAsia"/>
                      <w:color w:val="000000"/>
                      <w:sz w:val="21"/>
                      <w:szCs w:val="21"/>
                      <w:vertAlign w:val="baseline"/>
                      <w:lang w:val="en-US" w:eastAsia="zh-CN"/>
                    </w:rPr>
                    <w:t>锌</w:t>
                  </w:r>
                </w:p>
              </w:tc>
              <w:tc>
                <w:tcPr>
                  <w:tcW w:w="680" w:type="pct"/>
                  <w:noWrap w:val="0"/>
                  <w:vAlign w:val="center"/>
                </w:tcPr>
                <w:p w14:paraId="55DAB88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000000"/>
                      <w:sz w:val="21"/>
                      <w:szCs w:val="21"/>
                      <w:vertAlign w:val="baseline"/>
                      <w:lang w:val="en-US" w:eastAsia="zh-CN"/>
                    </w:rPr>
                  </w:pPr>
                  <w:r>
                    <w:rPr>
                      <w:rFonts w:hint="eastAsia"/>
                      <w:color w:val="000000"/>
                      <w:sz w:val="21"/>
                      <w:szCs w:val="21"/>
                      <w:vertAlign w:val="baseline"/>
                      <w:lang w:val="en-US" w:eastAsia="zh-CN"/>
                    </w:rPr>
                    <w:t>mg/L</w:t>
                  </w:r>
                </w:p>
              </w:tc>
              <w:tc>
                <w:tcPr>
                  <w:tcW w:w="633" w:type="pct"/>
                  <w:noWrap w:val="0"/>
                  <w:vAlign w:val="center"/>
                </w:tcPr>
                <w:p w14:paraId="4C2D6F2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000000"/>
                      <w:sz w:val="21"/>
                      <w:szCs w:val="21"/>
                      <w:vertAlign w:val="baseline"/>
                      <w:lang w:val="en-US" w:eastAsia="zh-CN"/>
                    </w:rPr>
                  </w:pPr>
                  <w:r>
                    <w:rPr>
                      <w:rFonts w:hint="eastAsia"/>
                      <w:color w:val="000000"/>
                      <w:sz w:val="21"/>
                      <w:szCs w:val="21"/>
                      <w:vertAlign w:val="baseline"/>
                      <w:lang w:val="en-US" w:eastAsia="zh-CN"/>
                    </w:rPr>
                    <w:t>0.004L</w:t>
                  </w:r>
                </w:p>
              </w:tc>
              <w:tc>
                <w:tcPr>
                  <w:tcW w:w="650" w:type="pct"/>
                  <w:noWrap w:val="0"/>
                  <w:vAlign w:val="center"/>
                </w:tcPr>
                <w:p w14:paraId="3F2CA9C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000000"/>
                      <w:sz w:val="21"/>
                      <w:szCs w:val="21"/>
                      <w:vertAlign w:val="baseline"/>
                      <w:lang w:val="en-US" w:eastAsia="zh-CN"/>
                    </w:rPr>
                  </w:pPr>
                  <w:r>
                    <w:rPr>
                      <w:rFonts w:hint="eastAsia"/>
                      <w:color w:val="000000"/>
                      <w:sz w:val="21"/>
                      <w:szCs w:val="21"/>
                      <w:vertAlign w:val="baseline"/>
                      <w:lang w:val="en-US" w:eastAsia="zh-CN"/>
                    </w:rPr>
                    <w:t>1.00</w:t>
                  </w:r>
                </w:p>
              </w:tc>
              <w:tc>
                <w:tcPr>
                  <w:tcW w:w="674" w:type="pct"/>
                  <w:noWrap w:val="0"/>
                  <w:vAlign w:val="center"/>
                </w:tcPr>
                <w:p w14:paraId="071151E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000000"/>
                      <w:sz w:val="21"/>
                      <w:szCs w:val="21"/>
                      <w:vertAlign w:val="baseline"/>
                      <w:lang w:val="en-US" w:eastAsia="zh-CN"/>
                    </w:rPr>
                  </w:pPr>
                  <w:r>
                    <w:rPr>
                      <w:rFonts w:hint="eastAsia"/>
                      <w:color w:val="000000"/>
                      <w:sz w:val="21"/>
                      <w:szCs w:val="21"/>
                      <w:vertAlign w:val="baseline"/>
                      <w:lang w:val="en-US" w:eastAsia="zh-CN"/>
                    </w:rPr>
                    <w:t>是</w:t>
                  </w:r>
                </w:p>
              </w:tc>
            </w:tr>
            <w:tr w14:paraId="70CB1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48" w:type="pct"/>
                  <w:vMerge w:val="continue"/>
                  <w:noWrap w:val="0"/>
                  <w:vAlign w:val="center"/>
                </w:tcPr>
                <w:p w14:paraId="74A6A89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000000"/>
                      <w:sz w:val="21"/>
                      <w:szCs w:val="21"/>
                      <w:vertAlign w:val="baseline"/>
                      <w:lang w:val="en-US" w:eastAsia="zh-CN"/>
                    </w:rPr>
                  </w:pPr>
                </w:p>
              </w:tc>
              <w:tc>
                <w:tcPr>
                  <w:tcW w:w="702" w:type="pct"/>
                  <w:vMerge w:val="continue"/>
                  <w:noWrap w:val="0"/>
                  <w:vAlign w:val="center"/>
                </w:tcPr>
                <w:p w14:paraId="7A12205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000000"/>
                      <w:sz w:val="21"/>
                      <w:szCs w:val="21"/>
                      <w:vertAlign w:val="baseline"/>
                      <w:lang w:val="en-US" w:eastAsia="zh-CN"/>
                    </w:rPr>
                  </w:pPr>
                </w:p>
              </w:tc>
              <w:tc>
                <w:tcPr>
                  <w:tcW w:w="1009" w:type="pct"/>
                  <w:noWrap w:val="0"/>
                  <w:vAlign w:val="center"/>
                </w:tcPr>
                <w:p w14:paraId="34526FC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000000"/>
                      <w:sz w:val="21"/>
                      <w:szCs w:val="21"/>
                      <w:vertAlign w:val="baseline"/>
                      <w:lang w:val="en-US" w:eastAsia="zh-CN"/>
                    </w:rPr>
                  </w:pPr>
                  <w:r>
                    <w:rPr>
                      <w:rFonts w:hint="eastAsia"/>
                      <w:color w:val="000000"/>
                      <w:sz w:val="21"/>
                      <w:szCs w:val="21"/>
                      <w:vertAlign w:val="baseline"/>
                      <w:lang w:val="en-US" w:eastAsia="zh-CN"/>
                    </w:rPr>
                    <w:t>镉</w:t>
                  </w:r>
                </w:p>
              </w:tc>
              <w:tc>
                <w:tcPr>
                  <w:tcW w:w="680" w:type="pct"/>
                  <w:noWrap w:val="0"/>
                  <w:vAlign w:val="center"/>
                </w:tcPr>
                <w:p w14:paraId="25C8D2C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000000"/>
                      <w:sz w:val="21"/>
                      <w:szCs w:val="21"/>
                      <w:vertAlign w:val="baseline"/>
                      <w:lang w:val="en-US" w:eastAsia="zh-CN"/>
                    </w:rPr>
                  </w:pPr>
                  <w:r>
                    <w:rPr>
                      <w:rFonts w:hint="eastAsia"/>
                      <w:color w:val="000000"/>
                      <w:sz w:val="21"/>
                      <w:szCs w:val="21"/>
                      <w:vertAlign w:val="baseline"/>
                      <w:lang w:val="en-US" w:eastAsia="zh-CN"/>
                    </w:rPr>
                    <w:t>mg/L</w:t>
                  </w:r>
                </w:p>
              </w:tc>
              <w:tc>
                <w:tcPr>
                  <w:tcW w:w="633" w:type="pct"/>
                  <w:noWrap w:val="0"/>
                  <w:vAlign w:val="center"/>
                </w:tcPr>
                <w:p w14:paraId="50864E6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2"/>
                      <w:sz w:val="21"/>
                      <w:szCs w:val="21"/>
                      <w:vertAlign w:val="baseline"/>
                      <w:lang w:val="en-US" w:eastAsia="zh-CN" w:bidi="ar-SA"/>
                    </w:rPr>
                  </w:pPr>
                  <w:r>
                    <w:rPr>
                      <w:rFonts w:hint="eastAsia"/>
                      <w:color w:val="000000"/>
                      <w:sz w:val="21"/>
                      <w:szCs w:val="21"/>
                      <w:vertAlign w:val="baseline"/>
                      <w:lang w:val="en-US" w:eastAsia="zh-CN"/>
                    </w:rPr>
                    <w:t>0.00006L</w:t>
                  </w:r>
                </w:p>
              </w:tc>
              <w:tc>
                <w:tcPr>
                  <w:tcW w:w="650" w:type="pct"/>
                  <w:noWrap w:val="0"/>
                  <w:vAlign w:val="center"/>
                </w:tcPr>
                <w:p w14:paraId="360314A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000000"/>
                      <w:sz w:val="21"/>
                      <w:szCs w:val="21"/>
                      <w:vertAlign w:val="baseline"/>
                      <w:lang w:val="en-US" w:eastAsia="zh-CN"/>
                    </w:rPr>
                  </w:pPr>
                  <w:r>
                    <w:rPr>
                      <w:rFonts w:hint="eastAsia"/>
                      <w:color w:val="000000"/>
                      <w:sz w:val="21"/>
                      <w:szCs w:val="21"/>
                      <w:vertAlign w:val="baseline"/>
                      <w:lang w:val="en-US" w:eastAsia="zh-CN"/>
                    </w:rPr>
                    <w:t>0.005</w:t>
                  </w:r>
                </w:p>
              </w:tc>
              <w:tc>
                <w:tcPr>
                  <w:tcW w:w="674" w:type="pct"/>
                  <w:noWrap w:val="0"/>
                  <w:vAlign w:val="center"/>
                </w:tcPr>
                <w:p w14:paraId="087F5FE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000000"/>
                      <w:sz w:val="21"/>
                      <w:szCs w:val="21"/>
                      <w:vertAlign w:val="baseline"/>
                      <w:lang w:val="en-US" w:eastAsia="zh-CN"/>
                    </w:rPr>
                  </w:pPr>
                  <w:r>
                    <w:rPr>
                      <w:rFonts w:hint="eastAsia"/>
                      <w:color w:val="000000"/>
                      <w:sz w:val="21"/>
                      <w:szCs w:val="21"/>
                      <w:vertAlign w:val="baseline"/>
                      <w:lang w:val="en-US" w:eastAsia="zh-CN"/>
                    </w:rPr>
                    <w:t>是</w:t>
                  </w:r>
                </w:p>
              </w:tc>
            </w:tr>
            <w:tr w14:paraId="7B3EB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48" w:type="pct"/>
                  <w:vMerge w:val="continue"/>
                  <w:noWrap w:val="0"/>
                  <w:vAlign w:val="center"/>
                </w:tcPr>
                <w:p w14:paraId="1DDFCB3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000000"/>
                      <w:sz w:val="21"/>
                      <w:szCs w:val="21"/>
                      <w:vertAlign w:val="baseline"/>
                      <w:lang w:val="en-US" w:eastAsia="zh-CN"/>
                    </w:rPr>
                  </w:pPr>
                </w:p>
              </w:tc>
              <w:tc>
                <w:tcPr>
                  <w:tcW w:w="702" w:type="pct"/>
                  <w:vMerge w:val="continue"/>
                  <w:noWrap w:val="0"/>
                  <w:vAlign w:val="center"/>
                </w:tcPr>
                <w:p w14:paraId="2D96C2C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000000"/>
                      <w:sz w:val="21"/>
                      <w:szCs w:val="21"/>
                      <w:vertAlign w:val="baseline"/>
                      <w:lang w:val="en-US" w:eastAsia="zh-CN"/>
                    </w:rPr>
                  </w:pPr>
                </w:p>
              </w:tc>
              <w:tc>
                <w:tcPr>
                  <w:tcW w:w="1009" w:type="pct"/>
                  <w:noWrap w:val="0"/>
                  <w:vAlign w:val="center"/>
                </w:tcPr>
                <w:p w14:paraId="1A4B7B2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000000"/>
                      <w:sz w:val="21"/>
                      <w:szCs w:val="21"/>
                      <w:vertAlign w:val="baseline"/>
                      <w:lang w:val="en-US" w:eastAsia="zh-CN"/>
                    </w:rPr>
                  </w:pPr>
                  <w:r>
                    <w:rPr>
                      <w:rFonts w:hint="eastAsia"/>
                      <w:color w:val="000000"/>
                      <w:sz w:val="21"/>
                      <w:szCs w:val="21"/>
                      <w:vertAlign w:val="baseline"/>
                      <w:lang w:val="en-US" w:eastAsia="zh-CN"/>
                    </w:rPr>
                    <w:t>镍</w:t>
                  </w:r>
                </w:p>
              </w:tc>
              <w:tc>
                <w:tcPr>
                  <w:tcW w:w="680" w:type="pct"/>
                  <w:noWrap w:val="0"/>
                  <w:vAlign w:val="center"/>
                </w:tcPr>
                <w:p w14:paraId="5D4E73E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000000"/>
                      <w:sz w:val="21"/>
                      <w:szCs w:val="21"/>
                      <w:vertAlign w:val="baseline"/>
                      <w:lang w:val="en-US" w:eastAsia="zh-CN"/>
                    </w:rPr>
                  </w:pPr>
                  <w:r>
                    <w:rPr>
                      <w:rFonts w:hint="eastAsia"/>
                      <w:color w:val="000000"/>
                      <w:sz w:val="21"/>
                      <w:szCs w:val="21"/>
                      <w:vertAlign w:val="baseline"/>
                      <w:lang w:val="en-US" w:eastAsia="zh-CN"/>
                    </w:rPr>
                    <w:t>mg/L</w:t>
                  </w:r>
                </w:p>
              </w:tc>
              <w:tc>
                <w:tcPr>
                  <w:tcW w:w="633" w:type="pct"/>
                  <w:noWrap w:val="0"/>
                  <w:vAlign w:val="center"/>
                </w:tcPr>
                <w:p w14:paraId="3BF92C2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2"/>
                      <w:sz w:val="21"/>
                      <w:szCs w:val="21"/>
                      <w:vertAlign w:val="baseline"/>
                      <w:lang w:val="en-US" w:eastAsia="zh-CN" w:bidi="ar-SA"/>
                    </w:rPr>
                  </w:pPr>
                  <w:r>
                    <w:rPr>
                      <w:rFonts w:hint="eastAsia"/>
                      <w:color w:val="000000"/>
                      <w:sz w:val="21"/>
                      <w:szCs w:val="21"/>
                      <w:vertAlign w:val="baseline"/>
                      <w:lang w:val="en-US" w:eastAsia="zh-CN"/>
                    </w:rPr>
                    <w:t>0.007L</w:t>
                  </w:r>
                </w:p>
              </w:tc>
              <w:tc>
                <w:tcPr>
                  <w:tcW w:w="650" w:type="pct"/>
                  <w:noWrap w:val="0"/>
                  <w:vAlign w:val="center"/>
                </w:tcPr>
                <w:p w14:paraId="1537828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000000"/>
                      <w:sz w:val="21"/>
                      <w:szCs w:val="21"/>
                      <w:vertAlign w:val="baseline"/>
                      <w:lang w:val="en-US" w:eastAsia="zh-CN"/>
                    </w:rPr>
                  </w:pPr>
                  <w:r>
                    <w:rPr>
                      <w:rFonts w:hint="eastAsia"/>
                      <w:color w:val="000000"/>
                      <w:sz w:val="21"/>
                      <w:szCs w:val="21"/>
                      <w:vertAlign w:val="baseline"/>
                      <w:lang w:val="en-US" w:eastAsia="zh-CN"/>
                    </w:rPr>
                    <w:t>0.02</w:t>
                  </w:r>
                </w:p>
              </w:tc>
              <w:tc>
                <w:tcPr>
                  <w:tcW w:w="674" w:type="pct"/>
                  <w:noWrap w:val="0"/>
                  <w:vAlign w:val="center"/>
                </w:tcPr>
                <w:p w14:paraId="2957A7D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000000"/>
                      <w:sz w:val="21"/>
                      <w:szCs w:val="21"/>
                      <w:vertAlign w:val="baseline"/>
                      <w:lang w:val="en-US" w:eastAsia="zh-CN"/>
                    </w:rPr>
                  </w:pPr>
                  <w:r>
                    <w:rPr>
                      <w:rFonts w:hint="eastAsia"/>
                      <w:color w:val="000000"/>
                      <w:sz w:val="21"/>
                      <w:szCs w:val="21"/>
                      <w:vertAlign w:val="baseline"/>
                      <w:lang w:val="en-US" w:eastAsia="zh-CN"/>
                    </w:rPr>
                    <w:t>是</w:t>
                  </w:r>
                </w:p>
              </w:tc>
            </w:tr>
            <w:tr w14:paraId="6755B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48" w:type="pct"/>
                  <w:vMerge w:val="continue"/>
                  <w:noWrap w:val="0"/>
                  <w:vAlign w:val="center"/>
                </w:tcPr>
                <w:p w14:paraId="0804B6A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000000"/>
                      <w:sz w:val="21"/>
                      <w:szCs w:val="21"/>
                      <w:vertAlign w:val="baseline"/>
                      <w:lang w:val="en-US" w:eastAsia="zh-CN"/>
                    </w:rPr>
                  </w:pPr>
                </w:p>
              </w:tc>
              <w:tc>
                <w:tcPr>
                  <w:tcW w:w="702" w:type="pct"/>
                  <w:vMerge w:val="continue"/>
                  <w:noWrap w:val="0"/>
                  <w:vAlign w:val="center"/>
                </w:tcPr>
                <w:p w14:paraId="7241992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000000"/>
                      <w:sz w:val="21"/>
                      <w:szCs w:val="21"/>
                      <w:vertAlign w:val="baseline"/>
                      <w:lang w:val="en-US" w:eastAsia="zh-CN"/>
                    </w:rPr>
                  </w:pPr>
                </w:p>
              </w:tc>
              <w:tc>
                <w:tcPr>
                  <w:tcW w:w="1009" w:type="pct"/>
                  <w:noWrap w:val="0"/>
                  <w:vAlign w:val="center"/>
                </w:tcPr>
                <w:p w14:paraId="67EE24C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000000"/>
                      <w:sz w:val="21"/>
                      <w:szCs w:val="21"/>
                      <w:vertAlign w:val="baseline"/>
                      <w:lang w:val="en-US" w:eastAsia="zh-CN"/>
                    </w:rPr>
                  </w:pPr>
                  <w:r>
                    <w:rPr>
                      <w:rFonts w:hint="eastAsia"/>
                      <w:color w:val="000000"/>
                      <w:sz w:val="21"/>
                      <w:szCs w:val="21"/>
                      <w:vertAlign w:val="baseline"/>
                      <w:lang w:val="en-US" w:eastAsia="zh-CN"/>
                    </w:rPr>
                    <w:t>铅</w:t>
                  </w:r>
                </w:p>
              </w:tc>
              <w:tc>
                <w:tcPr>
                  <w:tcW w:w="680" w:type="pct"/>
                  <w:noWrap w:val="0"/>
                  <w:vAlign w:val="center"/>
                </w:tcPr>
                <w:p w14:paraId="09C60E5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000000"/>
                      <w:sz w:val="21"/>
                      <w:szCs w:val="21"/>
                      <w:vertAlign w:val="baseline"/>
                      <w:lang w:val="en-US" w:eastAsia="zh-CN"/>
                    </w:rPr>
                  </w:pPr>
                  <w:r>
                    <w:rPr>
                      <w:rFonts w:hint="eastAsia"/>
                      <w:color w:val="000000"/>
                      <w:sz w:val="21"/>
                      <w:szCs w:val="21"/>
                      <w:vertAlign w:val="baseline"/>
                      <w:lang w:val="en-US" w:eastAsia="zh-CN"/>
                    </w:rPr>
                    <w:t>mg/L</w:t>
                  </w:r>
                </w:p>
              </w:tc>
              <w:tc>
                <w:tcPr>
                  <w:tcW w:w="633" w:type="pct"/>
                  <w:noWrap w:val="0"/>
                  <w:vAlign w:val="center"/>
                </w:tcPr>
                <w:p w14:paraId="6BFE2EB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000000"/>
                      <w:kern w:val="2"/>
                      <w:sz w:val="24"/>
                      <w:szCs w:val="24"/>
                      <w:lang w:val="en-US" w:eastAsia="zh-CN" w:bidi="ar-SA"/>
                    </w:rPr>
                  </w:pPr>
                  <w:r>
                    <w:rPr>
                      <w:rFonts w:hint="eastAsia"/>
                      <w:color w:val="000000"/>
                      <w:sz w:val="21"/>
                      <w:szCs w:val="21"/>
                      <w:vertAlign w:val="baseline"/>
                      <w:lang w:val="en-US" w:eastAsia="zh-CN"/>
                    </w:rPr>
                    <w:t>0.00007L</w:t>
                  </w:r>
                </w:p>
              </w:tc>
              <w:tc>
                <w:tcPr>
                  <w:tcW w:w="650" w:type="pct"/>
                  <w:noWrap w:val="0"/>
                  <w:vAlign w:val="center"/>
                </w:tcPr>
                <w:p w14:paraId="5417C7A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000000"/>
                      <w:sz w:val="21"/>
                      <w:szCs w:val="21"/>
                      <w:vertAlign w:val="baseline"/>
                      <w:lang w:val="en-US" w:eastAsia="zh-CN"/>
                    </w:rPr>
                  </w:pPr>
                  <w:r>
                    <w:rPr>
                      <w:rFonts w:hint="eastAsia"/>
                      <w:color w:val="000000"/>
                      <w:sz w:val="21"/>
                      <w:szCs w:val="21"/>
                      <w:vertAlign w:val="baseline"/>
                      <w:lang w:val="en-US" w:eastAsia="zh-CN"/>
                    </w:rPr>
                    <w:t>0.01</w:t>
                  </w:r>
                </w:p>
              </w:tc>
              <w:tc>
                <w:tcPr>
                  <w:tcW w:w="674" w:type="pct"/>
                  <w:noWrap w:val="0"/>
                  <w:vAlign w:val="center"/>
                </w:tcPr>
                <w:p w14:paraId="54992DE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000000"/>
                      <w:sz w:val="21"/>
                      <w:szCs w:val="21"/>
                      <w:vertAlign w:val="baseline"/>
                      <w:lang w:val="en-US" w:eastAsia="zh-CN"/>
                    </w:rPr>
                  </w:pPr>
                  <w:r>
                    <w:rPr>
                      <w:rFonts w:hint="eastAsia"/>
                      <w:color w:val="000000"/>
                      <w:sz w:val="21"/>
                      <w:szCs w:val="21"/>
                      <w:vertAlign w:val="baseline"/>
                      <w:lang w:val="en-US" w:eastAsia="zh-CN"/>
                    </w:rPr>
                    <w:t>是</w:t>
                  </w:r>
                </w:p>
              </w:tc>
            </w:tr>
            <w:tr w14:paraId="52E7B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48" w:type="pct"/>
                  <w:vMerge w:val="continue"/>
                  <w:noWrap w:val="0"/>
                  <w:vAlign w:val="center"/>
                </w:tcPr>
                <w:p w14:paraId="461D5C6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000000"/>
                      <w:sz w:val="21"/>
                      <w:szCs w:val="21"/>
                      <w:vertAlign w:val="baseline"/>
                      <w:lang w:val="en-US" w:eastAsia="zh-CN"/>
                    </w:rPr>
                  </w:pPr>
                </w:p>
              </w:tc>
              <w:tc>
                <w:tcPr>
                  <w:tcW w:w="702" w:type="pct"/>
                  <w:vMerge w:val="continue"/>
                  <w:noWrap w:val="0"/>
                  <w:vAlign w:val="center"/>
                </w:tcPr>
                <w:p w14:paraId="2E4ED5A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000000"/>
                      <w:sz w:val="21"/>
                      <w:szCs w:val="21"/>
                      <w:vertAlign w:val="baseline"/>
                      <w:lang w:val="en-US" w:eastAsia="zh-CN"/>
                    </w:rPr>
                  </w:pPr>
                </w:p>
              </w:tc>
              <w:tc>
                <w:tcPr>
                  <w:tcW w:w="1009" w:type="pct"/>
                  <w:noWrap w:val="0"/>
                  <w:vAlign w:val="center"/>
                </w:tcPr>
                <w:p w14:paraId="763E44E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000000"/>
                      <w:sz w:val="21"/>
                      <w:szCs w:val="21"/>
                      <w:vertAlign w:val="baseline"/>
                      <w:lang w:val="en-US" w:eastAsia="zh-CN"/>
                    </w:rPr>
                  </w:pPr>
                  <w:r>
                    <w:rPr>
                      <w:rFonts w:hint="eastAsia"/>
                      <w:color w:val="000000"/>
                      <w:sz w:val="21"/>
                      <w:szCs w:val="21"/>
                      <w:vertAlign w:val="baseline"/>
                      <w:lang w:val="en-US" w:eastAsia="zh-CN"/>
                    </w:rPr>
                    <w:t>六价铬</w:t>
                  </w:r>
                </w:p>
              </w:tc>
              <w:tc>
                <w:tcPr>
                  <w:tcW w:w="680" w:type="pct"/>
                  <w:noWrap w:val="0"/>
                  <w:vAlign w:val="center"/>
                </w:tcPr>
                <w:p w14:paraId="16137AB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000000"/>
                      <w:sz w:val="21"/>
                      <w:szCs w:val="21"/>
                      <w:vertAlign w:val="baseline"/>
                      <w:lang w:val="en-US" w:eastAsia="zh-CN"/>
                    </w:rPr>
                  </w:pPr>
                  <w:r>
                    <w:rPr>
                      <w:rFonts w:hint="eastAsia"/>
                      <w:color w:val="000000"/>
                      <w:sz w:val="21"/>
                      <w:szCs w:val="21"/>
                      <w:vertAlign w:val="baseline"/>
                      <w:lang w:val="en-US" w:eastAsia="zh-CN"/>
                    </w:rPr>
                    <w:t>mg/L</w:t>
                  </w:r>
                </w:p>
              </w:tc>
              <w:tc>
                <w:tcPr>
                  <w:tcW w:w="633" w:type="pct"/>
                  <w:noWrap w:val="0"/>
                  <w:vAlign w:val="center"/>
                </w:tcPr>
                <w:p w14:paraId="52E1E44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000000"/>
                      <w:sz w:val="21"/>
                      <w:szCs w:val="21"/>
                      <w:vertAlign w:val="baseline"/>
                      <w:lang w:val="en-US" w:eastAsia="zh-CN"/>
                    </w:rPr>
                  </w:pPr>
                  <w:r>
                    <w:rPr>
                      <w:rFonts w:hint="eastAsia"/>
                      <w:color w:val="000000"/>
                      <w:sz w:val="21"/>
                      <w:szCs w:val="21"/>
                      <w:vertAlign w:val="baseline"/>
                      <w:lang w:val="en-US" w:eastAsia="zh-CN"/>
                    </w:rPr>
                    <w:t>0.013</w:t>
                  </w:r>
                </w:p>
              </w:tc>
              <w:tc>
                <w:tcPr>
                  <w:tcW w:w="650" w:type="pct"/>
                  <w:noWrap w:val="0"/>
                  <w:vAlign w:val="center"/>
                </w:tcPr>
                <w:p w14:paraId="5DA468F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000000"/>
                      <w:sz w:val="21"/>
                      <w:szCs w:val="21"/>
                      <w:vertAlign w:val="baseline"/>
                      <w:lang w:val="en-US" w:eastAsia="zh-CN"/>
                    </w:rPr>
                  </w:pPr>
                  <w:r>
                    <w:rPr>
                      <w:rFonts w:hint="eastAsia"/>
                      <w:color w:val="000000"/>
                      <w:sz w:val="21"/>
                      <w:szCs w:val="21"/>
                      <w:vertAlign w:val="baseline"/>
                      <w:lang w:val="en-US" w:eastAsia="zh-CN"/>
                    </w:rPr>
                    <w:t>0.05</w:t>
                  </w:r>
                </w:p>
              </w:tc>
              <w:tc>
                <w:tcPr>
                  <w:tcW w:w="674" w:type="pct"/>
                  <w:noWrap w:val="0"/>
                  <w:vAlign w:val="center"/>
                </w:tcPr>
                <w:p w14:paraId="43886CA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000000"/>
                      <w:sz w:val="21"/>
                      <w:szCs w:val="21"/>
                      <w:vertAlign w:val="baseline"/>
                      <w:lang w:val="en-US" w:eastAsia="zh-CN"/>
                    </w:rPr>
                  </w:pPr>
                  <w:r>
                    <w:rPr>
                      <w:rFonts w:hint="eastAsia"/>
                      <w:color w:val="000000"/>
                      <w:sz w:val="21"/>
                      <w:szCs w:val="21"/>
                      <w:vertAlign w:val="baseline"/>
                      <w:lang w:val="en-US" w:eastAsia="zh-CN"/>
                    </w:rPr>
                    <w:t>是</w:t>
                  </w:r>
                </w:p>
              </w:tc>
            </w:tr>
            <w:tr w14:paraId="307EB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48" w:type="pct"/>
                  <w:vMerge w:val="continue"/>
                  <w:noWrap w:val="0"/>
                  <w:vAlign w:val="center"/>
                </w:tcPr>
                <w:p w14:paraId="4D825A7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000000"/>
                      <w:sz w:val="21"/>
                      <w:szCs w:val="21"/>
                      <w:vertAlign w:val="baseline"/>
                      <w:lang w:val="en-US" w:eastAsia="zh-CN"/>
                    </w:rPr>
                  </w:pPr>
                </w:p>
              </w:tc>
              <w:tc>
                <w:tcPr>
                  <w:tcW w:w="702" w:type="pct"/>
                  <w:vMerge w:val="continue"/>
                  <w:noWrap w:val="0"/>
                  <w:vAlign w:val="center"/>
                </w:tcPr>
                <w:p w14:paraId="364F66B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000000"/>
                      <w:sz w:val="21"/>
                      <w:szCs w:val="21"/>
                      <w:vertAlign w:val="baseline"/>
                      <w:lang w:val="en-US" w:eastAsia="zh-CN"/>
                    </w:rPr>
                  </w:pPr>
                </w:p>
              </w:tc>
              <w:tc>
                <w:tcPr>
                  <w:tcW w:w="1009" w:type="pct"/>
                  <w:noWrap w:val="0"/>
                  <w:vAlign w:val="center"/>
                </w:tcPr>
                <w:p w14:paraId="37712AC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000000"/>
                      <w:sz w:val="21"/>
                      <w:szCs w:val="21"/>
                      <w:vertAlign w:val="baseline"/>
                      <w:lang w:val="en-US" w:eastAsia="zh-CN"/>
                    </w:rPr>
                  </w:pPr>
                  <w:r>
                    <w:rPr>
                      <w:rFonts w:hint="eastAsia"/>
                      <w:color w:val="000000"/>
                      <w:sz w:val="21"/>
                      <w:szCs w:val="21"/>
                      <w:vertAlign w:val="baseline"/>
                      <w:lang w:val="en-US" w:eastAsia="zh-CN"/>
                    </w:rPr>
                    <w:t>挥发性酚类</w:t>
                  </w:r>
                </w:p>
                <w:p w14:paraId="31F68E6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000000"/>
                      <w:sz w:val="21"/>
                      <w:szCs w:val="21"/>
                      <w:vertAlign w:val="baseline"/>
                      <w:lang w:val="en-US" w:eastAsia="zh-CN"/>
                    </w:rPr>
                  </w:pPr>
                  <w:r>
                    <w:rPr>
                      <w:rFonts w:hint="eastAsia"/>
                      <w:color w:val="000000"/>
                      <w:sz w:val="21"/>
                      <w:szCs w:val="21"/>
                      <w:vertAlign w:val="baseline"/>
                      <w:lang w:val="en-US" w:eastAsia="zh-CN"/>
                    </w:rPr>
                    <w:t>（以苯酚计）</w:t>
                  </w:r>
                </w:p>
              </w:tc>
              <w:tc>
                <w:tcPr>
                  <w:tcW w:w="680" w:type="pct"/>
                  <w:noWrap w:val="0"/>
                  <w:vAlign w:val="center"/>
                </w:tcPr>
                <w:p w14:paraId="2D824EA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000000"/>
                      <w:sz w:val="21"/>
                      <w:szCs w:val="21"/>
                      <w:vertAlign w:val="baseline"/>
                      <w:lang w:val="en-US" w:eastAsia="zh-CN"/>
                    </w:rPr>
                  </w:pPr>
                  <w:r>
                    <w:rPr>
                      <w:rFonts w:hint="eastAsia"/>
                      <w:color w:val="000000"/>
                      <w:sz w:val="21"/>
                      <w:szCs w:val="21"/>
                      <w:vertAlign w:val="baseline"/>
                      <w:lang w:val="en-US" w:eastAsia="zh-CN"/>
                    </w:rPr>
                    <w:t>mg/L</w:t>
                  </w:r>
                </w:p>
              </w:tc>
              <w:tc>
                <w:tcPr>
                  <w:tcW w:w="633" w:type="pct"/>
                  <w:noWrap w:val="0"/>
                  <w:vAlign w:val="center"/>
                </w:tcPr>
                <w:p w14:paraId="7FB1A41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000000"/>
                      <w:sz w:val="21"/>
                      <w:szCs w:val="21"/>
                      <w:vertAlign w:val="baseline"/>
                      <w:lang w:val="en-US" w:eastAsia="zh-CN"/>
                    </w:rPr>
                  </w:pPr>
                  <w:r>
                    <w:rPr>
                      <w:rFonts w:hint="eastAsia"/>
                      <w:color w:val="000000"/>
                      <w:sz w:val="21"/>
                      <w:szCs w:val="21"/>
                      <w:vertAlign w:val="baseline"/>
                      <w:lang w:val="en-US" w:eastAsia="zh-CN"/>
                    </w:rPr>
                    <w:t>0.0003L</w:t>
                  </w:r>
                </w:p>
              </w:tc>
              <w:tc>
                <w:tcPr>
                  <w:tcW w:w="650" w:type="pct"/>
                  <w:noWrap w:val="0"/>
                  <w:vAlign w:val="center"/>
                </w:tcPr>
                <w:p w14:paraId="141DCFD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000000"/>
                      <w:sz w:val="21"/>
                      <w:szCs w:val="21"/>
                      <w:vertAlign w:val="baseline"/>
                      <w:lang w:val="en-US" w:eastAsia="zh-CN"/>
                    </w:rPr>
                  </w:pPr>
                  <w:r>
                    <w:rPr>
                      <w:rFonts w:hint="eastAsia"/>
                      <w:color w:val="000000"/>
                      <w:sz w:val="21"/>
                      <w:szCs w:val="21"/>
                      <w:vertAlign w:val="baseline"/>
                      <w:lang w:val="en-US" w:eastAsia="zh-CN"/>
                    </w:rPr>
                    <w:t>0.002</w:t>
                  </w:r>
                </w:p>
              </w:tc>
              <w:tc>
                <w:tcPr>
                  <w:tcW w:w="674" w:type="pct"/>
                  <w:noWrap w:val="0"/>
                  <w:vAlign w:val="center"/>
                </w:tcPr>
                <w:p w14:paraId="5098BEA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000000"/>
                      <w:sz w:val="21"/>
                      <w:szCs w:val="21"/>
                      <w:vertAlign w:val="baseline"/>
                      <w:lang w:val="en-US" w:eastAsia="zh-CN"/>
                    </w:rPr>
                  </w:pPr>
                  <w:r>
                    <w:rPr>
                      <w:rFonts w:hint="eastAsia"/>
                      <w:color w:val="000000"/>
                      <w:sz w:val="21"/>
                      <w:szCs w:val="21"/>
                      <w:vertAlign w:val="baseline"/>
                      <w:lang w:val="en-US" w:eastAsia="zh-CN"/>
                    </w:rPr>
                    <w:t>是</w:t>
                  </w:r>
                </w:p>
              </w:tc>
            </w:tr>
            <w:tr w14:paraId="05F6E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48" w:type="pct"/>
                  <w:vMerge w:val="continue"/>
                  <w:noWrap w:val="0"/>
                  <w:vAlign w:val="center"/>
                </w:tcPr>
                <w:p w14:paraId="1C8A678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000000"/>
                      <w:sz w:val="21"/>
                      <w:szCs w:val="21"/>
                      <w:vertAlign w:val="baseline"/>
                      <w:lang w:val="en-US" w:eastAsia="zh-CN"/>
                    </w:rPr>
                  </w:pPr>
                </w:p>
              </w:tc>
              <w:tc>
                <w:tcPr>
                  <w:tcW w:w="702" w:type="pct"/>
                  <w:vMerge w:val="continue"/>
                  <w:noWrap w:val="0"/>
                  <w:vAlign w:val="center"/>
                </w:tcPr>
                <w:p w14:paraId="1B7BA7F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000000"/>
                      <w:sz w:val="21"/>
                      <w:szCs w:val="21"/>
                      <w:vertAlign w:val="baseline"/>
                      <w:lang w:val="en-US" w:eastAsia="zh-CN"/>
                    </w:rPr>
                  </w:pPr>
                </w:p>
              </w:tc>
              <w:tc>
                <w:tcPr>
                  <w:tcW w:w="1009" w:type="pct"/>
                  <w:noWrap w:val="0"/>
                  <w:vAlign w:val="center"/>
                </w:tcPr>
                <w:p w14:paraId="6D93948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000000"/>
                      <w:sz w:val="21"/>
                      <w:szCs w:val="21"/>
                      <w:vertAlign w:val="baseline"/>
                      <w:lang w:val="en-US" w:eastAsia="zh-CN"/>
                    </w:rPr>
                  </w:pPr>
                  <w:r>
                    <w:rPr>
                      <w:rFonts w:hint="eastAsia"/>
                      <w:color w:val="000000"/>
                      <w:sz w:val="21"/>
                      <w:szCs w:val="21"/>
                      <w:vertAlign w:val="baseline"/>
                      <w:lang w:val="en-US" w:eastAsia="zh-CN"/>
                    </w:rPr>
                    <w:t>氰化物</w:t>
                  </w:r>
                </w:p>
              </w:tc>
              <w:tc>
                <w:tcPr>
                  <w:tcW w:w="680" w:type="pct"/>
                  <w:noWrap w:val="0"/>
                  <w:vAlign w:val="center"/>
                </w:tcPr>
                <w:p w14:paraId="4A3395E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000000"/>
                      <w:sz w:val="21"/>
                      <w:szCs w:val="21"/>
                      <w:vertAlign w:val="baseline"/>
                      <w:lang w:val="en-US" w:eastAsia="zh-CN"/>
                    </w:rPr>
                  </w:pPr>
                  <w:r>
                    <w:rPr>
                      <w:rFonts w:hint="eastAsia"/>
                      <w:color w:val="000000"/>
                      <w:sz w:val="21"/>
                      <w:szCs w:val="21"/>
                      <w:vertAlign w:val="baseline"/>
                      <w:lang w:val="en-US" w:eastAsia="zh-CN"/>
                    </w:rPr>
                    <w:t>mg/L</w:t>
                  </w:r>
                </w:p>
              </w:tc>
              <w:tc>
                <w:tcPr>
                  <w:tcW w:w="633" w:type="pct"/>
                  <w:noWrap w:val="0"/>
                  <w:vAlign w:val="center"/>
                </w:tcPr>
                <w:p w14:paraId="64B8710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000000"/>
                      <w:sz w:val="21"/>
                      <w:szCs w:val="21"/>
                      <w:vertAlign w:val="baseline"/>
                      <w:lang w:val="en-US" w:eastAsia="zh-CN"/>
                    </w:rPr>
                  </w:pPr>
                  <w:r>
                    <w:rPr>
                      <w:rFonts w:hint="eastAsia"/>
                      <w:color w:val="000000"/>
                      <w:sz w:val="21"/>
                      <w:szCs w:val="21"/>
                      <w:vertAlign w:val="baseline"/>
                      <w:lang w:val="en-US" w:eastAsia="zh-CN"/>
                    </w:rPr>
                    <w:t>0.001L</w:t>
                  </w:r>
                </w:p>
              </w:tc>
              <w:tc>
                <w:tcPr>
                  <w:tcW w:w="650" w:type="pct"/>
                  <w:noWrap w:val="0"/>
                  <w:vAlign w:val="center"/>
                </w:tcPr>
                <w:p w14:paraId="02606B4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000000"/>
                      <w:sz w:val="21"/>
                      <w:szCs w:val="21"/>
                      <w:vertAlign w:val="baseline"/>
                      <w:lang w:val="en-US" w:eastAsia="zh-CN"/>
                    </w:rPr>
                  </w:pPr>
                  <w:r>
                    <w:rPr>
                      <w:rFonts w:hint="eastAsia"/>
                      <w:color w:val="000000"/>
                      <w:sz w:val="21"/>
                      <w:szCs w:val="21"/>
                      <w:vertAlign w:val="baseline"/>
                      <w:lang w:val="en-US" w:eastAsia="zh-CN"/>
                    </w:rPr>
                    <w:t>0.05</w:t>
                  </w:r>
                </w:p>
              </w:tc>
              <w:tc>
                <w:tcPr>
                  <w:tcW w:w="674" w:type="pct"/>
                  <w:noWrap w:val="0"/>
                  <w:vAlign w:val="center"/>
                </w:tcPr>
                <w:p w14:paraId="5BFD361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000000"/>
                      <w:sz w:val="21"/>
                      <w:szCs w:val="21"/>
                      <w:vertAlign w:val="baseline"/>
                      <w:lang w:val="en-US" w:eastAsia="zh-CN"/>
                    </w:rPr>
                  </w:pPr>
                  <w:r>
                    <w:rPr>
                      <w:rFonts w:hint="eastAsia"/>
                      <w:color w:val="000000"/>
                      <w:sz w:val="21"/>
                      <w:szCs w:val="21"/>
                      <w:vertAlign w:val="baseline"/>
                      <w:lang w:val="en-US" w:eastAsia="zh-CN"/>
                    </w:rPr>
                    <w:t>是</w:t>
                  </w:r>
                </w:p>
              </w:tc>
            </w:tr>
            <w:tr w14:paraId="5CA77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48" w:type="pct"/>
                  <w:vMerge w:val="continue"/>
                  <w:noWrap w:val="0"/>
                  <w:vAlign w:val="center"/>
                </w:tcPr>
                <w:p w14:paraId="07D9C5A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000000"/>
                      <w:sz w:val="21"/>
                      <w:szCs w:val="21"/>
                      <w:vertAlign w:val="baseline"/>
                      <w:lang w:val="en-US" w:eastAsia="zh-CN"/>
                    </w:rPr>
                  </w:pPr>
                </w:p>
              </w:tc>
              <w:tc>
                <w:tcPr>
                  <w:tcW w:w="702" w:type="pct"/>
                  <w:vMerge w:val="continue"/>
                  <w:noWrap w:val="0"/>
                  <w:vAlign w:val="center"/>
                </w:tcPr>
                <w:p w14:paraId="50F40AB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000000"/>
                      <w:sz w:val="21"/>
                      <w:szCs w:val="21"/>
                      <w:vertAlign w:val="baseline"/>
                      <w:lang w:val="en-US" w:eastAsia="zh-CN"/>
                    </w:rPr>
                  </w:pPr>
                </w:p>
              </w:tc>
              <w:tc>
                <w:tcPr>
                  <w:tcW w:w="1009" w:type="pct"/>
                  <w:noWrap w:val="0"/>
                  <w:vAlign w:val="center"/>
                </w:tcPr>
                <w:p w14:paraId="1DF4DB0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000000"/>
                      <w:sz w:val="21"/>
                      <w:szCs w:val="21"/>
                      <w:vertAlign w:val="baseline"/>
                      <w:lang w:val="en-US" w:eastAsia="zh-CN"/>
                    </w:rPr>
                  </w:pPr>
                  <w:r>
                    <w:rPr>
                      <w:rFonts w:hint="eastAsia"/>
                      <w:color w:val="000000"/>
                      <w:sz w:val="21"/>
                      <w:szCs w:val="21"/>
                      <w:vertAlign w:val="baseline"/>
                      <w:lang w:val="en-US" w:eastAsia="zh-CN"/>
                    </w:rPr>
                    <w:t>总大肠菌群</w:t>
                  </w:r>
                </w:p>
              </w:tc>
              <w:tc>
                <w:tcPr>
                  <w:tcW w:w="680" w:type="pct"/>
                  <w:noWrap w:val="0"/>
                  <w:vAlign w:val="center"/>
                </w:tcPr>
                <w:p w14:paraId="740701D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000000"/>
                      <w:sz w:val="21"/>
                      <w:szCs w:val="21"/>
                      <w:vertAlign w:val="baseline"/>
                      <w:lang w:val="en-US" w:eastAsia="zh-CN"/>
                    </w:rPr>
                  </w:pPr>
                  <w:r>
                    <w:rPr>
                      <w:rFonts w:hint="eastAsia"/>
                      <w:color w:val="000000"/>
                      <w:sz w:val="21"/>
                      <w:szCs w:val="21"/>
                      <w:vertAlign w:val="baseline"/>
                      <w:lang w:val="en-US" w:eastAsia="zh-CN"/>
                    </w:rPr>
                    <w:t>MPN/L</w:t>
                  </w:r>
                </w:p>
              </w:tc>
              <w:tc>
                <w:tcPr>
                  <w:tcW w:w="633" w:type="pct"/>
                  <w:noWrap w:val="0"/>
                  <w:vAlign w:val="center"/>
                </w:tcPr>
                <w:p w14:paraId="4DD4CA2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2"/>
                      <w:sz w:val="21"/>
                      <w:szCs w:val="21"/>
                      <w:vertAlign w:val="baseline"/>
                      <w:lang w:val="en-US" w:eastAsia="zh-CN" w:bidi="ar-SA"/>
                    </w:rPr>
                  </w:pPr>
                  <w:r>
                    <w:rPr>
                      <w:rFonts w:hint="eastAsia"/>
                      <w:color w:val="000000"/>
                      <w:sz w:val="21"/>
                      <w:szCs w:val="21"/>
                      <w:vertAlign w:val="baseline"/>
                      <w:lang w:val="en-US" w:eastAsia="zh-CN"/>
                    </w:rPr>
                    <w:t>3500</w:t>
                  </w:r>
                </w:p>
              </w:tc>
              <w:tc>
                <w:tcPr>
                  <w:tcW w:w="650" w:type="pct"/>
                  <w:noWrap w:val="0"/>
                  <w:vAlign w:val="center"/>
                </w:tcPr>
                <w:p w14:paraId="31C3396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000000"/>
                      <w:sz w:val="21"/>
                      <w:szCs w:val="21"/>
                      <w:vertAlign w:val="baseline"/>
                      <w:lang w:val="en-US" w:eastAsia="zh-CN"/>
                    </w:rPr>
                  </w:pPr>
                  <w:r>
                    <w:rPr>
                      <w:rFonts w:hint="eastAsia"/>
                      <w:color w:val="000000"/>
                      <w:sz w:val="21"/>
                      <w:szCs w:val="21"/>
                      <w:vertAlign w:val="baseline"/>
                      <w:lang w:val="en-US" w:eastAsia="zh-CN"/>
                    </w:rPr>
                    <w:t>30</w:t>
                  </w:r>
                </w:p>
              </w:tc>
              <w:tc>
                <w:tcPr>
                  <w:tcW w:w="674" w:type="pct"/>
                  <w:noWrap w:val="0"/>
                  <w:vAlign w:val="center"/>
                </w:tcPr>
                <w:p w14:paraId="29D8D37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000000"/>
                      <w:sz w:val="21"/>
                      <w:szCs w:val="21"/>
                      <w:vertAlign w:val="baseline"/>
                      <w:lang w:val="en-US" w:eastAsia="zh-CN"/>
                    </w:rPr>
                  </w:pPr>
                  <w:r>
                    <w:rPr>
                      <w:rFonts w:hint="eastAsia"/>
                      <w:color w:val="000000"/>
                      <w:sz w:val="21"/>
                      <w:szCs w:val="21"/>
                      <w:vertAlign w:val="baseline"/>
                      <w:lang w:val="en-US" w:eastAsia="zh-CN"/>
                    </w:rPr>
                    <w:t>否</w:t>
                  </w:r>
                </w:p>
              </w:tc>
            </w:tr>
            <w:tr w14:paraId="78F91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48" w:type="pct"/>
                  <w:vMerge w:val="continue"/>
                  <w:noWrap w:val="0"/>
                  <w:vAlign w:val="center"/>
                </w:tcPr>
                <w:p w14:paraId="5A3D0FA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000000"/>
                      <w:sz w:val="21"/>
                      <w:szCs w:val="21"/>
                      <w:vertAlign w:val="baseline"/>
                      <w:lang w:val="en-US" w:eastAsia="zh-CN"/>
                    </w:rPr>
                  </w:pPr>
                </w:p>
              </w:tc>
              <w:tc>
                <w:tcPr>
                  <w:tcW w:w="702" w:type="pct"/>
                  <w:vMerge w:val="continue"/>
                  <w:noWrap w:val="0"/>
                  <w:vAlign w:val="center"/>
                </w:tcPr>
                <w:p w14:paraId="75885C9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000000"/>
                      <w:sz w:val="21"/>
                      <w:szCs w:val="21"/>
                      <w:vertAlign w:val="baseline"/>
                      <w:lang w:val="en-US" w:eastAsia="zh-CN"/>
                    </w:rPr>
                  </w:pPr>
                </w:p>
              </w:tc>
              <w:tc>
                <w:tcPr>
                  <w:tcW w:w="1009" w:type="pct"/>
                  <w:noWrap w:val="0"/>
                  <w:vAlign w:val="center"/>
                </w:tcPr>
                <w:p w14:paraId="1B29B75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000000"/>
                      <w:sz w:val="21"/>
                      <w:szCs w:val="21"/>
                      <w:vertAlign w:val="baseline"/>
                      <w:lang w:val="en-US" w:eastAsia="zh-CN"/>
                    </w:rPr>
                  </w:pPr>
                  <w:r>
                    <w:rPr>
                      <w:rFonts w:hint="eastAsia"/>
                      <w:color w:val="000000"/>
                      <w:sz w:val="21"/>
                      <w:szCs w:val="21"/>
                      <w:vertAlign w:val="baseline"/>
                      <w:lang w:val="en-US" w:eastAsia="zh-CN"/>
                    </w:rPr>
                    <w:t>菌落总数</w:t>
                  </w:r>
                </w:p>
              </w:tc>
              <w:tc>
                <w:tcPr>
                  <w:tcW w:w="680" w:type="pct"/>
                  <w:noWrap w:val="0"/>
                  <w:vAlign w:val="center"/>
                </w:tcPr>
                <w:p w14:paraId="129564E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000000"/>
                      <w:sz w:val="21"/>
                      <w:szCs w:val="21"/>
                      <w:vertAlign w:val="baseline"/>
                      <w:lang w:val="en-US" w:eastAsia="zh-CN"/>
                    </w:rPr>
                  </w:pPr>
                  <w:r>
                    <w:rPr>
                      <w:rFonts w:hint="eastAsia"/>
                      <w:color w:val="000000"/>
                      <w:sz w:val="21"/>
                      <w:szCs w:val="21"/>
                      <w:vertAlign w:val="baseline"/>
                      <w:lang w:val="en-US" w:eastAsia="zh-CN"/>
                    </w:rPr>
                    <w:t>CFU/mL</w:t>
                  </w:r>
                </w:p>
              </w:tc>
              <w:tc>
                <w:tcPr>
                  <w:tcW w:w="633" w:type="pct"/>
                  <w:noWrap w:val="0"/>
                  <w:vAlign w:val="center"/>
                </w:tcPr>
                <w:p w14:paraId="1E85DB1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000000"/>
                      <w:kern w:val="2"/>
                      <w:sz w:val="21"/>
                      <w:szCs w:val="21"/>
                      <w:vertAlign w:val="baseline"/>
                      <w:lang w:val="en-US" w:eastAsia="zh-CN" w:bidi="ar-SA"/>
                    </w:rPr>
                  </w:pPr>
                  <w:r>
                    <w:rPr>
                      <w:rFonts w:hint="eastAsia"/>
                      <w:color w:val="000000"/>
                      <w:sz w:val="21"/>
                      <w:szCs w:val="21"/>
                      <w:vertAlign w:val="baseline"/>
                      <w:lang w:val="en-US" w:eastAsia="zh-CN"/>
                    </w:rPr>
                    <w:t>1600</w:t>
                  </w:r>
                </w:p>
              </w:tc>
              <w:tc>
                <w:tcPr>
                  <w:tcW w:w="650" w:type="pct"/>
                  <w:noWrap w:val="0"/>
                  <w:vAlign w:val="center"/>
                </w:tcPr>
                <w:p w14:paraId="719AC87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000000"/>
                      <w:sz w:val="21"/>
                      <w:szCs w:val="21"/>
                      <w:vertAlign w:val="baseline"/>
                      <w:lang w:val="en-US" w:eastAsia="zh-CN"/>
                    </w:rPr>
                  </w:pPr>
                  <w:r>
                    <w:rPr>
                      <w:rFonts w:hint="eastAsia"/>
                      <w:color w:val="000000"/>
                      <w:sz w:val="21"/>
                      <w:szCs w:val="21"/>
                      <w:vertAlign w:val="baseline"/>
                      <w:lang w:val="en-US" w:eastAsia="zh-CN"/>
                    </w:rPr>
                    <w:t>100</w:t>
                  </w:r>
                </w:p>
              </w:tc>
              <w:tc>
                <w:tcPr>
                  <w:tcW w:w="674" w:type="pct"/>
                  <w:noWrap w:val="0"/>
                  <w:vAlign w:val="center"/>
                </w:tcPr>
                <w:p w14:paraId="16301C5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000000"/>
                      <w:sz w:val="21"/>
                      <w:szCs w:val="21"/>
                      <w:vertAlign w:val="baseline"/>
                      <w:lang w:val="en-US" w:eastAsia="zh-CN"/>
                    </w:rPr>
                  </w:pPr>
                  <w:r>
                    <w:rPr>
                      <w:rFonts w:hint="eastAsia"/>
                      <w:color w:val="000000"/>
                      <w:sz w:val="21"/>
                      <w:szCs w:val="21"/>
                      <w:vertAlign w:val="baseline"/>
                      <w:lang w:val="en-US" w:eastAsia="zh-CN"/>
                    </w:rPr>
                    <w:t>否</w:t>
                  </w:r>
                </w:p>
              </w:tc>
            </w:tr>
            <w:tr w14:paraId="5ED4C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48" w:type="pct"/>
                  <w:vMerge w:val="continue"/>
                  <w:noWrap w:val="0"/>
                  <w:vAlign w:val="center"/>
                </w:tcPr>
                <w:p w14:paraId="4C290A8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000000"/>
                      <w:sz w:val="21"/>
                      <w:szCs w:val="21"/>
                      <w:vertAlign w:val="baseline"/>
                      <w:lang w:val="en-US" w:eastAsia="zh-CN"/>
                    </w:rPr>
                  </w:pPr>
                </w:p>
              </w:tc>
              <w:tc>
                <w:tcPr>
                  <w:tcW w:w="702" w:type="pct"/>
                  <w:vMerge w:val="continue"/>
                  <w:noWrap w:val="0"/>
                  <w:vAlign w:val="center"/>
                </w:tcPr>
                <w:p w14:paraId="50E2E42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000000"/>
                      <w:sz w:val="21"/>
                      <w:szCs w:val="21"/>
                      <w:vertAlign w:val="baseline"/>
                      <w:lang w:val="en-US" w:eastAsia="zh-CN"/>
                    </w:rPr>
                  </w:pPr>
                </w:p>
              </w:tc>
              <w:tc>
                <w:tcPr>
                  <w:tcW w:w="1009" w:type="pct"/>
                  <w:noWrap w:val="0"/>
                  <w:vAlign w:val="center"/>
                </w:tcPr>
                <w:p w14:paraId="77AA272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000000"/>
                      <w:sz w:val="21"/>
                      <w:szCs w:val="21"/>
                      <w:vertAlign w:val="baseline"/>
                      <w:lang w:val="en-US" w:eastAsia="zh-CN"/>
                    </w:rPr>
                  </w:pPr>
                  <w:r>
                    <w:rPr>
                      <w:rFonts w:hint="eastAsia"/>
                      <w:color w:val="000000"/>
                      <w:sz w:val="21"/>
                      <w:szCs w:val="21"/>
                      <w:vertAlign w:val="baseline"/>
                      <w:lang w:val="en-US" w:eastAsia="zh-CN"/>
                    </w:rPr>
                    <w:t>石油类</w:t>
                  </w:r>
                </w:p>
              </w:tc>
              <w:tc>
                <w:tcPr>
                  <w:tcW w:w="680" w:type="pct"/>
                  <w:noWrap w:val="0"/>
                  <w:vAlign w:val="center"/>
                </w:tcPr>
                <w:p w14:paraId="0A6F9E2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000000"/>
                      <w:sz w:val="21"/>
                      <w:szCs w:val="21"/>
                      <w:vertAlign w:val="baseline"/>
                      <w:lang w:val="en-US" w:eastAsia="zh-CN"/>
                    </w:rPr>
                  </w:pPr>
                  <w:r>
                    <w:rPr>
                      <w:rFonts w:hint="eastAsia"/>
                      <w:color w:val="000000"/>
                      <w:sz w:val="21"/>
                      <w:szCs w:val="21"/>
                      <w:vertAlign w:val="baseline"/>
                      <w:lang w:val="en-US" w:eastAsia="zh-CN"/>
                    </w:rPr>
                    <w:t>mg/L</w:t>
                  </w:r>
                </w:p>
              </w:tc>
              <w:tc>
                <w:tcPr>
                  <w:tcW w:w="633" w:type="pct"/>
                  <w:noWrap w:val="0"/>
                  <w:vAlign w:val="center"/>
                </w:tcPr>
                <w:p w14:paraId="1376743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000000"/>
                      <w:sz w:val="21"/>
                      <w:szCs w:val="21"/>
                      <w:vertAlign w:val="baseline"/>
                      <w:lang w:val="en-US" w:eastAsia="zh-CN"/>
                    </w:rPr>
                  </w:pPr>
                  <w:r>
                    <w:rPr>
                      <w:rFonts w:hint="eastAsia"/>
                      <w:color w:val="000000"/>
                      <w:sz w:val="21"/>
                      <w:szCs w:val="21"/>
                      <w:vertAlign w:val="baseline"/>
                      <w:lang w:val="en-US" w:eastAsia="zh-CN"/>
                    </w:rPr>
                    <w:t>0.04</w:t>
                  </w:r>
                </w:p>
              </w:tc>
              <w:tc>
                <w:tcPr>
                  <w:tcW w:w="650" w:type="pct"/>
                  <w:noWrap w:val="0"/>
                  <w:vAlign w:val="center"/>
                </w:tcPr>
                <w:p w14:paraId="3F81138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000000"/>
                      <w:sz w:val="21"/>
                      <w:szCs w:val="21"/>
                      <w:vertAlign w:val="baseline"/>
                      <w:lang w:val="en-US" w:eastAsia="zh-CN"/>
                    </w:rPr>
                  </w:pPr>
                  <w:r>
                    <w:rPr>
                      <w:rFonts w:hint="eastAsia"/>
                      <w:color w:val="000000"/>
                      <w:sz w:val="21"/>
                      <w:szCs w:val="21"/>
                      <w:vertAlign w:val="baseline"/>
                      <w:lang w:val="en-US" w:eastAsia="zh-CN"/>
                    </w:rPr>
                    <w:t>/</w:t>
                  </w:r>
                </w:p>
              </w:tc>
              <w:tc>
                <w:tcPr>
                  <w:tcW w:w="674" w:type="pct"/>
                  <w:noWrap w:val="0"/>
                  <w:vAlign w:val="center"/>
                </w:tcPr>
                <w:p w14:paraId="3BDD7F1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000000"/>
                      <w:sz w:val="21"/>
                      <w:szCs w:val="21"/>
                      <w:vertAlign w:val="baseline"/>
                      <w:lang w:val="en-US" w:eastAsia="zh-CN"/>
                    </w:rPr>
                  </w:pPr>
                  <w:r>
                    <w:rPr>
                      <w:rFonts w:hint="eastAsia"/>
                      <w:color w:val="000000"/>
                      <w:sz w:val="21"/>
                      <w:szCs w:val="21"/>
                      <w:vertAlign w:val="baseline"/>
                      <w:lang w:val="en-US" w:eastAsia="zh-CN"/>
                    </w:rPr>
                    <w:t>/</w:t>
                  </w:r>
                </w:p>
              </w:tc>
            </w:tr>
            <w:tr w14:paraId="4CD3A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48" w:type="pct"/>
                  <w:vMerge w:val="continue"/>
                  <w:noWrap w:val="0"/>
                  <w:vAlign w:val="center"/>
                </w:tcPr>
                <w:p w14:paraId="0F1273B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000000"/>
                      <w:sz w:val="21"/>
                      <w:szCs w:val="21"/>
                      <w:vertAlign w:val="baseline"/>
                      <w:lang w:val="en-US" w:eastAsia="zh-CN"/>
                    </w:rPr>
                  </w:pPr>
                </w:p>
              </w:tc>
              <w:tc>
                <w:tcPr>
                  <w:tcW w:w="702" w:type="pct"/>
                  <w:vMerge w:val="restart"/>
                  <w:noWrap w:val="0"/>
                  <w:vAlign w:val="center"/>
                </w:tcPr>
                <w:p w14:paraId="4555526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000000"/>
                      <w:sz w:val="21"/>
                      <w:szCs w:val="21"/>
                      <w:vertAlign w:val="baseline"/>
                      <w:lang w:val="en-US" w:eastAsia="zh-CN"/>
                    </w:rPr>
                  </w:pPr>
                  <w:r>
                    <w:rPr>
                      <w:rFonts w:hint="eastAsia"/>
                      <w:color w:val="000000"/>
                      <w:sz w:val="21"/>
                      <w:szCs w:val="21"/>
                      <w:vertAlign w:val="baseline"/>
                      <w:lang w:val="en-US" w:eastAsia="zh-CN"/>
                    </w:rPr>
                    <w:t>2025.7.10</w:t>
                  </w:r>
                </w:p>
              </w:tc>
              <w:tc>
                <w:tcPr>
                  <w:tcW w:w="1009" w:type="pct"/>
                  <w:noWrap w:val="0"/>
                  <w:vAlign w:val="center"/>
                </w:tcPr>
                <w:p w14:paraId="6D9DCC6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000000"/>
                      <w:sz w:val="21"/>
                      <w:szCs w:val="21"/>
                      <w:vertAlign w:val="baseline"/>
                      <w:lang w:val="en-US" w:eastAsia="zh-CN"/>
                    </w:rPr>
                  </w:pPr>
                  <w:r>
                    <w:rPr>
                      <w:rFonts w:hint="eastAsia"/>
                      <w:color w:val="000000"/>
                      <w:sz w:val="21"/>
                      <w:szCs w:val="21"/>
                      <w:vertAlign w:val="baseline"/>
                      <w:lang w:val="en-US" w:eastAsia="zh-CN"/>
                    </w:rPr>
                    <w:t>硫酸盐</w:t>
                  </w:r>
                </w:p>
              </w:tc>
              <w:tc>
                <w:tcPr>
                  <w:tcW w:w="680" w:type="pct"/>
                  <w:noWrap w:val="0"/>
                  <w:vAlign w:val="center"/>
                </w:tcPr>
                <w:p w14:paraId="393ABE3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000000"/>
                      <w:sz w:val="21"/>
                      <w:szCs w:val="21"/>
                      <w:vertAlign w:val="baseline"/>
                      <w:lang w:val="en-US" w:eastAsia="zh-CN"/>
                    </w:rPr>
                  </w:pPr>
                  <w:r>
                    <w:rPr>
                      <w:rFonts w:hint="eastAsia"/>
                      <w:color w:val="000000"/>
                      <w:sz w:val="21"/>
                      <w:szCs w:val="21"/>
                      <w:vertAlign w:val="baseline"/>
                      <w:lang w:val="en-US" w:eastAsia="zh-CN"/>
                    </w:rPr>
                    <w:t>mg/L</w:t>
                  </w:r>
                </w:p>
              </w:tc>
              <w:tc>
                <w:tcPr>
                  <w:tcW w:w="633" w:type="pct"/>
                  <w:noWrap w:val="0"/>
                  <w:vAlign w:val="center"/>
                </w:tcPr>
                <w:p w14:paraId="5724CB7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000000"/>
                      <w:sz w:val="21"/>
                      <w:szCs w:val="21"/>
                      <w:vertAlign w:val="baseline"/>
                      <w:lang w:val="en-US" w:eastAsia="zh-CN"/>
                    </w:rPr>
                  </w:pPr>
                  <w:r>
                    <w:rPr>
                      <w:rFonts w:hint="eastAsia"/>
                      <w:color w:val="000000"/>
                      <w:sz w:val="21"/>
                      <w:szCs w:val="21"/>
                      <w:vertAlign w:val="baseline"/>
                      <w:lang w:val="en-US" w:eastAsia="zh-CN"/>
                    </w:rPr>
                    <w:t>21.0</w:t>
                  </w:r>
                </w:p>
              </w:tc>
              <w:tc>
                <w:tcPr>
                  <w:tcW w:w="650" w:type="pct"/>
                  <w:noWrap w:val="0"/>
                  <w:vAlign w:val="center"/>
                </w:tcPr>
                <w:p w14:paraId="387337C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000000"/>
                      <w:sz w:val="21"/>
                      <w:szCs w:val="21"/>
                      <w:vertAlign w:val="baseline"/>
                      <w:lang w:val="en-US" w:eastAsia="zh-CN"/>
                    </w:rPr>
                  </w:pPr>
                  <w:r>
                    <w:rPr>
                      <w:rFonts w:hint="eastAsia"/>
                      <w:color w:val="000000"/>
                      <w:sz w:val="21"/>
                      <w:szCs w:val="21"/>
                      <w:vertAlign w:val="baseline"/>
                      <w:lang w:val="en-US" w:eastAsia="zh-CN"/>
                    </w:rPr>
                    <w:t>250</w:t>
                  </w:r>
                </w:p>
              </w:tc>
              <w:tc>
                <w:tcPr>
                  <w:tcW w:w="674" w:type="pct"/>
                  <w:noWrap w:val="0"/>
                  <w:vAlign w:val="center"/>
                </w:tcPr>
                <w:p w14:paraId="551A999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000000"/>
                      <w:sz w:val="21"/>
                      <w:szCs w:val="21"/>
                      <w:vertAlign w:val="baseline"/>
                      <w:lang w:val="en-US" w:eastAsia="zh-CN"/>
                    </w:rPr>
                  </w:pPr>
                  <w:r>
                    <w:rPr>
                      <w:rFonts w:hint="eastAsia"/>
                      <w:color w:val="000000"/>
                      <w:sz w:val="21"/>
                      <w:szCs w:val="21"/>
                      <w:vertAlign w:val="baseline"/>
                      <w:lang w:val="en-US" w:eastAsia="zh-CN"/>
                    </w:rPr>
                    <w:t>是</w:t>
                  </w:r>
                </w:p>
              </w:tc>
            </w:tr>
            <w:tr w14:paraId="4612D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48" w:type="pct"/>
                  <w:vMerge w:val="continue"/>
                  <w:noWrap w:val="0"/>
                  <w:vAlign w:val="center"/>
                </w:tcPr>
                <w:p w14:paraId="0E687CE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000000"/>
                      <w:sz w:val="21"/>
                      <w:szCs w:val="21"/>
                      <w:vertAlign w:val="baseline"/>
                      <w:lang w:val="en-US" w:eastAsia="zh-CN"/>
                    </w:rPr>
                  </w:pPr>
                </w:p>
              </w:tc>
              <w:tc>
                <w:tcPr>
                  <w:tcW w:w="702" w:type="pct"/>
                  <w:vMerge w:val="continue"/>
                  <w:noWrap w:val="0"/>
                  <w:vAlign w:val="center"/>
                </w:tcPr>
                <w:p w14:paraId="2BA8D9D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000000"/>
                      <w:sz w:val="21"/>
                      <w:szCs w:val="21"/>
                      <w:vertAlign w:val="baseline"/>
                      <w:lang w:val="en-US" w:eastAsia="zh-CN"/>
                    </w:rPr>
                  </w:pPr>
                </w:p>
              </w:tc>
              <w:tc>
                <w:tcPr>
                  <w:tcW w:w="1009" w:type="pct"/>
                  <w:noWrap w:val="0"/>
                  <w:vAlign w:val="center"/>
                </w:tcPr>
                <w:p w14:paraId="1662BE5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000000"/>
                      <w:sz w:val="21"/>
                      <w:szCs w:val="21"/>
                      <w:vertAlign w:val="baseline"/>
                      <w:lang w:val="en-US" w:eastAsia="zh-CN"/>
                    </w:rPr>
                  </w:pPr>
                  <w:r>
                    <w:rPr>
                      <w:rFonts w:hint="eastAsia"/>
                      <w:color w:val="000000"/>
                      <w:sz w:val="21"/>
                      <w:szCs w:val="21"/>
                      <w:vertAlign w:val="baseline"/>
                      <w:lang w:val="en-US" w:eastAsia="zh-CN"/>
                    </w:rPr>
                    <w:t>硫化物</w:t>
                  </w:r>
                </w:p>
              </w:tc>
              <w:tc>
                <w:tcPr>
                  <w:tcW w:w="680" w:type="pct"/>
                  <w:noWrap w:val="0"/>
                  <w:vAlign w:val="center"/>
                </w:tcPr>
                <w:p w14:paraId="0B12D33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000000"/>
                      <w:sz w:val="21"/>
                      <w:szCs w:val="21"/>
                      <w:vertAlign w:val="baseline"/>
                      <w:lang w:val="en-US" w:eastAsia="zh-CN"/>
                    </w:rPr>
                  </w:pPr>
                  <w:r>
                    <w:rPr>
                      <w:rFonts w:hint="eastAsia"/>
                      <w:color w:val="000000"/>
                      <w:sz w:val="21"/>
                      <w:szCs w:val="21"/>
                      <w:vertAlign w:val="baseline"/>
                      <w:lang w:val="en-US" w:eastAsia="zh-CN"/>
                    </w:rPr>
                    <w:t>mg/L</w:t>
                  </w:r>
                </w:p>
              </w:tc>
              <w:tc>
                <w:tcPr>
                  <w:tcW w:w="633" w:type="pct"/>
                  <w:noWrap w:val="0"/>
                  <w:vAlign w:val="center"/>
                </w:tcPr>
                <w:p w14:paraId="0B71D56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000000"/>
                      <w:lang w:val="en-US" w:eastAsia="zh-CN"/>
                    </w:rPr>
                  </w:pPr>
                  <w:r>
                    <w:rPr>
                      <w:rFonts w:hint="eastAsia"/>
                      <w:color w:val="000000"/>
                      <w:sz w:val="21"/>
                      <w:szCs w:val="21"/>
                      <w:vertAlign w:val="baseline"/>
                      <w:lang w:val="en-US" w:eastAsia="zh-CN"/>
                    </w:rPr>
                    <w:t>0.003L</w:t>
                  </w:r>
                </w:p>
              </w:tc>
              <w:tc>
                <w:tcPr>
                  <w:tcW w:w="650" w:type="pct"/>
                  <w:noWrap w:val="0"/>
                  <w:vAlign w:val="center"/>
                </w:tcPr>
                <w:p w14:paraId="210CBAB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000000"/>
                      <w:sz w:val="21"/>
                      <w:szCs w:val="21"/>
                      <w:vertAlign w:val="baseline"/>
                      <w:lang w:val="en-US" w:eastAsia="zh-CN"/>
                    </w:rPr>
                  </w:pPr>
                  <w:r>
                    <w:rPr>
                      <w:rFonts w:hint="eastAsia"/>
                      <w:color w:val="000000"/>
                      <w:sz w:val="21"/>
                      <w:szCs w:val="21"/>
                      <w:vertAlign w:val="baseline"/>
                      <w:lang w:val="en-US" w:eastAsia="zh-CN"/>
                    </w:rPr>
                    <w:t>0.02</w:t>
                  </w:r>
                </w:p>
              </w:tc>
              <w:tc>
                <w:tcPr>
                  <w:tcW w:w="674" w:type="pct"/>
                  <w:noWrap w:val="0"/>
                  <w:vAlign w:val="center"/>
                </w:tcPr>
                <w:p w14:paraId="655DE33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000000"/>
                      <w:sz w:val="21"/>
                      <w:szCs w:val="21"/>
                      <w:vertAlign w:val="baseline"/>
                      <w:lang w:val="en-US" w:eastAsia="zh-CN"/>
                    </w:rPr>
                  </w:pPr>
                  <w:r>
                    <w:rPr>
                      <w:rFonts w:hint="eastAsia"/>
                      <w:color w:val="000000"/>
                      <w:sz w:val="21"/>
                      <w:szCs w:val="21"/>
                      <w:vertAlign w:val="baseline"/>
                      <w:lang w:val="en-US" w:eastAsia="zh-CN"/>
                    </w:rPr>
                    <w:t>是</w:t>
                  </w:r>
                </w:p>
              </w:tc>
            </w:tr>
            <w:tr w14:paraId="1E326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000" w:type="pct"/>
                  <w:gridSpan w:val="7"/>
                  <w:noWrap w:val="0"/>
                  <w:vAlign w:val="center"/>
                </w:tcPr>
                <w:p w14:paraId="74DAD76C">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eastAsia"/>
                      <w:color w:val="000000"/>
                      <w:sz w:val="21"/>
                      <w:szCs w:val="21"/>
                      <w:vertAlign w:val="baseline"/>
                      <w:lang w:val="en-US" w:eastAsia="zh-CN"/>
                    </w:rPr>
                  </w:pPr>
                  <w:r>
                    <w:rPr>
                      <w:rFonts w:hint="eastAsia"/>
                      <w:color w:val="000000"/>
                      <w:sz w:val="21"/>
                      <w:szCs w:val="21"/>
                      <w:vertAlign w:val="baseline"/>
                      <w:lang w:val="en-US" w:eastAsia="zh-CN"/>
                    </w:rPr>
                    <w:t>说明：带“L”的数据表示该次检测结果低于检出限。</w:t>
                  </w:r>
                </w:p>
              </w:tc>
            </w:tr>
          </w:tbl>
          <w:p w14:paraId="06A8C64B">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color w:val="000000"/>
                <w:sz w:val="24"/>
                <w:szCs w:val="24"/>
                <w:vertAlign w:val="baseline"/>
                <w:lang w:val="en-US" w:eastAsia="zh-CN"/>
              </w:rPr>
            </w:pPr>
            <w:r>
              <w:rPr>
                <w:rFonts w:hint="eastAsia"/>
                <w:color w:val="000000"/>
                <w:sz w:val="24"/>
                <w:szCs w:val="24"/>
                <w:lang w:val="en-US" w:eastAsia="zh-CN"/>
              </w:rPr>
              <w:t>由上表可知，DX001地下水监测点地下水中</w:t>
            </w:r>
            <w:r>
              <w:rPr>
                <w:rFonts w:hint="eastAsia"/>
                <w:color w:val="000000"/>
                <w:sz w:val="24"/>
                <w:szCs w:val="24"/>
                <w:vertAlign w:val="baseline"/>
                <w:lang w:val="en-US" w:eastAsia="zh-CN"/>
              </w:rPr>
              <w:t>pH、氨氮（以N计）、总硬度（以CaCO</w:t>
            </w:r>
            <w:r>
              <w:rPr>
                <w:rFonts w:hint="eastAsia"/>
                <w:color w:val="000000"/>
                <w:sz w:val="24"/>
                <w:szCs w:val="24"/>
                <w:vertAlign w:val="subscript"/>
                <w:lang w:val="en-US" w:eastAsia="zh-CN"/>
              </w:rPr>
              <w:t>3</w:t>
            </w:r>
            <w:r>
              <w:rPr>
                <w:rFonts w:hint="eastAsia"/>
                <w:color w:val="000000"/>
                <w:sz w:val="24"/>
                <w:szCs w:val="24"/>
                <w:vertAlign w:val="baseline"/>
                <w:lang w:val="en-US" w:eastAsia="zh-CN"/>
              </w:rPr>
              <w:t>计）、溶解性总固体、耗氧量（COD</w:t>
            </w:r>
            <w:r>
              <w:rPr>
                <w:rFonts w:hint="eastAsia"/>
                <w:color w:val="000000"/>
                <w:sz w:val="24"/>
                <w:szCs w:val="24"/>
                <w:vertAlign w:val="subscript"/>
                <w:lang w:val="en-US" w:eastAsia="zh-CN"/>
              </w:rPr>
              <w:t>Mn</w:t>
            </w:r>
            <w:r>
              <w:rPr>
                <w:rFonts w:hint="eastAsia"/>
                <w:color w:val="000000"/>
                <w:sz w:val="24"/>
                <w:szCs w:val="24"/>
                <w:vertAlign w:val="baseline"/>
                <w:lang w:val="en-US" w:eastAsia="zh-CN"/>
              </w:rPr>
              <w:t>法，以O</w:t>
            </w:r>
            <w:r>
              <w:rPr>
                <w:rFonts w:hint="eastAsia"/>
                <w:color w:val="000000"/>
                <w:sz w:val="24"/>
                <w:szCs w:val="24"/>
                <w:vertAlign w:val="subscript"/>
                <w:lang w:val="en-US" w:eastAsia="zh-CN"/>
              </w:rPr>
              <w:t>2</w:t>
            </w:r>
            <w:r>
              <w:rPr>
                <w:rFonts w:hint="eastAsia"/>
                <w:color w:val="000000"/>
                <w:sz w:val="24"/>
                <w:szCs w:val="24"/>
                <w:vertAlign w:val="baseline"/>
                <w:lang w:val="en-US" w:eastAsia="zh-CN"/>
              </w:rPr>
              <w:t>计）、氟化物、硝酸盐（以N计）、亚硝酸盐（以N计）、砷、汞、铁、锰、铜、锌、镉、镍、铅、六价铬、挥发性酚类（以苯酚计）、氰化物、石油类、硫酸盐、硫化物满足《地下水质量标准》（GB/T 14848-2017）中</w:t>
            </w:r>
            <w:r>
              <w:rPr>
                <w:rFonts w:hint="eastAsia" w:ascii="宋体" w:hAnsi="宋体" w:eastAsia="宋体" w:cs="宋体"/>
                <w:color w:val="000000"/>
                <w:sz w:val="24"/>
                <w:szCs w:val="24"/>
                <w:vertAlign w:val="baseline"/>
                <w:lang w:val="en-US" w:eastAsia="zh-CN"/>
              </w:rPr>
              <w:t>Ⅲ</w:t>
            </w:r>
            <w:r>
              <w:rPr>
                <w:rFonts w:hint="eastAsia"/>
                <w:color w:val="000000"/>
                <w:sz w:val="24"/>
                <w:szCs w:val="24"/>
                <w:vertAlign w:val="baseline"/>
                <w:lang w:val="en-US" w:eastAsia="zh-CN"/>
              </w:rPr>
              <w:t>类水质标准限值要求，总大肠菌群、菌落总数超过《地下水质量标准》（GB/T 14848-2017）中</w:t>
            </w:r>
            <w:r>
              <w:rPr>
                <w:rFonts w:hint="eastAsia" w:ascii="宋体" w:hAnsi="宋体" w:eastAsia="宋体" w:cs="宋体"/>
                <w:color w:val="000000"/>
                <w:sz w:val="24"/>
                <w:szCs w:val="24"/>
                <w:vertAlign w:val="baseline"/>
                <w:lang w:val="en-US" w:eastAsia="zh-CN"/>
              </w:rPr>
              <w:t>Ⅲ</w:t>
            </w:r>
            <w:r>
              <w:rPr>
                <w:rFonts w:hint="eastAsia"/>
                <w:color w:val="000000"/>
                <w:sz w:val="24"/>
                <w:szCs w:val="24"/>
                <w:vertAlign w:val="baseline"/>
                <w:lang w:val="en-US" w:eastAsia="zh-CN"/>
              </w:rPr>
              <w:t>类水质标准限值要求，其原由为区域污水管道破损导致城区生活污水下渗，或是周边耕地农家肥使用后下渗至地下导致总大肠菌群、菌落总数超标。本项目生活污水经生化池处理后排入园区污水管网，评价要求生化池以及污水管网采取防渗措施，生活污水有效处置，不会对地下水造成污染，不会制约项目建设。</w:t>
            </w:r>
          </w:p>
          <w:p w14:paraId="7C8495E2">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Times New Roman" w:hAnsi="Times New Roman" w:eastAsia="宋体" w:cs="Times New Roman"/>
                <w:color w:val="000000"/>
                <w:sz w:val="24"/>
                <w:szCs w:val="24"/>
                <w:lang w:val="en-US" w:eastAsia="zh-CN"/>
              </w:rPr>
            </w:pPr>
            <w:r>
              <w:rPr>
                <w:rFonts w:hint="eastAsia" w:ascii="Times New Roman" w:hAnsi="Times New Roman" w:eastAsia="宋体" w:cs="Times New Roman"/>
                <w:color w:val="000000"/>
                <w:sz w:val="24"/>
                <w:szCs w:val="24"/>
                <w:lang w:val="en-US" w:eastAsia="zh-CN"/>
              </w:rPr>
              <w:t>①监测点位</w:t>
            </w:r>
          </w:p>
          <w:p w14:paraId="165F0E85">
            <w:pPr>
              <w:keepNext w:val="0"/>
              <w:keepLines w:val="0"/>
              <w:pageBreakBefore w:val="0"/>
              <w:widowControl w:val="0"/>
              <w:kinsoku/>
              <w:wordWrap/>
              <w:overflowPunct/>
              <w:topLinePunct w:val="0"/>
              <w:autoSpaceDE/>
              <w:autoSpaceDN/>
              <w:bidi w:val="0"/>
              <w:adjustRightInd/>
              <w:snapToGrid/>
              <w:spacing w:line="460" w:lineRule="exact"/>
              <w:textAlignment w:val="auto"/>
              <w:rPr>
                <w:rFonts w:hint="default"/>
                <w:color w:val="000000"/>
                <w:sz w:val="24"/>
                <w:szCs w:val="24"/>
                <w:lang w:val="en-US" w:eastAsia="zh-CN"/>
              </w:rPr>
            </w:pPr>
            <w:r>
              <w:rPr>
                <w:rFonts w:hint="eastAsia" w:ascii="Times New Roman" w:hAnsi="Times New Roman" w:eastAsia="宋体" w:cs="Times New Roman"/>
                <w:color w:val="000000"/>
                <w:sz w:val="24"/>
                <w:szCs w:val="24"/>
                <w:lang w:val="en-US" w:eastAsia="zh-CN"/>
              </w:rPr>
              <w:t>本项目位于万州经济技术开发区</w:t>
            </w:r>
            <w:r>
              <w:rPr>
                <w:rFonts w:hint="eastAsia" w:cs="Times New Roman"/>
                <w:color w:val="000000"/>
                <w:sz w:val="24"/>
                <w:szCs w:val="24"/>
                <w:lang w:val="en-US" w:eastAsia="zh-CN"/>
              </w:rPr>
              <w:t>天子</w:t>
            </w:r>
            <w:r>
              <w:rPr>
                <w:rFonts w:hint="eastAsia" w:ascii="Times New Roman" w:hAnsi="Times New Roman" w:eastAsia="宋体" w:cs="Times New Roman"/>
                <w:color w:val="000000"/>
                <w:sz w:val="24"/>
                <w:szCs w:val="24"/>
                <w:lang w:val="en-US" w:eastAsia="zh-CN"/>
              </w:rPr>
              <w:t>园，</w:t>
            </w:r>
            <w:r>
              <w:rPr>
                <w:rFonts w:hint="eastAsia" w:cs="Times New Roman"/>
                <w:color w:val="000000"/>
                <w:sz w:val="24"/>
                <w:szCs w:val="24"/>
                <w:lang w:val="en-US" w:eastAsia="zh-CN"/>
              </w:rPr>
              <w:t>为调查项目用地土壤环境质量现状，本次评价委托</w:t>
            </w:r>
            <w:r>
              <w:rPr>
                <w:rFonts w:hint="eastAsia"/>
                <w:color w:val="000000"/>
                <w:sz w:val="24"/>
                <w:szCs w:val="24"/>
                <w:lang w:val="en-US" w:eastAsia="zh-CN"/>
              </w:rPr>
              <w:t>重庆鑫浦江环境检测有限公司于2025年7月10日在项目旁空地开展土壤环境质量实测</w:t>
            </w:r>
            <w:r>
              <w:rPr>
                <w:rFonts w:hint="eastAsia" w:ascii="Times New Roman" w:hAnsi="Times New Roman" w:eastAsia="宋体" w:cs="Times New Roman"/>
                <w:color w:val="000000"/>
                <w:sz w:val="24"/>
                <w:szCs w:val="24"/>
                <w:lang w:val="en-US" w:eastAsia="zh-CN"/>
              </w:rPr>
              <w:t>用作本项目本底值</w:t>
            </w:r>
            <w:r>
              <w:rPr>
                <w:rFonts w:hint="eastAsia"/>
                <w:color w:val="000000"/>
                <w:sz w:val="24"/>
                <w:szCs w:val="24"/>
                <w:lang w:val="en-US" w:eastAsia="zh-CN"/>
              </w:rPr>
              <w:t>，监测报告编号：XPJ20250246。</w:t>
            </w:r>
          </w:p>
          <w:p w14:paraId="23CADD40">
            <w:pPr>
              <w:pStyle w:val="79"/>
              <w:keepNext w:val="0"/>
              <w:keepLines w:val="0"/>
              <w:pageBreakBefore w:val="0"/>
              <w:widowControl w:val="0"/>
              <w:tabs>
                <w:tab w:val="left" w:pos="105"/>
                <w:tab w:val="left" w:pos="1080"/>
                <w:tab w:val="clear" w:pos="1050"/>
                <w:tab w:val="clear" w:pos="1260"/>
              </w:tabs>
              <w:kinsoku/>
              <w:wordWrap/>
              <w:overflowPunct/>
              <w:topLinePunct w:val="0"/>
              <w:autoSpaceDE/>
              <w:autoSpaceDN/>
              <w:bidi w:val="0"/>
              <w:adjustRightInd/>
              <w:snapToGrid/>
              <w:spacing w:line="460" w:lineRule="exact"/>
              <w:ind w:firstLine="480" w:firstLineChars="200"/>
              <w:textAlignment w:val="auto"/>
              <w:rPr>
                <w:rFonts w:ascii="Times New Roman" w:hAnsi="Times New Roman" w:cs="Times New Roman"/>
                <w:color w:val="000000"/>
                <w:sz w:val="24"/>
                <w:szCs w:val="24"/>
              </w:rPr>
            </w:pPr>
            <w:r>
              <w:rPr>
                <w:rFonts w:hint="eastAsia" w:ascii="Times New Roman" w:hAnsi="Times New Roman" w:cs="Times New Roman"/>
                <w:color w:val="000000"/>
                <w:sz w:val="24"/>
                <w:szCs w:val="24"/>
                <w:lang w:val="en-US" w:eastAsia="zh-CN"/>
              </w:rPr>
              <w:t>②</w:t>
            </w:r>
            <w:r>
              <w:rPr>
                <w:rFonts w:hint="eastAsia" w:ascii="Times New Roman" w:hAnsi="Times New Roman" w:cs="Times New Roman"/>
                <w:color w:val="000000"/>
                <w:sz w:val="24"/>
                <w:szCs w:val="24"/>
              </w:rPr>
              <w:t>监测项目</w:t>
            </w:r>
          </w:p>
          <w:p w14:paraId="67FD035A">
            <w:pPr>
              <w:pStyle w:val="79"/>
              <w:keepNext w:val="0"/>
              <w:keepLines w:val="0"/>
              <w:pageBreakBefore w:val="0"/>
              <w:widowControl w:val="0"/>
              <w:tabs>
                <w:tab w:val="left" w:pos="105"/>
                <w:tab w:val="left" w:pos="1080"/>
                <w:tab w:val="clear" w:pos="1050"/>
                <w:tab w:val="clear" w:pos="1260"/>
              </w:tabs>
              <w:kinsoku/>
              <w:wordWrap/>
              <w:overflowPunct/>
              <w:topLinePunct w:val="0"/>
              <w:autoSpaceDE/>
              <w:autoSpaceDN/>
              <w:bidi w:val="0"/>
              <w:adjustRightInd/>
              <w:snapToGrid/>
              <w:spacing w:line="460" w:lineRule="exact"/>
              <w:ind w:firstLine="480" w:firstLineChars="200"/>
              <w:textAlignment w:val="auto"/>
              <w:rPr>
                <w:rFonts w:ascii="Times New Roman" w:hAnsi="Times New Roman" w:cs="Times New Roman"/>
                <w:color w:val="000000"/>
                <w:kern w:val="0"/>
                <w:sz w:val="24"/>
                <w:szCs w:val="24"/>
              </w:rPr>
            </w:pPr>
            <w:r>
              <w:rPr>
                <w:rFonts w:ascii="Times New Roman" w:hAnsi="Times New Roman" w:cs="Times New Roman"/>
                <w:color w:val="000000"/>
                <w:sz w:val="24"/>
                <w:szCs w:val="24"/>
              </w:rPr>
              <w:t>基本因子：《土壤环境质量 建设用地土壤污染风险标准（试行）》（GB36600-2018），监测</w:t>
            </w:r>
            <w:r>
              <w:rPr>
                <w:rFonts w:hint="eastAsia" w:cs="Times New Roman"/>
                <w:color w:val="000000"/>
                <w:sz w:val="24"/>
                <w:szCs w:val="24"/>
                <w:lang w:val="en-US" w:eastAsia="zh-CN"/>
              </w:rPr>
              <w:t>pH以及</w:t>
            </w:r>
            <w:r>
              <w:rPr>
                <w:rFonts w:ascii="Times New Roman" w:hAnsi="Times New Roman" w:cs="Times New Roman"/>
                <w:color w:val="000000"/>
                <w:sz w:val="24"/>
                <w:szCs w:val="24"/>
              </w:rPr>
              <w:t>基本项目45项</w:t>
            </w:r>
            <w:r>
              <w:rPr>
                <w:rFonts w:hint="eastAsia" w:cs="Times New Roman"/>
                <w:color w:val="000000"/>
                <w:sz w:val="24"/>
                <w:szCs w:val="24"/>
                <w:lang w:eastAsia="zh-CN"/>
              </w:rPr>
              <w:t>（</w:t>
            </w:r>
            <w:r>
              <w:rPr>
                <w:rFonts w:ascii="Times New Roman" w:hAnsi="Times New Roman" w:cs="Times New Roman"/>
                <w:color w:val="000000"/>
                <w:kern w:val="0"/>
                <w:sz w:val="24"/>
                <w:szCs w:val="24"/>
              </w:rPr>
              <w:t>镉、汞、铬（六价）、砷、铅、铜、镍，四氯化碳、氯甲烷、1,1-二氯乙烷、1,2-二氯乙烷、1,1-二氯乙烯、顺-1,2-二氯乙烯、反-1,2-二氯乙烯、二氯甲烷、1,2-二氯丙烷、1,1,1,2-四氯乙烷、1,1,2,2-四氯乙烷、四氯乙烯、1,1,1,-三氯乙烷、1,1,2-三氯乙烷、三氯乙烯、1,2,3-三氯丙烷、氯乙烯、苯、氯苯、1,2-二氯苯、1,4-二氯苯、乙苯、苯乙烯、甲苯、间二甲苯+对二甲苯、邻二甲苯、硝基苯、苯胺、2-氯酚、萘、苯并[a]蒽、苯并[a]芘、苯并[b]荧蒽、苯并[k]荧蒽、䓛、二苯并[a,h]蒽、茚并[1,2,3-c,d]芘</w:t>
            </w:r>
            <w:r>
              <w:rPr>
                <w:rFonts w:hint="eastAsia" w:cs="Times New Roman"/>
                <w:color w:val="000000"/>
                <w:sz w:val="24"/>
                <w:szCs w:val="24"/>
                <w:lang w:eastAsia="zh-CN"/>
              </w:rPr>
              <w:t>）</w:t>
            </w:r>
            <w:r>
              <w:rPr>
                <w:rFonts w:hint="eastAsia" w:ascii="Times New Roman" w:hAnsi="Times New Roman" w:cs="Times New Roman"/>
                <w:color w:val="000000"/>
                <w:kern w:val="0"/>
                <w:sz w:val="24"/>
                <w:szCs w:val="24"/>
              </w:rPr>
              <w:t>。</w:t>
            </w:r>
          </w:p>
          <w:p w14:paraId="4462697A">
            <w:pPr>
              <w:pStyle w:val="79"/>
              <w:keepNext w:val="0"/>
              <w:keepLines w:val="0"/>
              <w:pageBreakBefore w:val="0"/>
              <w:widowControl w:val="0"/>
              <w:tabs>
                <w:tab w:val="left" w:pos="105"/>
                <w:tab w:val="left" w:pos="1080"/>
                <w:tab w:val="clear" w:pos="1050"/>
                <w:tab w:val="clear" w:pos="1260"/>
              </w:tabs>
              <w:kinsoku/>
              <w:wordWrap/>
              <w:overflowPunct/>
              <w:topLinePunct w:val="0"/>
              <w:autoSpaceDE/>
              <w:autoSpaceDN/>
              <w:bidi w:val="0"/>
              <w:adjustRightInd/>
              <w:snapToGrid/>
              <w:spacing w:line="460" w:lineRule="exact"/>
              <w:ind w:firstLine="480" w:firstLineChars="200"/>
              <w:textAlignment w:val="auto"/>
              <w:rPr>
                <w:rFonts w:hint="eastAsia" w:ascii="Times New Roman" w:hAnsi="Times New Roman" w:eastAsia="宋体" w:cs="Times New Roman"/>
                <w:color w:val="000000"/>
                <w:kern w:val="0"/>
                <w:sz w:val="24"/>
                <w:szCs w:val="24"/>
              </w:rPr>
            </w:pPr>
            <w:r>
              <w:rPr>
                <w:rFonts w:hint="eastAsia" w:ascii="Times New Roman" w:hAnsi="Times New Roman" w:eastAsia="宋体" w:cs="Times New Roman"/>
                <w:color w:val="000000"/>
                <w:kern w:val="0"/>
                <w:sz w:val="24"/>
                <w:szCs w:val="24"/>
                <w:lang w:val="en-US" w:eastAsia="zh-CN"/>
              </w:rPr>
              <w:t>③</w:t>
            </w:r>
            <w:r>
              <w:rPr>
                <w:rFonts w:hint="eastAsia" w:ascii="Times New Roman" w:hAnsi="Times New Roman" w:eastAsia="宋体" w:cs="Times New Roman"/>
                <w:color w:val="000000"/>
                <w:kern w:val="0"/>
                <w:sz w:val="24"/>
                <w:szCs w:val="24"/>
              </w:rPr>
              <w:t>监测时间及频率</w:t>
            </w:r>
          </w:p>
          <w:p w14:paraId="0FCEA01C">
            <w:pPr>
              <w:pStyle w:val="79"/>
              <w:keepNext w:val="0"/>
              <w:keepLines w:val="0"/>
              <w:pageBreakBefore w:val="0"/>
              <w:widowControl w:val="0"/>
              <w:tabs>
                <w:tab w:val="left" w:pos="105"/>
                <w:tab w:val="left" w:pos="1080"/>
                <w:tab w:val="clear" w:pos="1050"/>
                <w:tab w:val="clear" w:pos="1260"/>
              </w:tabs>
              <w:kinsoku/>
              <w:wordWrap/>
              <w:overflowPunct/>
              <w:topLinePunct w:val="0"/>
              <w:autoSpaceDE/>
              <w:autoSpaceDN/>
              <w:bidi w:val="0"/>
              <w:adjustRightInd/>
              <w:snapToGrid/>
              <w:spacing w:line="460" w:lineRule="exact"/>
              <w:ind w:firstLine="480" w:firstLineChars="200"/>
              <w:textAlignment w:val="auto"/>
              <w:rPr>
                <w:rFonts w:hint="eastAsia" w:ascii="Times New Roman" w:hAnsi="Times New Roman" w:eastAsia="宋体" w:cs="Times New Roman"/>
                <w:color w:val="000000"/>
                <w:kern w:val="0"/>
                <w:sz w:val="24"/>
                <w:szCs w:val="24"/>
              </w:rPr>
            </w:pPr>
            <w:r>
              <w:rPr>
                <w:rFonts w:hint="eastAsia" w:ascii="Times New Roman" w:hAnsi="Times New Roman" w:eastAsia="宋体" w:cs="Times New Roman"/>
                <w:color w:val="000000"/>
                <w:kern w:val="0"/>
                <w:sz w:val="24"/>
                <w:szCs w:val="24"/>
              </w:rPr>
              <w:t>本次土壤采样时间为202</w:t>
            </w:r>
            <w:r>
              <w:rPr>
                <w:rFonts w:hint="eastAsia" w:cs="Times New Roman"/>
                <w:color w:val="000000"/>
                <w:kern w:val="0"/>
                <w:sz w:val="24"/>
                <w:szCs w:val="24"/>
                <w:lang w:val="en-US" w:eastAsia="zh-CN"/>
              </w:rPr>
              <w:t>5</w:t>
            </w:r>
            <w:r>
              <w:rPr>
                <w:rFonts w:hint="eastAsia" w:ascii="Times New Roman" w:hAnsi="Times New Roman" w:eastAsia="宋体" w:cs="Times New Roman"/>
                <w:color w:val="000000"/>
                <w:kern w:val="0"/>
                <w:sz w:val="24"/>
                <w:szCs w:val="24"/>
              </w:rPr>
              <w:t>年</w:t>
            </w:r>
            <w:r>
              <w:rPr>
                <w:rFonts w:hint="eastAsia" w:cs="Times New Roman"/>
                <w:color w:val="000000"/>
                <w:kern w:val="0"/>
                <w:sz w:val="24"/>
                <w:szCs w:val="24"/>
                <w:lang w:val="en-US" w:eastAsia="zh-CN"/>
              </w:rPr>
              <w:t>7</w:t>
            </w:r>
            <w:r>
              <w:rPr>
                <w:rFonts w:hint="eastAsia" w:ascii="Times New Roman" w:hAnsi="Times New Roman" w:eastAsia="宋体" w:cs="Times New Roman"/>
                <w:color w:val="000000"/>
                <w:kern w:val="0"/>
                <w:sz w:val="24"/>
                <w:szCs w:val="24"/>
              </w:rPr>
              <w:t>月</w:t>
            </w:r>
            <w:r>
              <w:rPr>
                <w:rFonts w:hint="eastAsia" w:cs="Times New Roman"/>
                <w:color w:val="000000"/>
                <w:kern w:val="0"/>
                <w:sz w:val="24"/>
                <w:szCs w:val="24"/>
                <w:lang w:val="en-US" w:eastAsia="zh-CN"/>
              </w:rPr>
              <w:t>10</w:t>
            </w:r>
            <w:r>
              <w:rPr>
                <w:rFonts w:hint="eastAsia" w:ascii="Times New Roman" w:hAnsi="Times New Roman" w:eastAsia="宋体" w:cs="Times New Roman"/>
                <w:color w:val="000000"/>
                <w:kern w:val="0"/>
                <w:sz w:val="24"/>
                <w:szCs w:val="24"/>
              </w:rPr>
              <w:t>日，监测1天，采样1次。</w:t>
            </w:r>
          </w:p>
          <w:p w14:paraId="1E70EAE9">
            <w:pPr>
              <w:pStyle w:val="79"/>
              <w:keepNext w:val="0"/>
              <w:keepLines w:val="0"/>
              <w:pageBreakBefore w:val="0"/>
              <w:widowControl w:val="0"/>
              <w:tabs>
                <w:tab w:val="left" w:pos="105"/>
                <w:tab w:val="left" w:pos="1080"/>
                <w:tab w:val="clear" w:pos="1050"/>
                <w:tab w:val="clear" w:pos="1260"/>
              </w:tabs>
              <w:kinsoku/>
              <w:wordWrap/>
              <w:overflowPunct/>
              <w:topLinePunct w:val="0"/>
              <w:autoSpaceDE/>
              <w:autoSpaceDN/>
              <w:bidi w:val="0"/>
              <w:adjustRightInd/>
              <w:snapToGrid/>
              <w:spacing w:line="460" w:lineRule="exact"/>
              <w:ind w:firstLine="480" w:firstLineChars="200"/>
              <w:textAlignment w:val="auto"/>
              <w:rPr>
                <w:rFonts w:hint="eastAsia" w:ascii="Times New Roman" w:hAnsi="Times New Roman" w:eastAsia="宋体" w:cs="Times New Roman"/>
                <w:color w:val="000000"/>
                <w:kern w:val="0"/>
                <w:sz w:val="24"/>
                <w:szCs w:val="24"/>
              </w:rPr>
            </w:pPr>
            <w:r>
              <w:rPr>
                <w:rFonts w:hint="eastAsia" w:ascii="Times New Roman" w:hAnsi="Times New Roman" w:eastAsia="宋体" w:cs="Times New Roman"/>
                <w:color w:val="000000"/>
                <w:kern w:val="0"/>
                <w:sz w:val="24"/>
                <w:szCs w:val="24"/>
                <w:lang w:val="en-US" w:eastAsia="zh-CN"/>
              </w:rPr>
              <w:t>④</w:t>
            </w:r>
            <w:r>
              <w:rPr>
                <w:rFonts w:hint="eastAsia" w:ascii="Times New Roman" w:hAnsi="Times New Roman" w:eastAsia="宋体" w:cs="Times New Roman"/>
                <w:color w:val="000000"/>
                <w:kern w:val="0"/>
                <w:sz w:val="24"/>
                <w:szCs w:val="24"/>
              </w:rPr>
              <w:t>评价方法</w:t>
            </w:r>
          </w:p>
          <w:p w14:paraId="1E0EC7C0">
            <w:pPr>
              <w:pStyle w:val="79"/>
              <w:keepNext w:val="0"/>
              <w:keepLines w:val="0"/>
              <w:pageBreakBefore w:val="0"/>
              <w:widowControl w:val="0"/>
              <w:tabs>
                <w:tab w:val="left" w:pos="105"/>
                <w:tab w:val="left" w:pos="1080"/>
                <w:tab w:val="clear" w:pos="1050"/>
                <w:tab w:val="clear" w:pos="1260"/>
              </w:tabs>
              <w:kinsoku/>
              <w:wordWrap/>
              <w:overflowPunct/>
              <w:topLinePunct w:val="0"/>
              <w:autoSpaceDE/>
              <w:autoSpaceDN/>
              <w:bidi w:val="0"/>
              <w:adjustRightInd/>
              <w:snapToGrid/>
              <w:spacing w:line="460" w:lineRule="exact"/>
              <w:ind w:firstLine="480" w:firstLineChars="200"/>
              <w:textAlignment w:val="auto"/>
              <w:rPr>
                <w:rFonts w:hint="eastAsia" w:ascii="Times New Roman" w:hAnsi="Times New Roman" w:eastAsia="宋体" w:cs="Times New Roman"/>
                <w:color w:val="000000"/>
                <w:kern w:val="0"/>
                <w:sz w:val="24"/>
                <w:szCs w:val="24"/>
              </w:rPr>
            </w:pPr>
            <w:r>
              <w:rPr>
                <w:rFonts w:hint="eastAsia" w:ascii="Times New Roman" w:hAnsi="Times New Roman" w:eastAsia="宋体" w:cs="Times New Roman"/>
                <w:color w:val="000000"/>
                <w:kern w:val="0"/>
                <w:sz w:val="24"/>
                <w:szCs w:val="24"/>
              </w:rPr>
              <w:t>本次土壤环境质量现状评价采用比标法，即将监测结果与评价标准对比比较，低于评价标准现状即为达标。</w:t>
            </w:r>
          </w:p>
          <w:p w14:paraId="24C953F5">
            <w:pPr>
              <w:pStyle w:val="79"/>
              <w:keepNext w:val="0"/>
              <w:keepLines w:val="0"/>
              <w:pageBreakBefore w:val="0"/>
              <w:widowControl w:val="0"/>
              <w:tabs>
                <w:tab w:val="left" w:pos="105"/>
                <w:tab w:val="left" w:pos="1080"/>
                <w:tab w:val="clear" w:pos="1050"/>
                <w:tab w:val="clear" w:pos="1260"/>
              </w:tabs>
              <w:kinsoku/>
              <w:wordWrap/>
              <w:overflowPunct/>
              <w:topLinePunct w:val="0"/>
              <w:autoSpaceDE/>
              <w:autoSpaceDN/>
              <w:bidi w:val="0"/>
              <w:adjustRightInd/>
              <w:snapToGrid/>
              <w:spacing w:line="460" w:lineRule="exact"/>
              <w:ind w:firstLine="480" w:firstLineChars="200"/>
              <w:textAlignment w:val="auto"/>
              <w:rPr>
                <w:rFonts w:ascii="Times New Roman" w:hAnsi="Times New Roman" w:cs="Times New Roman"/>
                <w:color w:val="000000"/>
                <w:kern w:val="0"/>
                <w:sz w:val="24"/>
                <w:szCs w:val="24"/>
              </w:rPr>
            </w:pPr>
            <w:r>
              <w:rPr>
                <w:rFonts w:hint="eastAsia" w:cs="Times New Roman"/>
                <w:color w:val="000000"/>
                <w:kern w:val="0"/>
                <w:sz w:val="24"/>
                <w:szCs w:val="24"/>
                <w:lang w:val="en-US" w:eastAsia="zh-CN"/>
              </w:rPr>
              <w:t>⑤</w:t>
            </w:r>
            <w:r>
              <w:rPr>
                <w:rFonts w:hint="eastAsia" w:ascii="Times New Roman" w:hAnsi="Times New Roman" w:cs="Times New Roman"/>
                <w:color w:val="000000"/>
                <w:kern w:val="0"/>
                <w:sz w:val="24"/>
                <w:szCs w:val="24"/>
              </w:rPr>
              <w:t>监测结果</w:t>
            </w:r>
          </w:p>
          <w:p w14:paraId="08FADB43">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color w:val="000000"/>
                <w:sz w:val="24"/>
                <w:szCs w:val="24"/>
              </w:rPr>
            </w:pPr>
            <w:r>
              <w:rPr>
                <w:rFonts w:hint="eastAsia"/>
                <w:color w:val="000000"/>
                <w:kern w:val="0"/>
                <w:sz w:val="24"/>
                <w:szCs w:val="24"/>
              </w:rPr>
              <w:t>监测点土壤环境评价因子监测结果见</w:t>
            </w:r>
            <w:r>
              <w:rPr>
                <w:rFonts w:hint="eastAsia"/>
                <w:color w:val="000000"/>
                <w:kern w:val="0"/>
                <w:sz w:val="24"/>
                <w:szCs w:val="24"/>
                <w:lang w:eastAsia="zh-CN"/>
              </w:rPr>
              <w:t>下表</w:t>
            </w:r>
            <w:r>
              <w:rPr>
                <w:rFonts w:hint="eastAsia"/>
                <w:color w:val="000000"/>
                <w:kern w:val="0"/>
                <w:sz w:val="24"/>
                <w:szCs w:val="24"/>
              </w:rPr>
              <w:t>。</w:t>
            </w:r>
          </w:p>
          <w:p w14:paraId="1D7910C6">
            <w:pPr>
              <w:keepNext w:val="0"/>
              <w:keepLines w:val="0"/>
              <w:pageBreakBefore w:val="0"/>
              <w:widowControl w:val="0"/>
              <w:kinsoku/>
              <w:wordWrap/>
              <w:overflowPunct/>
              <w:topLinePunct w:val="0"/>
              <w:autoSpaceDE/>
              <w:autoSpaceDN/>
              <w:bidi w:val="0"/>
              <w:adjustRightInd/>
              <w:snapToGrid/>
              <w:spacing w:line="460" w:lineRule="exact"/>
              <w:ind w:firstLine="482" w:firstLineChars="200"/>
              <w:jc w:val="center"/>
              <w:textAlignment w:val="auto"/>
              <w:rPr>
                <w:rFonts w:hint="default" w:ascii="Times New Roman" w:hAnsi="Times New Roman" w:eastAsia="宋体" w:cs="Times New Roman"/>
                <w:b/>
                <w:bCs/>
                <w:snapToGrid w:val="0"/>
                <w:color w:val="000000"/>
                <w:kern w:val="0"/>
                <w:sz w:val="24"/>
              </w:rPr>
            </w:pPr>
            <w:r>
              <w:rPr>
                <w:rFonts w:hint="eastAsia" w:ascii="Times New Roman" w:hAnsi="Times New Roman" w:eastAsia="宋体" w:cs="Times New Roman"/>
                <w:b/>
                <w:bCs/>
                <w:snapToGrid w:val="0"/>
                <w:color w:val="000000"/>
                <w:kern w:val="0"/>
                <w:sz w:val="24"/>
              </w:rPr>
              <w:t>表</w:t>
            </w:r>
            <w:r>
              <w:rPr>
                <w:rFonts w:hint="eastAsia" w:ascii="Times New Roman" w:hAnsi="Times New Roman" w:eastAsia="宋体" w:cs="Times New Roman"/>
                <w:b/>
                <w:bCs/>
                <w:snapToGrid w:val="0"/>
                <w:color w:val="000000"/>
                <w:kern w:val="0"/>
                <w:sz w:val="24"/>
                <w:lang w:val="en-US" w:eastAsia="zh-CN"/>
              </w:rPr>
              <w:t>3-</w:t>
            </w:r>
            <w:r>
              <w:rPr>
                <w:rFonts w:hint="eastAsia" w:cs="Times New Roman"/>
                <w:b/>
                <w:bCs/>
                <w:snapToGrid w:val="0"/>
                <w:color w:val="000000"/>
                <w:kern w:val="0"/>
                <w:sz w:val="24"/>
                <w:lang w:val="en-US" w:eastAsia="zh-CN"/>
              </w:rPr>
              <w:t>3</w:t>
            </w:r>
            <w:r>
              <w:rPr>
                <w:rFonts w:hint="default" w:ascii="Times New Roman" w:hAnsi="Times New Roman" w:eastAsia="宋体" w:cs="Times New Roman"/>
                <w:b/>
                <w:bCs/>
                <w:snapToGrid w:val="0"/>
                <w:color w:val="000000"/>
                <w:kern w:val="0"/>
                <w:sz w:val="24"/>
              </w:rPr>
              <w:t xml:space="preserve">  </w:t>
            </w:r>
            <w:r>
              <w:rPr>
                <w:rFonts w:hint="eastAsia" w:ascii="Times New Roman" w:hAnsi="Times New Roman" w:eastAsia="宋体" w:cs="Times New Roman"/>
                <w:b/>
                <w:bCs/>
                <w:snapToGrid w:val="0"/>
                <w:color w:val="000000"/>
                <w:kern w:val="0"/>
                <w:sz w:val="24"/>
              </w:rPr>
              <w:t xml:space="preserve">土壤环境质量现状监测结果统计表 </w:t>
            </w:r>
            <w:r>
              <w:rPr>
                <w:rFonts w:hint="default" w:ascii="Times New Roman" w:hAnsi="Times New Roman" w:eastAsia="宋体" w:cs="Times New Roman"/>
                <w:b/>
                <w:bCs/>
                <w:snapToGrid w:val="0"/>
                <w:color w:val="000000"/>
                <w:kern w:val="0"/>
                <w:sz w:val="24"/>
              </w:rPr>
              <w:t xml:space="preserve"> </w:t>
            </w:r>
            <w:r>
              <w:rPr>
                <w:rFonts w:hint="eastAsia" w:ascii="Times New Roman" w:hAnsi="Times New Roman" w:eastAsia="宋体" w:cs="Times New Roman"/>
                <w:b/>
                <w:bCs/>
                <w:snapToGrid w:val="0"/>
                <w:color w:val="000000"/>
                <w:kern w:val="0"/>
                <w:sz w:val="24"/>
              </w:rPr>
              <w:t>单位：mg</w:t>
            </w:r>
            <w:r>
              <w:rPr>
                <w:rFonts w:hint="default" w:ascii="Times New Roman" w:hAnsi="Times New Roman" w:eastAsia="宋体" w:cs="Times New Roman"/>
                <w:b/>
                <w:bCs/>
                <w:snapToGrid w:val="0"/>
                <w:color w:val="000000"/>
                <w:kern w:val="0"/>
                <w:sz w:val="24"/>
              </w:rPr>
              <w:t>/</w:t>
            </w:r>
            <w:r>
              <w:rPr>
                <w:rFonts w:hint="eastAsia" w:ascii="Times New Roman" w:hAnsi="Times New Roman" w:eastAsia="宋体" w:cs="Times New Roman"/>
                <w:b/>
                <w:bCs/>
                <w:snapToGrid w:val="0"/>
                <w:color w:val="000000"/>
                <w:kern w:val="0"/>
                <w:sz w:val="24"/>
              </w:rPr>
              <w:t>kg</w:t>
            </w:r>
          </w:p>
          <w:tbl>
            <w:tblPr>
              <w:tblStyle w:val="2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03"/>
              <w:gridCol w:w="1382"/>
              <w:gridCol w:w="2100"/>
              <w:gridCol w:w="2050"/>
            </w:tblGrid>
            <w:tr w14:paraId="50AF2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0" w:type="pct"/>
                  <w:vMerge w:val="restart"/>
                  <w:noWrap w:val="0"/>
                  <w:vAlign w:val="center"/>
                </w:tcPr>
                <w:p w14:paraId="71BCF71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rPr>
                  </w:pPr>
                  <w:r>
                    <w:rPr>
                      <w:rFonts w:hint="default" w:ascii="Times New Roman" w:hAnsi="Times New Roman" w:eastAsia="宋体" w:cs="Times New Roman"/>
                      <w:b w:val="0"/>
                      <w:bCs w:val="0"/>
                      <w:color w:val="000000"/>
                      <w:kern w:val="0"/>
                      <w:sz w:val="21"/>
                      <w:szCs w:val="21"/>
                    </w:rPr>
                    <w:t>检测项目</w:t>
                  </w:r>
                </w:p>
              </w:tc>
              <w:tc>
                <w:tcPr>
                  <w:tcW w:w="882" w:type="pct"/>
                  <w:noWrap w:val="0"/>
                  <w:vAlign w:val="center"/>
                </w:tcPr>
                <w:p w14:paraId="0287A9A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rPr>
                  </w:pPr>
                  <w:r>
                    <w:rPr>
                      <w:rFonts w:hint="default" w:ascii="Times New Roman" w:hAnsi="Times New Roman" w:eastAsia="宋体" w:cs="Times New Roman"/>
                      <w:b w:val="0"/>
                      <w:bCs w:val="0"/>
                      <w:color w:val="000000"/>
                      <w:kern w:val="0"/>
                      <w:sz w:val="21"/>
                      <w:szCs w:val="21"/>
                    </w:rPr>
                    <w:t>监测结果</w:t>
                  </w:r>
                </w:p>
              </w:tc>
              <w:tc>
                <w:tcPr>
                  <w:tcW w:w="2647" w:type="pct"/>
                  <w:gridSpan w:val="2"/>
                  <w:noWrap w:val="0"/>
                  <w:vAlign w:val="center"/>
                </w:tcPr>
                <w:p w14:paraId="3E0D242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rPr>
                  </w:pPr>
                  <w:r>
                    <w:rPr>
                      <w:rFonts w:hint="default" w:ascii="Times New Roman" w:hAnsi="Times New Roman" w:eastAsia="宋体" w:cs="Times New Roman"/>
                      <w:b w:val="0"/>
                      <w:bCs w:val="0"/>
                      <w:color w:val="000000"/>
                      <w:kern w:val="0"/>
                      <w:sz w:val="21"/>
                      <w:szCs w:val="21"/>
                    </w:rPr>
                    <w:t>标准值</w:t>
                  </w:r>
                </w:p>
              </w:tc>
            </w:tr>
            <w:tr w14:paraId="53A8E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0" w:type="pct"/>
                  <w:vMerge w:val="continue"/>
                  <w:noWrap w:val="0"/>
                  <w:vAlign w:val="center"/>
                </w:tcPr>
                <w:p w14:paraId="715B2B3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rPr>
                  </w:pPr>
                </w:p>
              </w:tc>
              <w:tc>
                <w:tcPr>
                  <w:tcW w:w="882" w:type="pct"/>
                  <w:noWrap w:val="0"/>
                  <w:vAlign w:val="center"/>
                </w:tcPr>
                <w:p w14:paraId="3BBD9CA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lang w:val="en-US" w:eastAsia="zh-CN"/>
                    </w:rPr>
                  </w:pPr>
                  <w:r>
                    <w:rPr>
                      <w:rFonts w:hint="eastAsia" w:cs="Times New Roman"/>
                      <w:b w:val="0"/>
                      <w:bCs w:val="0"/>
                      <w:color w:val="000000"/>
                      <w:kern w:val="0"/>
                      <w:sz w:val="21"/>
                      <w:szCs w:val="21"/>
                      <w:lang w:val="en-US" w:eastAsia="zh-CN"/>
                    </w:rPr>
                    <w:t>202546TR1</w:t>
                  </w:r>
                </w:p>
              </w:tc>
              <w:tc>
                <w:tcPr>
                  <w:tcW w:w="1340" w:type="pct"/>
                  <w:noWrap w:val="0"/>
                  <w:vAlign w:val="center"/>
                </w:tcPr>
                <w:p w14:paraId="57A41A6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rPr>
                  </w:pPr>
                  <w:r>
                    <w:rPr>
                      <w:rFonts w:hint="default" w:ascii="Times New Roman" w:hAnsi="Times New Roman" w:eastAsia="宋体" w:cs="Times New Roman"/>
                      <w:b w:val="0"/>
                      <w:bCs w:val="0"/>
                      <w:color w:val="000000"/>
                      <w:kern w:val="0"/>
                      <w:sz w:val="21"/>
                      <w:szCs w:val="21"/>
                    </w:rPr>
                    <w:t>筛选值（第二类用地）</w:t>
                  </w:r>
                </w:p>
              </w:tc>
              <w:tc>
                <w:tcPr>
                  <w:tcW w:w="1306" w:type="pct"/>
                  <w:noWrap w:val="0"/>
                  <w:vAlign w:val="center"/>
                </w:tcPr>
                <w:p w14:paraId="0F95A37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rPr>
                  </w:pPr>
                  <w:r>
                    <w:rPr>
                      <w:rFonts w:hint="default" w:ascii="Times New Roman" w:hAnsi="Times New Roman" w:eastAsia="宋体" w:cs="Times New Roman"/>
                      <w:b w:val="0"/>
                      <w:bCs w:val="0"/>
                      <w:color w:val="000000"/>
                      <w:kern w:val="0"/>
                      <w:sz w:val="21"/>
                      <w:szCs w:val="21"/>
                    </w:rPr>
                    <w:t>管制值（第二类用地）</w:t>
                  </w:r>
                </w:p>
              </w:tc>
            </w:tr>
            <w:tr w14:paraId="45861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4"/>
                  <w:noWrap w:val="0"/>
                  <w:vAlign w:val="center"/>
                </w:tcPr>
                <w:p w14:paraId="79AA211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rPr>
                  </w:pPr>
                  <w:r>
                    <w:rPr>
                      <w:rFonts w:hint="default" w:ascii="Times New Roman" w:hAnsi="Times New Roman" w:eastAsia="宋体" w:cs="Times New Roman"/>
                      <w:b w:val="0"/>
                      <w:bCs w:val="0"/>
                      <w:color w:val="000000"/>
                      <w:kern w:val="0"/>
                      <w:sz w:val="21"/>
                      <w:szCs w:val="21"/>
                    </w:rPr>
                    <w:t>重金属和无机物</w:t>
                  </w:r>
                </w:p>
              </w:tc>
            </w:tr>
            <w:tr w14:paraId="48710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0" w:type="pct"/>
                  <w:noWrap w:val="0"/>
                  <w:vAlign w:val="center"/>
                </w:tcPr>
                <w:p w14:paraId="2ECC8D9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sz w:val="21"/>
                      <w:szCs w:val="21"/>
                      <w:lang w:val="en-US" w:eastAsia="zh-CN"/>
                    </w:rPr>
                  </w:pPr>
                  <w:r>
                    <w:rPr>
                      <w:rFonts w:hint="eastAsia" w:cs="Times New Roman"/>
                      <w:b w:val="0"/>
                      <w:bCs w:val="0"/>
                      <w:color w:val="000000"/>
                      <w:sz w:val="21"/>
                      <w:szCs w:val="21"/>
                      <w:lang w:val="en-US" w:eastAsia="zh-CN"/>
                    </w:rPr>
                    <w:t>Ph（无量纲）</w:t>
                  </w:r>
                </w:p>
              </w:tc>
              <w:tc>
                <w:tcPr>
                  <w:tcW w:w="882" w:type="pct"/>
                  <w:noWrap w:val="0"/>
                  <w:vAlign w:val="center"/>
                </w:tcPr>
                <w:p w14:paraId="4104935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sz w:val="21"/>
                      <w:szCs w:val="21"/>
                      <w:lang w:val="en-US" w:eastAsia="zh-CN"/>
                    </w:rPr>
                  </w:pPr>
                  <w:r>
                    <w:rPr>
                      <w:rFonts w:hint="eastAsia" w:cs="Times New Roman"/>
                      <w:b w:val="0"/>
                      <w:bCs w:val="0"/>
                      <w:color w:val="000000"/>
                      <w:sz w:val="21"/>
                      <w:szCs w:val="21"/>
                      <w:lang w:val="en-US" w:eastAsia="zh-CN"/>
                    </w:rPr>
                    <w:t>7.12</w:t>
                  </w:r>
                </w:p>
              </w:tc>
              <w:tc>
                <w:tcPr>
                  <w:tcW w:w="1340" w:type="pct"/>
                  <w:noWrap w:val="0"/>
                  <w:vAlign w:val="center"/>
                </w:tcPr>
                <w:p w14:paraId="520FA77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val="0"/>
                      <w:color w:val="000000"/>
                      <w:kern w:val="0"/>
                      <w:sz w:val="21"/>
                      <w:szCs w:val="21"/>
                      <w:lang w:val="en-US" w:eastAsia="zh-CN"/>
                    </w:rPr>
                  </w:pPr>
                  <w:r>
                    <w:rPr>
                      <w:rFonts w:hint="eastAsia" w:cs="Times New Roman"/>
                      <w:b w:val="0"/>
                      <w:bCs w:val="0"/>
                      <w:color w:val="000000"/>
                      <w:kern w:val="0"/>
                      <w:sz w:val="21"/>
                      <w:szCs w:val="21"/>
                      <w:lang w:val="en-US" w:eastAsia="zh-CN"/>
                    </w:rPr>
                    <w:t>/</w:t>
                  </w:r>
                </w:p>
              </w:tc>
              <w:tc>
                <w:tcPr>
                  <w:tcW w:w="1306" w:type="pct"/>
                  <w:noWrap w:val="0"/>
                  <w:vAlign w:val="center"/>
                </w:tcPr>
                <w:p w14:paraId="2B9E3EE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val="0"/>
                      <w:color w:val="000000"/>
                      <w:kern w:val="0"/>
                      <w:sz w:val="21"/>
                      <w:szCs w:val="21"/>
                      <w:lang w:val="en-US" w:eastAsia="zh-CN"/>
                    </w:rPr>
                  </w:pPr>
                  <w:r>
                    <w:rPr>
                      <w:rFonts w:hint="eastAsia" w:cs="Times New Roman"/>
                      <w:b w:val="0"/>
                      <w:bCs w:val="0"/>
                      <w:color w:val="000000"/>
                      <w:kern w:val="0"/>
                      <w:sz w:val="21"/>
                      <w:szCs w:val="21"/>
                      <w:lang w:val="en-US" w:eastAsia="zh-CN"/>
                    </w:rPr>
                    <w:t>/</w:t>
                  </w:r>
                </w:p>
              </w:tc>
            </w:tr>
            <w:tr w14:paraId="2A154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0" w:type="pct"/>
                  <w:noWrap w:val="0"/>
                  <w:vAlign w:val="center"/>
                </w:tcPr>
                <w:p w14:paraId="5075C2B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sz w:val="21"/>
                      <w:szCs w:val="21"/>
                    </w:rPr>
                  </w:pPr>
                  <w:r>
                    <w:rPr>
                      <w:rFonts w:hint="eastAsia" w:cs="Times New Roman"/>
                      <w:b w:val="0"/>
                      <w:bCs w:val="0"/>
                      <w:color w:val="000000"/>
                      <w:sz w:val="21"/>
                      <w:szCs w:val="21"/>
                      <w:lang w:eastAsia="zh-CN"/>
                    </w:rPr>
                    <w:t>总</w:t>
                  </w:r>
                  <w:r>
                    <w:rPr>
                      <w:rFonts w:hint="default" w:ascii="Times New Roman" w:hAnsi="Times New Roman" w:eastAsia="宋体" w:cs="Times New Roman"/>
                      <w:b w:val="0"/>
                      <w:bCs w:val="0"/>
                      <w:color w:val="000000"/>
                      <w:sz w:val="21"/>
                      <w:szCs w:val="21"/>
                    </w:rPr>
                    <w:t>砷</w:t>
                  </w:r>
                </w:p>
              </w:tc>
              <w:tc>
                <w:tcPr>
                  <w:tcW w:w="882" w:type="pct"/>
                  <w:noWrap w:val="0"/>
                  <w:vAlign w:val="center"/>
                </w:tcPr>
                <w:p w14:paraId="54E4E93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sz w:val="21"/>
                      <w:szCs w:val="21"/>
                      <w:lang w:val="en-US" w:eastAsia="zh-CN"/>
                    </w:rPr>
                  </w:pPr>
                  <w:r>
                    <w:rPr>
                      <w:rFonts w:hint="eastAsia" w:cs="Times New Roman"/>
                      <w:b w:val="0"/>
                      <w:bCs w:val="0"/>
                      <w:color w:val="000000"/>
                      <w:sz w:val="21"/>
                      <w:szCs w:val="21"/>
                      <w:lang w:val="en-US" w:eastAsia="zh-CN"/>
                    </w:rPr>
                    <w:t>6.95</w:t>
                  </w:r>
                </w:p>
              </w:tc>
              <w:tc>
                <w:tcPr>
                  <w:tcW w:w="1340" w:type="pct"/>
                  <w:noWrap w:val="0"/>
                  <w:vAlign w:val="center"/>
                </w:tcPr>
                <w:p w14:paraId="66BF882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rPr>
                  </w:pPr>
                  <w:r>
                    <w:rPr>
                      <w:rFonts w:hint="default" w:ascii="Times New Roman" w:hAnsi="Times New Roman" w:eastAsia="宋体" w:cs="Times New Roman"/>
                      <w:b w:val="0"/>
                      <w:bCs w:val="0"/>
                      <w:color w:val="000000"/>
                      <w:kern w:val="0"/>
                      <w:sz w:val="21"/>
                      <w:szCs w:val="21"/>
                    </w:rPr>
                    <w:t>20</w:t>
                  </w:r>
                </w:p>
              </w:tc>
              <w:tc>
                <w:tcPr>
                  <w:tcW w:w="1306" w:type="pct"/>
                  <w:noWrap w:val="0"/>
                  <w:vAlign w:val="center"/>
                </w:tcPr>
                <w:p w14:paraId="63FFA69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rPr>
                  </w:pPr>
                  <w:r>
                    <w:rPr>
                      <w:rFonts w:hint="default" w:ascii="Times New Roman" w:hAnsi="Times New Roman" w:eastAsia="宋体" w:cs="Times New Roman"/>
                      <w:b w:val="0"/>
                      <w:bCs w:val="0"/>
                      <w:color w:val="000000"/>
                      <w:kern w:val="0"/>
                      <w:sz w:val="21"/>
                      <w:szCs w:val="21"/>
                    </w:rPr>
                    <w:t>60</w:t>
                  </w:r>
                </w:p>
              </w:tc>
            </w:tr>
            <w:tr w14:paraId="4A47E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0" w:type="pct"/>
                  <w:noWrap w:val="0"/>
                  <w:vAlign w:val="center"/>
                </w:tcPr>
                <w:p w14:paraId="1F8F402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sz w:val="21"/>
                      <w:szCs w:val="21"/>
                    </w:rPr>
                  </w:pPr>
                  <w:r>
                    <w:rPr>
                      <w:rFonts w:hint="default" w:ascii="Times New Roman" w:hAnsi="Times New Roman" w:eastAsia="宋体" w:cs="Times New Roman"/>
                      <w:b w:val="0"/>
                      <w:bCs w:val="0"/>
                      <w:color w:val="000000"/>
                      <w:sz w:val="21"/>
                      <w:szCs w:val="21"/>
                    </w:rPr>
                    <w:t>镉</w:t>
                  </w:r>
                </w:p>
              </w:tc>
              <w:tc>
                <w:tcPr>
                  <w:tcW w:w="882" w:type="pct"/>
                  <w:noWrap w:val="0"/>
                  <w:vAlign w:val="center"/>
                </w:tcPr>
                <w:p w14:paraId="6FABB55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sz w:val="21"/>
                      <w:szCs w:val="21"/>
                      <w:lang w:val="en-US" w:eastAsia="zh-CN"/>
                    </w:rPr>
                  </w:pPr>
                  <w:r>
                    <w:rPr>
                      <w:rFonts w:hint="eastAsia" w:cs="Times New Roman"/>
                      <w:b w:val="0"/>
                      <w:bCs w:val="0"/>
                      <w:color w:val="000000"/>
                      <w:sz w:val="21"/>
                      <w:szCs w:val="21"/>
                      <w:lang w:val="en-US" w:eastAsia="zh-CN"/>
                    </w:rPr>
                    <w:t>0.11</w:t>
                  </w:r>
                </w:p>
              </w:tc>
              <w:tc>
                <w:tcPr>
                  <w:tcW w:w="1340" w:type="pct"/>
                  <w:noWrap w:val="0"/>
                  <w:vAlign w:val="center"/>
                </w:tcPr>
                <w:p w14:paraId="769A562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rPr>
                  </w:pPr>
                  <w:r>
                    <w:rPr>
                      <w:rFonts w:hint="default" w:ascii="Times New Roman" w:hAnsi="Times New Roman" w:eastAsia="宋体" w:cs="Times New Roman"/>
                      <w:b w:val="0"/>
                      <w:bCs w:val="0"/>
                      <w:color w:val="000000"/>
                      <w:kern w:val="0"/>
                      <w:sz w:val="21"/>
                      <w:szCs w:val="21"/>
                    </w:rPr>
                    <w:t>20</w:t>
                  </w:r>
                </w:p>
              </w:tc>
              <w:tc>
                <w:tcPr>
                  <w:tcW w:w="1306" w:type="pct"/>
                  <w:noWrap w:val="0"/>
                  <w:vAlign w:val="center"/>
                </w:tcPr>
                <w:p w14:paraId="50111B1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rPr>
                  </w:pPr>
                  <w:r>
                    <w:rPr>
                      <w:rFonts w:hint="default" w:ascii="Times New Roman" w:hAnsi="Times New Roman" w:eastAsia="宋体" w:cs="Times New Roman"/>
                      <w:b w:val="0"/>
                      <w:bCs w:val="0"/>
                      <w:color w:val="000000"/>
                      <w:kern w:val="0"/>
                      <w:sz w:val="21"/>
                      <w:szCs w:val="21"/>
                    </w:rPr>
                    <w:t>65</w:t>
                  </w:r>
                </w:p>
              </w:tc>
            </w:tr>
            <w:tr w14:paraId="0EA96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0" w:type="pct"/>
                  <w:noWrap w:val="0"/>
                  <w:vAlign w:val="center"/>
                </w:tcPr>
                <w:p w14:paraId="646AF7A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sz w:val="21"/>
                      <w:szCs w:val="21"/>
                    </w:rPr>
                  </w:pPr>
                  <w:r>
                    <w:rPr>
                      <w:rFonts w:hint="default" w:ascii="Times New Roman" w:hAnsi="Times New Roman" w:eastAsia="宋体" w:cs="Times New Roman"/>
                      <w:b w:val="0"/>
                      <w:bCs w:val="0"/>
                      <w:color w:val="000000"/>
                      <w:sz w:val="21"/>
                      <w:szCs w:val="21"/>
                    </w:rPr>
                    <w:t>六价铬</w:t>
                  </w:r>
                </w:p>
              </w:tc>
              <w:tc>
                <w:tcPr>
                  <w:tcW w:w="882" w:type="pct"/>
                  <w:noWrap w:val="0"/>
                  <w:vAlign w:val="center"/>
                </w:tcPr>
                <w:p w14:paraId="7A55747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val="0"/>
                      <w:color w:val="000000"/>
                      <w:sz w:val="21"/>
                      <w:szCs w:val="21"/>
                      <w:lang w:eastAsia="zh-CN"/>
                    </w:rPr>
                  </w:pPr>
                  <w:r>
                    <w:rPr>
                      <w:rFonts w:hint="eastAsia" w:cs="Times New Roman"/>
                      <w:b w:val="0"/>
                      <w:bCs w:val="0"/>
                      <w:color w:val="000000"/>
                      <w:sz w:val="21"/>
                      <w:szCs w:val="21"/>
                      <w:lang w:eastAsia="zh-CN"/>
                    </w:rPr>
                    <w:t>未检出</w:t>
                  </w:r>
                </w:p>
              </w:tc>
              <w:tc>
                <w:tcPr>
                  <w:tcW w:w="1340" w:type="pct"/>
                  <w:noWrap w:val="0"/>
                  <w:vAlign w:val="center"/>
                </w:tcPr>
                <w:p w14:paraId="1115A1A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rPr>
                  </w:pPr>
                  <w:r>
                    <w:rPr>
                      <w:rFonts w:hint="default" w:ascii="Times New Roman" w:hAnsi="Times New Roman" w:eastAsia="宋体" w:cs="Times New Roman"/>
                      <w:b w:val="0"/>
                      <w:bCs w:val="0"/>
                      <w:color w:val="000000"/>
                      <w:kern w:val="0"/>
                      <w:sz w:val="21"/>
                      <w:szCs w:val="21"/>
                    </w:rPr>
                    <w:t>3.0</w:t>
                  </w:r>
                </w:p>
              </w:tc>
              <w:tc>
                <w:tcPr>
                  <w:tcW w:w="1306" w:type="pct"/>
                  <w:noWrap w:val="0"/>
                  <w:vAlign w:val="center"/>
                </w:tcPr>
                <w:p w14:paraId="7873837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lang w:val="en-US" w:eastAsia="zh-CN"/>
                    </w:rPr>
                  </w:pPr>
                  <w:r>
                    <w:rPr>
                      <w:rFonts w:hint="default" w:ascii="Times New Roman" w:hAnsi="Times New Roman" w:eastAsia="宋体" w:cs="Times New Roman"/>
                      <w:b w:val="0"/>
                      <w:bCs w:val="0"/>
                      <w:color w:val="000000"/>
                      <w:kern w:val="0"/>
                      <w:sz w:val="21"/>
                      <w:szCs w:val="21"/>
                      <w:lang w:val="en-US" w:eastAsia="zh-CN"/>
                    </w:rPr>
                    <w:t>5.7</w:t>
                  </w:r>
                </w:p>
              </w:tc>
            </w:tr>
            <w:tr w14:paraId="78749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0" w:type="pct"/>
                  <w:noWrap w:val="0"/>
                  <w:vAlign w:val="center"/>
                </w:tcPr>
                <w:p w14:paraId="0688C7C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sz w:val="21"/>
                      <w:szCs w:val="21"/>
                    </w:rPr>
                  </w:pPr>
                  <w:r>
                    <w:rPr>
                      <w:rFonts w:hint="default" w:ascii="Times New Roman" w:hAnsi="Times New Roman" w:eastAsia="宋体" w:cs="Times New Roman"/>
                      <w:b w:val="0"/>
                      <w:bCs w:val="0"/>
                      <w:color w:val="000000"/>
                      <w:sz w:val="21"/>
                      <w:szCs w:val="21"/>
                    </w:rPr>
                    <w:t>铜</w:t>
                  </w:r>
                </w:p>
              </w:tc>
              <w:tc>
                <w:tcPr>
                  <w:tcW w:w="882" w:type="pct"/>
                  <w:noWrap w:val="0"/>
                  <w:vAlign w:val="center"/>
                </w:tcPr>
                <w:p w14:paraId="2D06678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sz w:val="21"/>
                      <w:szCs w:val="21"/>
                      <w:lang w:val="en-US" w:eastAsia="zh-CN"/>
                    </w:rPr>
                  </w:pPr>
                  <w:r>
                    <w:rPr>
                      <w:rFonts w:hint="eastAsia" w:cs="Times New Roman"/>
                      <w:b w:val="0"/>
                      <w:bCs w:val="0"/>
                      <w:color w:val="000000"/>
                      <w:sz w:val="21"/>
                      <w:szCs w:val="21"/>
                      <w:lang w:val="en-US" w:eastAsia="zh-CN"/>
                    </w:rPr>
                    <w:t>33</w:t>
                  </w:r>
                </w:p>
              </w:tc>
              <w:tc>
                <w:tcPr>
                  <w:tcW w:w="1340" w:type="pct"/>
                  <w:noWrap w:val="0"/>
                  <w:vAlign w:val="center"/>
                </w:tcPr>
                <w:p w14:paraId="27BF63D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rPr>
                  </w:pPr>
                  <w:r>
                    <w:rPr>
                      <w:rFonts w:hint="default" w:ascii="Times New Roman" w:hAnsi="Times New Roman" w:eastAsia="宋体" w:cs="Times New Roman"/>
                      <w:b w:val="0"/>
                      <w:bCs w:val="0"/>
                      <w:color w:val="000000"/>
                      <w:kern w:val="0"/>
                      <w:sz w:val="21"/>
                      <w:szCs w:val="21"/>
                    </w:rPr>
                    <w:t>2000</w:t>
                  </w:r>
                </w:p>
              </w:tc>
              <w:tc>
                <w:tcPr>
                  <w:tcW w:w="1306" w:type="pct"/>
                  <w:noWrap w:val="0"/>
                  <w:vAlign w:val="center"/>
                </w:tcPr>
                <w:p w14:paraId="0F11F92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rPr>
                  </w:pPr>
                  <w:r>
                    <w:rPr>
                      <w:rFonts w:hint="default" w:ascii="Times New Roman" w:hAnsi="Times New Roman" w:eastAsia="宋体" w:cs="Times New Roman"/>
                      <w:b w:val="0"/>
                      <w:bCs w:val="0"/>
                      <w:color w:val="000000"/>
                      <w:kern w:val="0"/>
                      <w:sz w:val="21"/>
                      <w:szCs w:val="21"/>
                    </w:rPr>
                    <w:t>18000</w:t>
                  </w:r>
                </w:p>
              </w:tc>
            </w:tr>
            <w:tr w14:paraId="06033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0" w:type="pct"/>
                  <w:noWrap w:val="0"/>
                  <w:vAlign w:val="center"/>
                </w:tcPr>
                <w:p w14:paraId="2658A91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sz w:val="21"/>
                      <w:szCs w:val="21"/>
                    </w:rPr>
                  </w:pPr>
                  <w:r>
                    <w:rPr>
                      <w:rFonts w:hint="default" w:ascii="Times New Roman" w:hAnsi="Times New Roman" w:eastAsia="宋体" w:cs="Times New Roman"/>
                      <w:b w:val="0"/>
                      <w:bCs w:val="0"/>
                      <w:color w:val="000000"/>
                      <w:sz w:val="21"/>
                      <w:szCs w:val="21"/>
                    </w:rPr>
                    <w:t>铅</w:t>
                  </w:r>
                </w:p>
              </w:tc>
              <w:tc>
                <w:tcPr>
                  <w:tcW w:w="882" w:type="pct"/>
                  <w:noWrap w:val="0"/>
                  <w:vAlign w:val="center"/>
                </w:tcPr>
                <w:p w14:paraId="58920D1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sz w:val="21"/>
                      <w:szCs w:val="21"/>
                      <w:lang w:val="en-US" w:eastAsia="zh-CN"/>
                    </w:rPr>
                  </w:pPr>
                  <w:r>
                    <w:rPr>
                      <w:rFonts w:hint="eastAsia" w:cs="Times New Roman"/>
                      <w:b w:val="0"/>
                      <w:bCs w:val="0"/>
                      <w:color w:val="000000"/>
                      <w:sz w:val="21"/>
                      <w:szCs w:val="21"/>
                      <w:lang w:val="en-US" w:eastAsia="zh-CN"/>
                    </w:rPr>
                    <w:t>15.6</w:t>
                  </w:r>
                </w:p>
              </w:tc>
              <w:tc>
                <w:tcPr>
                  <w:tcW w:w="1340" w:type="pct"/>
                  <w:noWrap w:val="0"/>
                  <w:vAlign w:val="center"/>
                </w:tcPr>
                <w:p w14:paraId="21EC24A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rPr>
                  </w:pPr>
                  <w:r>
                    <w:rPr>
                      <w:rFonts w:hint="default" w:ascii="Times New Roman" w:hAnsi="Times New Roman" w:eastAsia="宋体" w:cs="Times New Roman"/>
                      <w:b w:val="0"/>
                      <w:bCs w:val="0"/>
                      <w:color w:val="000000"/>
                      <w:kern w:val="0"/>
                      <w:sz w:val="21"/>
                      <w:szCs w:val="21"/>
                    </w:rPr>
                    <w:t>400</w:t>
                  </w:r>
                </w:p>
              </w:tc>
              <w:tc>
                <w:tcPr>
                  <w:tcW w:w="1306" w:type="pct"/>
                  <w:noWrap w:val="0"/>
                  <w:vAlign w:val="center"/>
                </w:tcPr>
                <w:p w14:paraId="286648D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rPr>
                  </w:pPr>
                  <w:r>
                    <w:rPr>
                      <w:rFonts w:hint="default" w:ascii="Times New Roman" w:hAnsi="Times New Roman" w:eastAsia="宋体" w:cs="Times New Roman"/>
                      <w:b w:val="0"/>
                      <w:bCs w:val="0"/>
                      <w:color w:val="000000"/>
                      <w:kern w:val="0"/>
                      <w:sz w:val="21"/>
                      <w:szCs w:val="21"/>
                    </w:rPr>
                    <w:t>800</w:t>
                  </w:r>
                </w:p>
              </w:tc>
            </w:tr>
            <w:tr w14:paraId="40B27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0" w:type="pct"/>
                  <w:noWrap w:val="0"/>
                  <w:vAlign w:val="center"/>
                </w:tcPr>
                <w:p w14:paraId="169C496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sz w:val="21"/>
                      <w:szCs w:val="21"/>
                    </w:rPr>
                  </w:pPr>
                  <w:r>
                    <w:rPr>
                      <w:rFonts w:hint="eastAsia" w:cs="Times New Roman"/>
                      <w:b w:val="0"/>
                      <w:bCs w:val="0"/>
                      <w:color w:val="000000"/>
                      <w:sz w:val="21"/>
                      <w:szCs w:val="21"/>
                      <w:lang w:eastAsia="zh-CN"/>
                    </w:rPr>
                    <w:t>总</w:t>
                  </w:r>
                  <w:r>
                    <w:rPr>
                      <w:rFonts w:hint="default" w:ascii="Times New Roman" w:hAnsi="Times New Roman" w:eastAsia="宋体" w:cs="Times New Roman"/>
                      <w:b w:val="0"/>
                      <w:bCs w:val="0"/>
                      <w:color w:val="000000"/>
                      <w:sz w:val="21"/>
                      <w:szCs w:val="21"/>
                    </w:rPr>
                    <w:t>汞</w:t>
                  </w:r>
                </w:p>
              </w:tc>
              <w:tc>
                <w:tcPr>
                  <w:tcW w:w="882" w:type="pct"/>
                  <w:noWrap w:val="0"/>
                  <w:vAlign w:val="center"/>
                </w:tcPr>
                <w:p w14:paraId="4B367CC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sz w:val="21"/>
                      <w:szCs w:val="21"/>
                      <w:lang w:val="en-US" w:eastAsia="zh-CN"/>
                    </w:rPr>
                  </w:pPr>
                  <w:r>
                    <w:rPr>
                      <w:rFonts w:hint="eastAsia" w:cs="Times New Roman"/>
                      <w:b w:val="0"/>
                      <w:bCs w:val="0"/>
                      <w:color w:val="000000"/>
                      <w:sz w:val="21"/>
                      <w:szCs w:val="21"/>
                      <w:lang w:val="en-US" w:eastAsia="zh-CN"/>
                    </w:rPr>
                    <w:t>0.0690</w:t>
                  </w:r>
                </w:p>
              </w:tc>
              <w:tc>
                <w:tcPr>
                  <w:tcW w:w="1340" w:type="pct"/>
                  <w:noWrap w:val="0"/>
                  <w:vAlign w:val="center"/>
                </w:tcPr>
                <w:p w14:paraId="318BE3C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rPr>
                  </w:pPr>
                  <w:r>
                    <w:rPr>
                      <w:rFonts w:hint="default" w:ascii="Times New Roman" w:hAnsi="Times New Roman" w:eastAsia="宋体" w:cs="Times New Roman"/>
                      <w:b w:val="0"/>
                      <w:bCs w:val="0"/>
                      <w:color w:val="000000"/>
                      <w:kern w:val="0"/>
                      <w:sz w:val="21"/>
                      <w:szCs w:val="21"/>
                    </w:rPr>
                    <w:t>8</w:t>
                  </w:r>
                </w:p>
              </w:tc>
              <w:tc>
                <w:tcPr>
                  <w:tcW w:w="1306" w:type="pct"/>
                  <w:noWrap w:val="0"/>
                  <w:vAlign w:val="center"/>
                </w:tcPr>
                <w:p w14:paraId="3917B26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rPr>
                  </w:pPr>
                  <w:r>
                    <w:rPr>
                      <w:rFonts w:hint="default" w:ascii="Times New Roman" w:hAnsi="Times New Roman" w:eastAsia="宋体" w:cs="Times New Roman"/>
                      <w:b w:val="0"/>
                      <w:bCs w:val="0"/>
                      <w:color w:val="000000"/>
                      <w:kern w:val="0"/>
                      <w:sz w:val="21"/>
                      <w:szCs w:val="21"/>
                    </w:rPr>
                    <w:t>38</w:t>
                  </w:r>
                </w:p>
              </w:tc>
            </w:tr>
            <w:tr w14:paraId="5A9ED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0" w:type="pct"/>
                  <w:noWrap w:val="0"/>
                  <w:vAlign w:val="center"/>
                </w:tcPr>
                <w:p w14:paraId="04A2BBF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sz w:val="21"/>
                      <w:szCs w:val="21"/>
                    </w:rPr>
                  </w:pPr>
                  <w:r>
                    <w:rPr>
                      <w:rFonts w:hint="default" w:ascii="Times New Roman" w:hAnsi="Times New Roman" w:eastAsia="宋体" w:cs="Times New Roman"/>
                      <w:b w:val="0"/>
                      <w:bCs w:val="0"/>
                      <w:color w:val="000000"/>
                      <w:sz w:val="21"/>
                      <w:szCs w:val="21"/>
                    </w:rPr>
                    <w:t>镍</w:t>
                  </w:r>
                </w:p>
              </w:tc>
              <w:tc>
                <w:tcPr>
                  <w:tcW w:w="882" w:type="pct"/>
                  <w:noWrap w:val="0"/>
                  <w:vAlign w:val="center"/>
                </w:tcPr>
                <w:p w14:paraId="5851FE2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sz w:val="21"/>
                      <w:szCs w:val="21"/>
                      <w:lang w:val="en-US" w:eastAsia="zh-CN"/>
                    </w:rPr>
                  </w:pPr>
                  <w:r>
                    <w:rPr>
                      <w:rFonts w:hint="eastAsia" w:cs="Times New Roman"/>
                      <w:b w:val="0"/>
                      <w:bCs w:val="0"/>
                      <w:color w:val="000000"/>
                      <w:sz w:val="21"/>
                      <w:szCs w:val="21"/>
                      <w:lang w:val="en-US" w:eastAsia="zh-CN"/>
                    </w:rPr>
                    <w:t>34</w:t>
                  </w:r>
                </w:p>
              </w:tc>
              <w:tc>
                <w:tcPr>
                  <w:tcW w:w="1340" w:type="pct"/>
                  <w:noWrap w:val="0"/>
                  <w:vAlign w:val="center"/>
                </w:tcPr>
                <w:p w14:paraId="659B681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rPr>
                  </w:pPr>
                  <w:r>
                    <w:rPr>
                      <w:rFonts w:hint="default" w:ascii="Times New Roman" w:hAnsi="Times New Roman" w:eastAsia="宋体" w:cs="Times New Roman"/>
                      <w:b w:val="0"/>
                      <w:bCs w:val="0"/>
                      <w:color w:val="000000"/>
                      <w:kern w:val="0"/>
                      <w:sz w:val="21"/>
                      <w:szCs w:val="21"/>
                    </w:rPr>
                    <w:t>150</w:t>
                  </w:r>
                </w:p>
              </w:tc>
              <w:tc>
                <w:tcPr>
                  <w:tcW w:w="1306" w:type="pct"/>
                  <w:noWrap w:val="0"/>
                  <w:vAlign w:val="center"/>
                </w:tcPr>
                <w:p w14:paraId="4F7C0D9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rPr>
                  </w:pPr>
                  <w:r>
                    <w:rPr>
                      <w:rFonts w:hint="default" w:ascii="Times New Roman" w:hAnsi="Times New Roman" w:eastAsia="宋体" w:cs="Times New Roman"/>
                      <w:b w:val="0"/>
                      <w:bCs w:val="0"/>
                      <w:color w:val="000000"/>
                      <w:kern w:val="0"/>
                      <w:sz w:val="21"/>
                      <w:szCs w:val="21"/>
                    </w:rPr>
                    <w:t>900</w:t>
                  </w:r>
                </w:p>
              </w:tc>
            </w:tr>
            <w:tr w14:paraId="5D748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4"/>
                  <w:noWrap w:val="0"/>
                  <w:vAlign w:val="center"/>
                </w:tcPr>
                <w:p w14:paraId="76160DC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rPr>
                  </w:pPr>
                  <w:r>
                    <w:rPr>
                      <w:rFonts w:hint="default" w:ascii="Times New Roman" w:hAnsi="Times New Roman" w:eastAsia="宋体" w:cs="Times New Roman"/>
                      <w:b w:val="0"/>
                      <w:bCs w:val="0"/>
                      <w:color w:val="000000"/>
                      <w:kern w:val="0"/>
                      <w:sz w:val="21"/>
                      <w:szCs w:val="21"/>
                    </w:rPr>
                    <w:t>挥发性有机物</w:t>
                  </w:r>
                </w:p>
              </w:tc>
            </w:tr>
            <w:tr w14:paraId="7BB8C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0" w:type="pct"/>
                  <w:noWrap w:val="0"/>
                  <w:vAlign w:val="center"/>
                </w:tcPr>
                <w:p w14:paraId="0B3B469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rPr>
                  </w:pPr>
                  <w:r>
                    <w:rPr>
                      <w:rFonts w:hint="default" w:ascii="Times New Roman" w:hAnsi="Times New Roman" w:eastAsia="宋体" w:cs="Times New Roman"/>
                      <w:b w:val="0"/>
                      <w:bCs w:val="0"/>
                      <w:color w:val="000000"/>
                      <w:kern w:val="0"/>
                      <w:sz w:val="21"/>
                      <w:szCs w:val="21"/>
                    </w:rPr>
                    <w:t>四氯化碳</w:t>
                  </w:r>
                </w:p>
              </w:tc>
              <w:tc>
                <w:tcPr>
                  <w:tcW w:w="882" w:type="pct"/>
                  <w:noWrap w:val="0"/>
                  <w:vAlign w:val="center"/>
                </w:tcPr>
                <w:p w14:paraId="3C198F6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sz w:val="21"/>
                      <w:szCs w:val="21"/>
                      <w:lang w:val="en-US" w:eastAsia="zh-CN"/>
                    </w:rPr>
                  </w:pPr>
                  <w:r>
                    <w:rPr>
                      <w:rFonts w:hint="default" w:ascii="Times New Roman" w:hAnsi="Times New Roman" w:eastAsia="宋体" w:cs="Times New Roman"/>
                      <w:b w:val="0"/>
                      <w:bCs w:val="0"/>
                      <w:color w:val="000000"/>
                      <w:sz w:val="21"/>
                      <w:szCs w:val="21"/>
                      <w:lang w:val="en-US" w:eastAsia="zh-CN"/>
                    </w:rPr>
                    <w:t>未检出</w:t>
                  </w:r>
                </w:p>
              </w:tc>
              <w:tc>
                <w:tcPr>
                  <w:tcW w:w="1340" w:type="pct"/>
                  <w:noWrap w:val="0"/>
                  <w:vAlign w:val="center"/>
                </w:tcPr>
                <w:p w14:paraId="21E50FC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rPr>
                  </w:pPr>
                  <w:r>
                    <w:rPr>
                      <w:rFonts w:hint="default" w:ascii="Times New Roman" w:hAnsi="Times New Roman" w:eastAsia="宋体" w:cs="Times New Roman"/>
                      <w:b w:val="0"/>
                      <w:bCs w:val="0"/>
                      <w:color w:val="000000"/>
                      <w:kern w:val="0"/>
                      <w:sz w:val="21"/>
                      <w:szCs w:val="21"/>
                    </w:rPr>
                    <w:t>2.8</w:t>
                  </w:r>
                </w:p>
              </w:tc>
              <w:tc>
                <w:tcPr>
                  <w:tcW w:w="1306" w:type="pct"/>
                  <w:noWrap w:val="0"/>
                  <w:vAlign w:val="center"/>
                </w:tcPr>
                <w:p w14:paraId="23A024C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rPr>
                  </w:pPr>
                  <w:r>
                    <w:rPr>
                      <w:rFonts w:hint="default" w:ascii="Times New Roman" w:hAnsi="Times New Roman" w:eastAsia="宋体" w:cs="Times New Roman"/>
                      <w:b w:val="0"/>
                      <w:bCs w:val="0"/>
                      <w:color w:val="000000"/>
                      <w:kern w:val="0"/>
                      <w:sz w:val="21"/>
                      <w:szCs w:val="21"/>
                    </w:rPr>
                    <w:t>36</w:t>
                  </w:r>
                </w:p>
              </w:tc>
            </w:tr>
            <w:tr w14:paraId="4D55F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0" w:type="pct"/>
                  <w:noWrap w:val="0"/>
                  <w:vAlign w:val="center"/>
                </w:tcPr>
                <w:p w14:paraId="72793A0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rPr>
                  </w:pPr>
                  <w:r>
                    <w:rPr>
                      <w:rFonts w:hint="default" w:ascii="Times New Roman" w:hAnsi="Times New Roman" w:eastAsia="宋体" w:cs="Times New Roman"/>
                      <w:b w:val="0"/>
                      <w:bCs w:val="0"/>
                      <w:color w:val="000000"/>
                      <w:kern w:val="0"/>
                      <w:sz w:val="21"/>
                      <w:szCs w:val="21"/>
                    </w:rPr>
                    <w:t>氯仿</w:t>
                  </w:r>
                </w:p>
              </w:tc>
              <w:tc>
                <w:tcPr>
                  <w:tcW w:w="882" w:type="pct"/>
                  <w:noWrap w:val="0"/>
                  <w:vAlign w:val="center"/>
                </w:tcPr>
                <w:p w14:paraId="6B507CF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sz w:val="21"/>
                      <w:szCs w:val="21"/>
                    </w:rPr>
                  </w:pPr>
                  <w:r>
                    <w:rPr>
                      <w:rFonts w:hint="default" w:ascii="Times New Roman" w:hAnsi="Times New Roman" w:eastAsia="宋体" w:cs="Times New Roman"/>
                      <w:b w:val="0"/>
                      <w:bCs w:val="0"/>
                      <w:color w:val="000000"/>
                      <w:sz w:val="21"/>
                      <w:szCs w:val="21"/>
                      <w:lang w:val="en-US" w:eastAsia="zh-CN"/>
                    </w:rPr>
                    <w:t>未检出</w:t>
                  </w:r>
                </w:p>
              </w:tc>
              <w:tc>
                <w:tcPr>
                  <w:tcW w:w="1340" w:type="pct"/>
                  <w:noWrap w:val="0"/>
                  <w:vAlign w:val="center"/>
                </w:tcPr>
                <w:p w14:paraId="140B5C5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rPr>
                  </w:pPr>
                  <w:r>
                    <w:rPr>
                      <w:rFonts w:hint="default" w:ascii="Times New Roman" w:hAnsi="Times New Roman" w:eastAsia="宋体" w:cs="Times New Roman"/>
                      <w:b w:val="0"/>
                      <w:bCs w:val="0"/>
                      <w:color w:val="000000"/>
                      <w:kern w:val="0"/>
                      <w:sz w:val="21"/>
                      <w:szCs w:val="21"/>
                    </w:rPr>
                    <w:t>0.9</w:t>
                  </w:r>
                </w:p>
              </w:tc>
              <w:tc>
                <w:tcPr>
                  <w:tcW w:w="1306" w:type="pct"/>
                  <w:noWrap w:val="0"/>
                  <w:vAlign w:val="center"/>
                </w:tcPr>
                <w:p w14:paraId="0504114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rPr>
                  </w:pPr>
                  <w:r>
                    <w:rPr>
                      <w:rFonts w:hint="default" w:ascii="Times New Roman" w:hAnsi="Times New Roman" w:eastAsia="宋体" w:cs="Times New Roman"/>
                      <w:b w:val="0"/>
                      <w:bCs w:val="0"/>
                      <w:color w:val="000000"/>
                      <w:kern w:val="0"/>
                      <w:sz w:val="21"/>
                      <w:szCs w:val="21"/>
                    </w:rPr>
                    <w:t>10</w:t>
                  </w:r>
                </w:p>
              </w:tc>
            </w:tr>
            <w:tr w14:paraId="35ECC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0" w:type="pct"/>
                  <w:noWrap w:val="0"/>
                  <w:vAlign w:val="center"/>
                </w:tcPr>
                <w:p w14:paraId="6D1A3EA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rPr>
                  </w:pPr>
                  <w:r>
                    <w:rPr>
                      <w:rFonts w:hint="default" w:ascii="Times New Roman" w:hAnsi="Times New Roman" w:eastAsia="宋体" w:cs="Times New Roman"/>
                      <w:b w:val="0"/>
                      <w:bCs w:val="0"/>
                      <w:color w:val="000000"/>
                      <w:kern w:val="0"/>
                      <w:sz w:val="21"/>
                      <w:szCs w:val="21"/>
                    </w:rPr>
                    <w:t>氯甲烷</w:t>
                  </w:r>
                </w:p>
              </w:tc>
              <w:tc>
                <w:tcPr>
                  <w:tcW w:w="882" w:type="pct"/>
                  <w:noWrap w:val="0"/>
                  <w:vAlign w:val="center"/>
                </w:tcPr>
                <w:p w14:paraId="65B27AB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sz w:val="21"/>
                      <w:szCs w:val="21"/>
                    </w:rPr>
                  </w:pPr>
                  <w:r>
                    <w:rPr>
                      <w:rFonts w:hint="default" w:ascii="Times New Roman" w:hAnsi="Times New Roman" w:eastAsia="宋体" w:cs="Times New Roman"/>
                      <w:b w:val="0"/>
                      <w:bCs w:val="0"/>
                      <w:color w:val="000000"/>
                      <w:sz w:val="21"/>
                      <w:szCs w:val="21"/>
                      <w:lang w:val="en-US" w:eastAsia="zh-CN"/>
                    </w:rPr>
                    <w:t>未检出</w:t>
                  </w:r>
                </w:p>
              </w:tc>
              <w:tc>
                <w:tcPr>
                  <w:tcW w:w="1340" w:type="pct"/>
                  <w:noWrap w:val="0"/>
                  <w:vAlign w:val="center"/>
                </w:tcPr>
                <w:p w14:paraId="6AAEEE9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rPr>
                  </w:pPr>
                  <w:r>
                    <w:rPr>
                      <w:rFonts w:hint="default" w:ascii="Times New Roman" w:hAnsi="Times New Roman" w:eastAsia="宋体" w:cs="Times New Roman"/>
                      <w:b w:val="0"/>
                      <w:bCs w:val="0"/>
                      <w:color w:val="000000"/>
                      <w:kern w:val="0"/>
                      <w:sz w:val="21"/>
                      <w:szCs w:val="21"/>
                    </w:rPr>
                    <w:t>37</w:t>
                  </w:r>
                </w:p>
              </w:tc>
              <w:tc>
                <w:tcPr>
                  <w:tcW w:w="1306" w:type="pct"/>
                  <w:noWrap w:val="0"/>
                  <w:vAlign w:val="center"/>
                </w:tcPr>
                <w:p w14:paraId="655F382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rPr>
                  </w:pPr>
                  <w:r>
                    <w:rPr>
                      <w:rFonts w:hint="default" w:ascii="Times New Roman" w:hAnsi="Times New Roman" w:eastAsia="宋体" w:cs="Times New Roman"/>
                      <w:b w:val="0"/>
                      <w:bCs w:val="0"/>
                      <w:color w:val="000000"/>
                      <w:kern w:val="0"/>
                      <w:sz w:val="21"/>
                      <w:szCs w:val="21"/>
                    </w:rPr>
                    <w:t>120</w:t>
                  </w:r>
                </w:p>
              </w:tc>
            </w:tr>
            <w:tr w14:paraId="0A46A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0" w:type="pct"/>
                  <w:noWrap w:val="0"/>
                  <w:vAlign w:val="center"/>
                </w:tcPr>
                <w:p w14:paraId="3F56CD6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rPr>
                  </w:pPr>
                  <w:r>
                    <w:rPr>
                      <w:rFonts w:hint="default" w:ascii="Times New Roman" w:hAnsi="Times New Roman" w:eastAsia="宋体" w:cs="Times New Roman"/>
                      <w:b w:val="0"/>
                      <w:bCs w:val="0"/>
                      <w:color w:val="000000"/>
                      <w:kern w:val="0"/>
                      <w:sz w:val="21"/>
                      <w:szCs w:val="21"/>
                    </w:rPr>
                    <w:t>1,1-二氯乙烷</w:t>
                  </w:r>
                </w:p>
              </w:tc>
              <w:tc>
                <w:tcPr>
                  <w:tcW w:w="882" w:type="pct"/>
                  <w:noWrap w:val="0"/>
                  <w:vAlign w:val="center"/>
                </w:tcPr>
                <w:p w14:paraId="274D836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sz w:val="21"/>
                      <w:szCs w:val="21"/>
                    </w:rPr>
                  </w:pPr>
                  <w:r>
                    <w:rPr>
                      <w:rFonts w:hint="default" w:ascii="Times New Roman" w:hAnsi="Times New Roman" w:eastAsia="宋体" w:cs="Times New Roman"/>
                      <w:b w:val="0"/>
                      <w:bCs w:val="0"/>
                      <w:color w:val="000000"/>
                      <w:sz w:val="21"/>
                      <w:szCs w:val="21"/>
                      <w:lang w:val="en-US" w:eastAsia="zh-CN"/>
                    </w:rPr>
                    <w:t>未检出</w:t>
                  </w:r>
                </w:p>
              </w:tc>
              <w:tc>
                <w:tcPr>
                  <w:tcW w:w="1340" w:type="pct"/>
                  <w:noWrap w:val="0"/>
                  <w:vAlign w:val="center"/>
                </w:tcPr>
                <w:p w14:paraId="3986726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rPr>
                  </w:pPr>
                  <w:r>
                    <w:rPr>
                      <w:rFonts w:hint="default" w:ascii="Times New Roman" w:hAnsi="Times New Roman" w:eastAsia="宋体" w:cs="Times New Roman"/>
                      <w:b w:val="0"/>
                      <w:bCs w:val="0"/>
                      <w:color w:val="000000"/>
                      <w:kern w:val="0"/>
                      <w:sz w:val="21"/>
                      <w:szCs w:val="21"/>
                    </w:rPr>
                    <w:t>9</w:t>
                  </w:r>
                </w:p>
              </w:tc>
              <w:tc>
                <w:tcPr>
                  <w:tcW w:w="1306" w:type="pct"/>
                  <w:noWrap w:val="0"/>
                  <w:vAlign w:val="center"/>
                </w:tcPr>
                <w:p w14:paraId="1990864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rPr>
                  </w:pPr>
                  <w:r>
                    <w:rPr>
                      <w:rFonts w:hint="default" w:ascii="Times New Roman" w:hAnsi="Times New Roman" w:eastAsia="宋体" w:cs="Times New Roman"/>
                      <w:b w:val="0"/>
                      <w:bCs w:val="0"/>
                      <w:color w:val="000000"/>
                      <w:kern w:val="0"/>
                      <w:sz w:val="21"/>
                      <w:szCs w:val="21"/>
                    </w:rPr>
                    <w:t>100</w:t>
                  </w:r>
                </w:p>
              </w:tc>
            </w:tr>
            <w:tr w14:paraId="3B0AA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0" w:type="pct"/>
                  <w:noWrap w:val="0"/>
                  <w:vAlign w:val="center"/>
                </w:tcPr>
                <w:p w14:paraId="3C289E6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rPr>
                  </w:pPr>
                  <w:r>
                    <w:rPr>
                      <w:rFonts w:hint="default" w:ascii="Times New Roman" w:hAnsi="Times New Roman" w:eastAsia="宋体" w:cs="Times New Roman"/>
                      <w:b w:val="0"/>
                      <w:bCs w:val="0"/>
                      <w:color w:val="000000"/>
                      <w:kern w:val="0"/>
                      <w:sz w:val="21"/>
                      <w:szCs w:val="21"/>
                    </w:rPr>
                    <w:t>1,2-二氯乙烷</w:t>
                  </w:r>
                </w:p>
              </w:tc>
              <w:tc>
                <w:tcPr>
                  <w:tcW w:w="882" w:type="pct"/>
                  <w:noWrap w:val="0"/>
                  <w:vAlign w:val="center"/>
                </w:tcPr>
                <w:p w14:paraId="6E20DC8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sz w:val="21"/>
                      <w:szCs w:val="21"/>
                    </w:rPr>
                  </w:pPr>
                  <w:r>
                    <w:rPr>
                      <w:rFonts w:hint="default" w:ascii="Times New Roman" w:hAnsi="Times New Roman" w:eastAsia="宋体" w:cs="Times New Roman"/>
                      <w:b w:val="0"/>
                      <w:bCs w:val="0"/>
                      <w:color w:val="000000"/>
                      <w:sz w:val="21"/>
                      <w:szCs w:val="21"/>
                      <w:lang w:val="en-US" w:eastAsia="zh-CN"/>
                    </w:rPr>
                    <w:t>未检出</w:t>
                  </w:r>
                </w:p>
              </w:tc>
              <w:tc>
                <w:tcPr>
                  <w:tcW w:w="1340" w:type="pct"/>
                  <w:noWrap w:val="0"/>
                  <w:vAlign w:val="center"/>
                </w:tcPr>
                <w:p w14:paraId="5549E3A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rPr>
                  </w:pPr>
                  <w:r>
                    <w:rPr>
                      <w:rFonts w:hint="default" w:ascii="Times New Roman" w:hAnsi="Times New Roman" w:eastAsia="宋体" w:cs="Times New Roman"/>
                      <w:b w:val="0"/>
                      <w:bCs w:val="0"/>
                      <w:color w:val="000000"/>
                      <w:kern w:val="0"/>
                      <w:sz w:val="21"/>
                      <w:szCs w:val="21"/>
                    </w:rPr>
                    <w:t>5</w:t>
                  </w:r>
                </w:p>
              </w:tc>
              <w:tc>
                <w:tcPr>
                  <w:tcW w:w="1306" w:type="pct"/>
                  <w:noWrap w:val="0"/>
                  <w:vAlign w:val="center"/>
                </w:tcPr>
                <w:p w14:paraId="5DA552E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rPr>
                  </w:pPr>
                  <w:r>
                    <w:rPr>
                      <w:rFonts w:hint="default" w:ascii="Times New Roman" w:hAnsi="Times New Roman" w:eastAsia="宋体" w:cs="Times New Roman"/>
                      <w:b w:val="0"/>
                      <w:bCs w:val="0"/>
                      <w:color w:val="000000"/>
                      <w:kern w:val="0"/>
                      <w:sz w:val="21"/>
                      <w:szCs w:val="21"/>
                    </w:rPr>
                    <w:t>21</w:t>
                  </w:r>
                </w:p>
              </w:tc>
            </w:tr>
            <w:tr w14:paraId="606AC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0" w:type="pct"/>
                  <w:noWrap w:val="0"/>
                  <w:vAlign w:val="center"/>
                </w:tcPr>
                <w:p w14:paraId="255009C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rPr>
                  </w:pPr>
                  <w:r>
                    <w:rPr>
                      <w:rFonts w:hint="default" w:ascii="Times New Roman" w:hAnsi="Times New Roman" w:eastAsia="宋体" w:cs="Times New Roman"/>
                      <w:b w:val="0"/>
                      <w:bCs w:val="0"/>
                      <w:color w:val="000000"/>
                      <w:kern w:val="0"/>
                      <w:sz w:val="21"/>
                      <w:szCs w:val="21"/>
                    </w:rPr>
                    <w:t>1,1-二氯乙烯</w:t>
                  </w:r>
                </w:p>
              </w:tc>
              <w:tc>
                <w:tcPr>
                  <w:tcW w:w="882" w:type="pct"/>
                  <w:noWrap w:val="0"/>
                  <w:vAlign w:val="center"/>
                </w:tcPr>
                <w:p w14:paraId="3E912E5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sz w:val="21"/>
                      <w:szCs w:val="21"/>
                    </w:rPr>
                  </w:pPr>
                  <w:r>
                    <w:rPr>
                      <w:rFonts w:hint="default" w:ascii="Times New Roman" w:hAnsi="Times New Roman" w:eastAsia="宋体" w:cs="Times New Roman"/>
                      <w:b w:val="0"/>
                      <w:bCs w:val="0"/>
                      <w:color w:val="000000"/>
                      <w:sz w:val="21"/>
                      <w:szCs w:val="21"/>
                      <w:lang w:val="en-US" w:eastAsia="zh-CN"/>
                    </w:rPr>
                    <w:t>未检出</w:t>
                  </w:r>
                </w:p>
              </w:tc>
              <w:tc>
                <w:tcPr>
                  <w:tcW w:w="1340" w:type="pct"/>
                  <w:noWrap w:val="0"/>
                  <w:vAlign w:val="center"/>
                </w:tcPr>
                <w:p w14:paraId="618FFE2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rPr>
                  </w:pPr>
                  <w:r>
                    <w:rPr>
                      <w:rFonts w:hint="default" w:ascii="Times New Roman" w:hAnsi="Times New Roman" w:eastAsia="宋体" w:cs="Times New Roman"/>
                      <w:b w:val="0"/>
                      <w:bCs w:val="0"/>
                      <w:color w:val="000000"/>
                      <w:kern w:val="0"/>
                      <w:sz w:val="21"/>
                      <w:szCs w:val="21"/>
                    </w:rPr>
                    <w:t>66</w:t>
                  </w:r>
                </w:p>
              </w:tc>
              <w:tc>
                <w:tcPr>
                  <w:tcW w:w="1306" w:type="pct"/>
                  <w:noWrap w:val="0"/>
                  <w:vAlign w:val="center"/>
                </w:tcPr>
                <w:p w14:paraId="6EF61DC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rPr>
                  </w:pPr>
                  <w:r>
                    <w:rPr>
                      <w:rFonts w:hint="default" w:ascii="Times New Roman" w:hAnsi="Times New Roman" w:eastAsia="宋体" w:cs="Times New Roman"/>
                      <w:b w:val="0"/>
                      <w:bCs w:val="0"/>
                      <w:color w:val="000000"/>
                      <w:kern w:val="0"/>
                      <w:sz w:val="21"/>
                      <w:szCs w:val="21"/>
                    </w:rPr>
                    <w:t>200</w:t>
                  </w:r>
                </w:p>
              </w:tc>
            </w:tr>
            <w:tr w14:paraId="2B26F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0" w:type="pct"/>
                  <w:noWrap w:val="0"/>
                  <w:vAlign w:val="center"/>
                </w:tcPr>
                <w:p w14:paraId="4FB0466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rPr>
                  </w:pPr>
                  <w:r>
                    <w:rPr>
                      <w:rFonts w:hint="default" w:ascii="Times New Roman" w:hAnsi="Times New Roman" w:eastAsia="宋体" w:cs="Times New Roman"/>
                      <w:b w:val="0"/>
                      <w:bCs w:val="0"/>
                      <w:color w:val="000000"/>
                      <w:kern w:val="0"/>
                      <w:sz w:val="21"/>
                      <w:szCs w:val="21"/>
                    </w:rPr>
                    <w:t>顺-1,2-二氯乙烯</w:t>
                  </w:r>
                </w:p>
              </w:tc>
              <w:tc>
                <w:tcPr>
                  <w:tcW w:w="882" w:type="pct"/>
                  <w:noWrap w:val="0"/>
                  <w:vAlign w:val="center"/>
                </w:tcPr>
                <w:p w14:paraId="0B5E9B7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sz w:val="21"/>
                      <w:szCs w:val="21"/>
                    </w:rPr>
                  </w:pPr>
                  <w:r>
                    <w:rPr>
                      <w:rFonts w:hint="default" w:ascii="Times New Roman" w:hAnsi="Times New Roman" w:eastAsia="宋体" w:cs="Times New Roman"/>
                      <w:b w:val="0"/>
                      <w:bCs w:val="0"/>
                      <w:color w:val="000000"/>
                      <w:sz w:val="21"/>
                      <w:szCs w:val="21"/>
                      <w:lang w:val="en-US" w:eastAsia="zh-CN"/>
                    </w:rPr>
                    <w:t>未检出</w:t>
                  </w:r>
                </w:p>
              </w:tc>
              <w:tc>
                <w:tcPr>
                  <w:tcW w:w="1340" w:type="pct"/>
                  <w:noWrap w:val="0"/>
                  <w:vAlign w:val="center"/>
                </w:tcPr>
                <w:p w14:paraId="11856C7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rPr>
                  </w:pPr>
                  <w:r>
                    <w:rPr>
                      <w:rFonts w:hint="default" w:ascii="Times New Roman" w:hAnsi="Times New Roman" w:eastAsia="宋体" w:cs="Times New Roman"/>
                      <w:b w:val="0"/>
                      <w:bCs w:val="0"/>
                      <w:color w:val="000000"/>
                      <w:kern w:val="0"/>
                      <w:sz w:val="21"/>
                      <w:szCs w:val="21"/>
                    </w:rPr>
                    <w:t>596</w:t>
                  </w:r>
                </w:p>
              </w:tc>
              <w:tc>
                <w:tcPr>
                  <w:tcW w:w="1306" w:type="pct"/>
                  <w:noWrap w:val="0"/>
                  <w:vAlign w:val="center"/>
                </w:tcPr>
                <w:p w14:paraId="74D6D86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rPr>
                  </w:pPr>
                  <w:r>
                    <w:rPr>
                      <w:rFonts w:hint="default" w:ascii="Times New Roman" w:hAnsi="Times New Roman" w:eastAsia="宋体" w:cs="Times New Roman"/>
                      <w:b w:val="0"/>
                      <w:bCs w:val="0"/>
                      <w:color w:val="000000"/>
                      <w:kern w:val="0"/>
                      <w:sz w:val="21"/>
                      <w:szCs w:val="21"/>
                    </w:rPr>
                    <w:t>2000</w:t>
                  </w:r>
                </w:p>
              </w:tc>
            </w:tr>
            <w:tr w14:paraId="4F40A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0" w:type="pct"/>
                  <w:noWrap w:val="0"/>
                  <w:vAlign w:val="center"/>
                </w:tcPr>
                <w:p w14:paraId="3798748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rPr>
                  </w:pPr>
                  <w:r>
                    <w:rPr>
                      <w:rFonts w:hint="default" w:ascii="Times New Roman" w:hAnsi="Times New Roman" w:eastAsia="宋体" w:cs="Times New Roman"/>
                      <w:b w:val="0"/>
                      <w:bCs w:val="0"/>
                      <w:color w:val="000000"/>
                      <w:kern w:val="0"/>
                      <w:sz w:val="21"/>
                      <w:szCs w:val="21"/>
                    </w:rPr>
                    <w:t>反-1,2-二氯乙烯</w:t>
                  </w:r>
                </w:p>
              </w:tc>
              <w:tc>
                <w:tcPr>
                  <w:tcW w:w="882" w:type="pct"/>
                  <w:noWrap w:val="0"/>
                  <w:vAlign w:val="center"/>
                </w:tcPr>
                <w:p w14:paraId="1F5CFC9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sz w:val="21"/>
                      <w:szCs w:val="21"/>
                    </w:rPr>
                  </w:pPr>
                  <w:r>
                    <w:rPr>
                      <w:rFonts w:hint="default" w:ascii="Times New Roman" w:hAnsi="Times New Roman" w:eastAsia="宋体" w:cs="Times New Roman"/>
                      <w:b w:val="0"/>
                      <w:bCs w:val="0"/>
                      <w:color w:val="000000"/>
                      <w:sz w:val="21"/>
                      <w:szCs w:val="21"/>
                      <w:lang w:val="en-US" w:eastAsia="zh-CN"/>
                    </w:rPr>
                    <w:t>未检出</w:t>
                  </w:r>
                </w:p>
              </w:tc>
              <w:tc>
                <w:tcPr>
                  <w:tcW w:w="1340" w:type="pct"/>
                  <w:noWrap w:val="0"/>
                  <w:vAlign w:val="center"/>
                </w:tcPr>
                <w:p w14:paraId="182C53B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rPr>
                  </w:pPr>
                  <w:r>
                    <w:rPr>
                      <w:rFonts w:hint="default" w:ascii="Times New Roman" w:hAnsi="Times New Roman" w:eastAsia="宋体" w:cs="Times New Roman"/>
                      <w:b w:val="0"/>
                      <w:bCs w:val="0"/>
                      <w:color w:val="000000"/>
                      <w:kern w:val="0"/>
                      <w:sz w:val="21"/>
                      <w:szCs w:val="21"/>
                    </w:rPr>
                    <w:t>54</w:t>
                  </w:r>
                </w:p>
              </w:tc>
              <w:tc>
                <w:tcPr>
                  <w:tcW w:w="1306" w:type="pct"/>
                  <w:noWrap w:val="0"/>
                  <w:vAlign w:val="center"/>
                </w:tcPr>
                <w:p w14:paraId="2A553A4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rPr>
                  </w:pPr>
                  <w:r>
                    <w:rPr>
                      <w:rFonts w:hint="default" w:ascii="Times New Roman" w:hAnsi="Times New Roman" w:eastAsia="宋体" w:cs="Times New Roman"/>
                      <w:b w:val="0"/>
                      <w:bCs w:val="0"/>
                      <w:color w:val="000000"/>
                      <w:kern w:val="0"/>
                      <w:sz w:val="21"/>
                      <w:szCs w:val="21"/>
                    </w:rPr>
                    <w:t>163</w:t>
                  </w:r>
                </w:p>
              </w:tc>
            </w:tr>
            <w:tr w14:paraId="30C1D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0" w:type="pct"/>
                  <w:noWrap w:val="0"/>
                  <w:vAlign w:val="center"/>
                </w:tcPr>
                <w:p w14:paraId="55DFEA8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rPr>
                  </w:pPr>
                  <w:r>
                    <w:rPr>
                      <w:rFonts w:hint="default" w:ascii="Times New Roman" w:hAnsi="Times New Roman" w:eastAsia="宋体" w:cs="Times New Roman"/>
                      <w:b w:val="0"/>
                      <w:bCs w:val="0"/>
                      <w:color w:val="000000"/>
                      <w:kern w:val="0"/>
                      <w:sz w:val="21"/>
                      <w:szCs w:val="21"/>
                    </w:rPr>
                    <w:t>二氯甲烷</w:t>
                  </w:r>
                </w:p>
              </w:tc>
              <w:tc>
                <w:tcPr>
                  <w:tcW w:w="882" w:type="pct"/>
                  <w:noWrap w:val="0"/>
                  <w:vAlign w:val="center"/>
                </w:tcPr>
                <w:p w14:paraId="6337D83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sz w:val="21"/>
                      <w:szCs w:val="21"/>
                    </w:rPr>
                  </w:pPr>
                  <w:r>
                    <w:rPr>
                      <w:rFonts w:hint="default" w:ascii="Times New Roman" w:hAnsi="Times New Roman" w:eastAsia="宋体" w:cs="Times New Roman"/>
                      <w:b w:val="0"/>
                      <w:bCs w:val="0"/>
                      <w:color w:val="000000"/>
                      <w:sz w:val="21"/>
                      <w:szCs w:val="21"/>
                      <w:lang w:val="en-US" w:eastAsia="zh-CN"/>
                    </w:rPr>
                    <w:t>未检出</w:t>
                  </w:r>
                </w:p>
              </w:tc>
              <w:tc>
                <w:tcPr>
                  <w:tcW w:w="1340" w:type="pct"/>
                  <w:noWrap w:val="0"/>
                  <w:vAlign w:val="center"/>
                </w:tcPr>
                <w:p w14:paraId="41F49AC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rPr>
                  </w:pPr>
                  <w:r>
                    <w:rPr>
                      <w:rFonts w:hint="default" w:ascii="Times New Roman" w:hAnsi="Times New Roman" w:eastAsia="宋体" w:cs="Times New Roman"/>
                      <w:b w:val="0"/>
                      <w:bCs w:val="0"/>
                      <w:color w:val="000000"/>
                      <w:kern w:val="0"/>
                      <w:sz w:val="21"/>
                      <w:szCs w:val="21"/>
                    </w:rPr>
                    <w:t>616</w:t>
                  </w:r>
                </w:p>
              </w:tc>
              <w:tc>
                <w:tcPr>
                  <w:tcW w:w="1306" w:type="pct"/>
                  <w:noWrap w:val="0"/>
                  <w:vAlign w:val="center"/>
                </w:tcPr>
                <w:p w14:paraId="59B4379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rPr>
                  </w:pPr>
                  <w:r>
                    <w:rPr>
                      <w:rFonts w:hint="default" w:ascii="Times New Roman" w:hAnsi="Times New Roman" w:eastAsia="宋体" w:cs="Times New Roman"/>
                      <w:b w:val="0"/>
                      <w:bCs w:val="0"/>
                      <w:color w:val="000000"/>
                      <w:kern w:val="0"/>
                      <w:sz w:val="21"/>
                      <w:szCs w:val="21"/>
                    </w:rPr>
                    <w:t>2000</w:t>
                  </w:r>
                </w:p>
              </w:tc>
            </w:tr>
            <w:tr w14:paraId="39EB8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0" w:type="pct"/>
                  <w:noWrap w:val="0"/>
                  <w:vAlign w:val="center"/>
                </w:tcPr>
                <w:p w14:paraId="25F88CD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rPr>
                  </w:pPr>
                  <w:r>
                    <w:rPr>
                      <w:rFonts w:hint="default" w:ascii="Times New Roman" w:hAnsi="Times New Roman" w:eastAsia="宋体" w:cs="Times New Roman"/>
                      <w:b w:val="0"/>
                      <w:bCs w:val="0"/>
                      <w:color w:val="000000"/>
                      <w:kern w:val="0"/>
                      <w:sz w:val="21"/>
                      <w:szCs w:val="21"/>
                    </w:rPr>
                    <w:t>1,2-二氯丙烷</w:t>
                  </w:r>
                </w:p>
              </w:tc>
              <w:tc>
                <w:tcPr>
                  <w:tcW w:w="882" w:type="pct"/>
                  <w:noWrap w:val="0"/>
                  <w:vAlign w:val="center"/>
                </w:tcPr>
                <w:p w14:paraId="294AC0F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sz w:val="21"/>
                      <w:szCs w:val="21"/>
                    </w:rPr>
                  </w:pPr>
                  <w:r>
                    <w:rPr>
                      <w:rFonts w:hint="default" w:ascii="Times New Roman" w:hAnsi="Times New Roman" w:eastAsia="宋体" w:cs="Times New Roman"/>
                      <w:b w:val="0"/>
                      <w:bCs w:val="0"/>
                      <w:color w:val="000000"/>
                      <w:sz w:val="21"/>
                      <w:szCs w:val="21"/>
                      <w:lang w:val="en-US" w:eastAsia="zh-CN"/>
                    </w:rPr>
                    <w:t>未检出</w:t>
                  </w:r>
                </w:p>
              </w:tc>
              <w:tc>
                <w:tcPr>
                  <w:tcW w:w="1340" w:type="pct"/>
                  <w:noWrap w:val="0"/>
                  <w:vAlign w:val="center"/>
                </w:tcPr>
                <w:p w14:paraId="46FC93B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rPr>
                  </w:pPr>
                  <w:r>
                    <w:rPr>
                      <w:rFonts w:hint="default" w:ascii="Times New Roman" w:hAnsi="Times New Roman" w:eastAsia="宋体" w:cs="Times New Roman"/>
                      <w:b w:val="0"/>
                      <w:bCs w:val="0"/>
                      <w:color w:val="000000"/>
                      <w:kern w:val="0"/>
                      <w:sz w:val="21"/>
                      <w:szCs w:val="21"/>
                    </w:rPr>
                    <w:t>5</w:t>
                  </w:r>
                </w:p>
              </w:tc>
              <w:tc>
                <w:tcPr>
                  <w:tcW w:w="1306" w:type="pct"/>
                  <w:noWrap w:val="0"/>
                  <w:vAlign w:val="center"/>
                </w:tcPr>
                <w:p w14:paraId="03534E2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rPr>
                  </w:pPr>
                  <w:r>
                    <w:rPr>
                      <w:rFonts w:hint="default" w:ascii="Times New Roman" w:hAnsi="Times New Roman" w:eastAsia="宋体" w:cs="Times New Roman"/>
                      <w:b w:val="0"/>
                      <w:bCs w:val="0"/>
                      <w:color w:val="000000"/>
                      <w:kern w:val="0"/>
                      <w:sz w:val="21"/>
                      <w:szCs w:val="21"/>
                    </w:rPr>
                    <w:t>47</w:t>
                  </w:r>
                </w:p>
              </w:tc>
            </w:tr>
            <w:tr w14:paraId="5B23C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0" w:type="pct"/>
                  <w:noWrap w:val="0"/>
                  <w:vAlign w:val="center"/>
                </w:tcPr>
                <w:p w14:paraId="632727E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rPr>
                  </w:pPr>
                  <w:r>
                    <w:rPr>
                      <w:rFonts w:hint="default" w:ascii="Times New Roman" w:hAnsi="Times New Roman" w:eastAsia="宋体" w:cs="Times New Roman"/>
                      <w:b w:val="0"/>
                      <w:bCs w:val="0"/>
                      <w:color w:val="000000"/>
                      <w:kern w:val="0"/>
                      <w:sz w:val="21"/>
                      <w:szCs w:val="21"/>
                    </w:rPr>
                    <w:t>1,1,1,2-四氯乙烷</w:t>
                  </w:r>
                </w:p>
              </w:tc>
              <w:tc>
                <w:tcPr>
                  <w:tcW w:w="882" w:type="pct"/>
                  <w:noWrap w:val="0"/>
                  <w:vAlign w:val="center"/>
                </w:tcPr>
                <w:p w14:paraId="27D6B6E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sz w:val="21"/>
                      <w:szCs w:val="21"/>
                    </w:rPr>
                  </w:pPr>
                  <w:r>
                    <w:rPr>
                      <w:rFonts w:hint="default" w:ascii="Times New Roman" w:hAnsi="Times New Roman" w:eastAsia="宋体" w:cs="Times New Roman"/>
                      <w:b w:val="0"/>
                      <w:bCs w:val="0"/>
                      <w:color w:val="000000"/>
                      <w:sz w:val="21"/>
                      <w:szCs w:val="21"/>
                      <w:lang w:val="en-US" w:eastAsia="zh-CN"/>
                    </w:rPr>
                    <w:t>未检出</w:t>
                  </w:r>
                </w:p>
              </w:tc>
              <w:tc>
                <w:tcPr>
                  <w:tcW w:w="1340" w:type="pct"/>
                  <w:noWrap w:val="0"/>
                  <w:vAlign w:val="center"/>
                </w:tcPr>
                <w:p w14:paraId="427052D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rPr>
                  </w:pPr>
                  <w:r>
                    <w:rPr>
                      <w:rFonts w:hint="default" w:ascii="Times New Roman" w:hAnsi="Times New Roman" w:eastAsia="宋体" w:cs="Times New Roman"/>
                      <w:b w:val="0"/>
                      <w:bCs w:val="0"/>
                      <w:color w:val="000000"/>
                      <w:kern w:val="0"/>
                      <w:sz w:val="21"/>
                      <w:szCs w:val="21"/>
                    </w:rPr>
                    <w:t>10</w:t>
                  </w:r>
                </w:p>
              </w:tc>
              <w:tc>
                <w:tcPr>
                  <w:tcW w:w="1306" w:type="pct"/>
                  <w:noWrap w:val="0"/>
                  <w:vAlign w:val="center"/>
                </w:tcPr>
                <w:p w14:paraId="30BB5AF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rPr>
                  </w:pPr>
                  <w:r>
                    <w:rPr>
                      <w:rFonts w:hint="default" w:ascii="Times New Roman" w:hAnsi="Times New Roman" w:eastAsia="宋体" w:cs="Times New Roman"/>
                      <w:b w:val="0"/>
                      <w:bCs w:val="0"/>
                      <w:color w:val="000000"/>
                      <w:kern w:val="0"/>
                      <w:sz w:val="21"/>
                      <w:szCs w:val="21"/>
                    </w:rPr>
                    <w:t>100</w:t>
                  </w:r>
                </w:p>
              </w:tc>
            </w:tr>
            <w:tr w14:paraId="2B2D9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0" w:type="pct"/>
                  <w:noWrap w:val="0"/>
                  <w:vAlign w:val="center"/>
                </w:tcPr>
                <w:p w14:paraId="163D95D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rPr>
                  </w:pPr>
                  <w:r>
                    <w:rPr>
                      <w:rFonts w:hint="default" w:ascii="Times New Roman" w:hAnsi="Times New Roman" w:eastAsia="宋体" w:cs="Times New Roman"/>
                      <w:b w:val="0"/>
                      <w:bCs w:val="0"/>
                      <w:color w:val="000000"/>
                      <w:kern w:val="0"/>
                      <w:sz w:val="21"/>
                      <w:szCs w:val="21"/>
                    </w:rPr>
                    <w:t>1,1,2,2-四氯乙烷</w:t>
                  </w:r>
                </w:p>
              </w:tc>
              <w:tc>
                <w:tcPr>
                  <w:tcW w:w="882" w:type="pct"/>
                  <w:noWrap w:val="0"/>
                  <w:vAlign w:val="center"/>
                </w:tcPr>
                <w:p w14:paraId="1564970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sz w:val="21"/>
                      <w:szCs w:val="21"/>
                    </w:rPr>
                  </w:pPr>
                  <w:r>
                    <w:rPr>
                      <w:rFonts w:hint="default" w:ascii="Times New Roman" w:hAnsi="Times New Roman" w:eastAsia="宋体" w:cs="Times New Roman"/>
                      <w:b w:val="0"/>
                      <w:bCs w:val="0"/>
                      <w:color w:val="000000"/>
                      <w:sz w:val="21"/>
                      <w:szCs w:val="21"/>
                      <w:lang w:val="en-US" w:eastAsia="zh-CN"/>
                    </w:rPr>
                    <w:t>未检出</w:t>
                  </w:r>
                </w:p>
              </w:tc>
              <w:tc>
                <w:tcPr>
                  <w:tcW w:w="1340" w:type="pct"/>
                  <w:noWrap w:val="0"/>
                  <w:vAlign w:val="center"/>
                </w:tcPr>
                <w:p w14:paraId="5D718D6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rPr>
                  </w:pPr>
                  <w:r>
                    <w:rPr>
                      <w:rFonts w:hint="default" w:ascii="Times New Roman" w:hAnsi="Times New Roman" w:eastAsia="宋体" w:cs="Times New Roman"/>
                      <w:b w:val="0"/>
                      <w:bCs w:val="0"/>
                      <w:color w:val="000000"/>
                      <w:kern w:val="0"/>
                      <w:sz w:val="21"/>
                      <w:szCs w:val="21"/>
                    </w:rPr>
                    <w:t>6.8</w:t>
                  </w:r>
                </w:p>
              </w:tc>
              <w:tc>
                <w:tcPr>
                  <w:tcW w:w="1306" w:type="pct"/>
                  <w:noWrap w:val="0"/>
                  <w:vAlign w:val="center"/>
                </w:tcPr>
                <w:p w14:paraId="326565B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rPr>
                  </w:pPr>
                  <w:r>
                    <w:rPr>
                      <w:rFonts w:hint="default" w:ascii="Times New Roman" w:hAnsi="Times New Roman" w:eastAsia="宋体" w:cs="Times New Roman"/>
                      <w:b w:val="0"/>
                      <w:bCs w:val="0"/>
                      <w:color w:val="000000"/>
                      <w:kern w:val="0"/>
                      <w:sz w:val="21"/>
                      <w:szCs w:val="21"/>
                    </w:rPr>
                    <w:t>50</w:t>
                  </w:r>
                </w:p>
              </w:tc>
            </w:tr>
            <w:tr w14:paraId="20F9E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0" w:type="pct"/>
                  <w:noWrap w:val="0"/>
                  <w:vAlign w:val="center"/>
                </w:tcPr>
                <w:p w14:paraId="4CF6583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rPr>
                  </w:pPr>
                  <w:r>
                    <w:rPr>
                      <w:rFonts w:hint="default" w:ascii="Times New Roman" w:hAnsi="Times New Roman" w:eastAsia="宋体" w:cs="Times New Roman"/>
                      <w:b w:val="0"/>
                      <w:bCs w:val="0"/>
                      <w:color w:val="000000"/>
                      <w:kern w:val="0"/>
                      <w:sz w:val="21"/>
                      <w:szCs w:val="21"/>
                    </w:rPr>
                    <w:t>四氯乙烯</w:t>
                  </w:r>
                </w:p>
              </w:tc>
              <w:tc>
                <w:tcPr>
                  <w:tcW w:w="882" w:type="pct"/>
                  <w:noWrap w:val="0"/>
                  <w:vAlign w:val="center"/>
                </w:tcPr>
                <w:p w14:paraId="679B333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sz w:val="21"/>
                      <w:szCs w:val="21"/>
                      <w:lang w:val="en-US"/>
                    </w:rPr>
                  </w:pPr>
                  <w:r>
                    <w:rPr>
                      <w:rFonts w:hint="default" w:ascii="Times New Roman" w:hAnsi="Times New Roman" w:eastAsia="宋体" w:cs="Times New Roman"/>
                      <w:b w:val="0"/>
                      <w:bCs w:val="0"/>
                      <w:color w:val="000000"/>
                      <w:sz w:val="21"/>
                      <w:szCs w:val="21"/>
                      <w:lang w:val="en-US" w:eastAsia="zh-CN"/>
                    </w:rPr>
                    <w:t>未检出</w:t>
                  </w:r>
                </w:p>
              </w:tc>
              <w:tc>
                <w:tcPr>
                  <w:tcW w:w="1340" w:type="pct"/>
                  <w:noWrap w:val="0"/>
                  <w:vAlign w:val="center"/>
                </w:tcPr>
                <w:p w14:paraId="1F0942B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rPr>
                  </w:pPr>
                  <w:r>
                    <w:rPr>
                      <w:rFonts w:hint="default" w:ascii="Times New Roman" w:hAnsi="Times New Roman" w:eastAsia="宋体" w:cs="Times New Roman"/>
                      <w:b w:val="0"/>
                      <w:bCs w:val="0"/>
                      <w:color w:val="000000"/>
                      <w:kern w:val="0"/>
                      <w:sz w:val="21"/>
                      <w:szCs w:val="21"/>
                    </w:rPr>
                    <w:t>53</w:t>
                  </w:r>
                </w:p>
              </w:tc>
              <w:tc>
                <w:tcPr>
                  <w:tcW w:w="1306" w:type="pct"/>
                  <w:noWrap w:val="0"/>
                  <w:vAlign w:val="center"/>
                </w:tcPr>
                <w:p w14:paraId="1D15B95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rPr>
                  </w:pPr>
                  <w:r>
                    <w:rPr>
                      <w:rFonts w:hint="default" w:ascii="Times New Roman" w:hAnsi="Times New Roman" w:eastAsia="宋体" w:cs="Times New Roman"/>
                      <w:b w:val="0"/>
                      <w:bCs w:val="0"/>
                      <w:color w:val="000000"/>
                      <w:kern w:val="0"/>
                      <w:sz w:val="21"/>
                      <w:szCs w:val="21"/>
                    </w:rPr>
                    <w:t>183</w:t>
                  </w:r>
                </w:p>
              </w:tc>
            </w:tr>
            <w:tr w14:paraId="0472E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0" w:type="pct"/>
                  <w:noWrap w:val="0"/>
                  <w:vAlign w:val="center"/>
                </w:tcPr>
                <w:p w14:paraId="04A76C3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rPr>
                  </w:pPr>
                  <w:r>
                    <w:rPr>
                      <w:rFonts w:hint="default" w:ascii="Times New Roman" w:hAnsi="Times New Roman" w:eastAsia="宋体" w:cs="Times New Roman"/>
                      <w:b w:val="0"/>
                      <w:bCs w:val="0"/>
                      <w:color w:val="000000"/>
                      <w:kern w:val="0"/>
                      <w:sz w:val="21"/>
                      <w:szCs w:val="21"/>
                    </w:rPr>
                    <w:t>1,1,1,-三氯乙烷</w:t>
                  </w:r>
                </w:p>
              </w:tc>
              <w:tc>
                <w:tcPr>
                  <w:tcW w:w="882" w:type="pct"/>
                  <w:noWrap w:val="0"/>
                  <w:vAlign w:val="center"/>
                </w:tcPr>
                <w:p w14:paraId="71928AA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sz w:val="21"/>
                      <w:szCs w:val="21"/>
                    </w:rPr>
                  </w:pPr>
                  <w:r>
                    <w:rPr>
                      <w:rFonts w:hint="default" w:ascii="Times New Roman" w:hAnsi="Times New Roman" w:eastAsia="宋体" w:cs="Times New Roman"/>
                      <w:b w:val="0"/>
                      <w:bCs w:val="0"/>
                      <w:color w:val="000000"/>
                      <w:sz w:val="21"/>
                      <w:szCs w:val="21"/>
                      <w:lang w:val="en-US" w:eastAsia="zh-CN"/>
                    </w:rPr>
                    <w:t>未检出</w:t>
                  </w:r>
                </w:p>
              </w:tc>
              <w:tc>
                <w:tcPr>
                  <w:tcW w:w="1340" w:type="pct"/>
                  <w:noWrap w:val="0"/>
                  <w:vAlign w:val="center"/>
                </w:tcPr>
                <w:p w14:paraId="7CC495E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rPr>
                  </w:pPr>
                  <w:r>
                    <w:rPr>
                      <w:rFonts w:hint="default" w:ascii="Times New Roman" w:hAnsi="Times New Roman" w:eastAsia="宋体" w:cs="Times New Roman"/>
                      <w:b w:val="0"/>
                      <w:bCs w:val="0"/>
                      <w:color w:val="000000"/>
                      <w:kern w:val="0"/>
                      <w:sz w:val="21"/>
                      <w:szCs w:val="21"/>
                    </w:rPr>
                    <w:t>840</w:t>
                  </w:r>
                </w:p>
              </w:tc>
              <w:tc>
                <w:tcPr>
                  <w:tcW w:w="1306" w:type="pct"/>
                  <w:noWrap w:val="0"/>
                  <w:vAlign w:val="center"/>
                </w:tcPr>
                <w:p w14:paraId="3FA9449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rPr>
                  </w:pPr>
                  <w:r>
                    <w:rPr>
                      <w:rFonts w:hint="default" w:ascii="Times New Roman" w:hAnsi="Times New Roman" w:eastAsia="宋体" w:cs="Times New Roman"/>
                      <w:b w:val="0"/>
                      <w:bCs w:val="0"/>
                      <w:color w:val="000000"/>
                      <w:kern w:val="0"/>
                      <w:sz w:val="21"/>
                      <w:szCs w:val="21"/>
                    </w:rPr>
                    <w:t>840</w:t>
                  </w:r>
                </w:p>
              </w:tc>
            </w:tr>
            <w:tr w14:paraId="12E9B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0" w:type="pct"/>
                  <w:noWrap w:val="0"/>
                  <w:vAlign w:val="center"/>
                </w:tcPr>
                <w:p w14:paraId="1B86808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rPr>
                  </w:pPr>
                  <w:r>
                    <w:rPr>
                      <w:rFonts w:hint="default" w:ascii="Times New Roman" w:hAnsi="Times New Roman" w:eastAsia="宋体" w:cs="Times New Roman"/>
                      <w:b w:val="0"/>
                      <w:bCs w:val="0"/>
                      <w:color w:val="000000"/>
                      <w:kern w:val="0"/>
                      <w:sz w:val="21"/>
                      <w:szCs w:val="21"/>
                    </w:rPr>
                    <w:t>1,1,2-三氯乙烷</w:t>
                  </w:r>
                </w:p>
              </w:tc>
              <w:tc>
                <w:tcPr>
                  <w:tcW w:w="882" w:type="pct"/>
                  <w:noWrap w:val="0"/>
                  <w:vAlign w:val="center"/>
                </w:tcPr>
                <w:p w14:paraId="1BD3FB2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sz w:val="21"/>
                      <w:szCs w:val="21"/>
                    </w:rPr>
                  </w:pPr>
                  <w:r>
                    <w:rPr>
                      <w:rFonts w:hint="default" w:ascii="Times New Roman" w:hAnsi="Times New Roman" w:eastAsia="宋体" w:cs="Times New Roman"/>
                      <w:b w:val="0"/>
                      <w:bCs w:val="0"/>
                      <w:color w:val="000000"/>
                      <w:sz w:val="21"/>
                      <w:szCs w:val="21"/>
                      <w:lang w:val="en-US" w:eastAsia="zh-CN"/>
                    </w:rPr>
                    <w:t>未检出</w:t>
                  </w:r>
                </w:p>
              </w:tc>
              <w:tc>
                <w:tcPr>
                  <w:tcW w:w="1340" w:type="pct"/>
                  <w:noWrap w:val="0"/>
                  <w:vAlign w:val="center"/>
                </w:tcPr>
                <w:p w14:paraId="57E3F88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rPr>
                  </w:pPr>
                  <w:r>
                    <w:rPr>
                      <w:rFonts w:hint="default" w:ascii="Times New Roman" w:hAnsi="Times New Roman" w:eastAsia="宋体" w:cs="Times New Roman"/>
                      <w:b w:val="0"/>
                      <w:bCs w:val="0"/>
                      <w:color w:val="000000"/>
                      <w:kern w:val="0"/>
                      <w:sz w:val="21"/>
                      <w:szCs w:val="21"/>
                    </w:rPr>
                    <w:t>2.8</w:t>
                  </w:r>
                </w:p>
              </w:tc>
              <w:tc>
                <w:tcPr>
                  <w:tcW w:w="1306" w:type="pct"/>
                  <w:noWrap w:val="0"/>
                  <w:vAlign w:val="center"/>
                </w:tcPr>
                <w:p w14:paraId="2400658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rPr>
                  </w:pPr>
                  <w:r>
                    <w:rPr>
                      <w:rFonts w:hint="default" w:ascii="Times New Roman" w:hAnsi="Times New Roman" w:eastAsia="宋体" w:cs="Times New Roman"/>
                      <w:b w:val="0"/>
                      <w:bCs w:val="0"/>
                      <w:color w:val="000000"/>
                      <w:kern w:val="0"/>
                      <w:sz w:val="21"/>
                      <w:szCs w:val="21"/>
                    </w:rPr>
                    <w:t>15</w:t>
                  </w:r>
                </w:p>
              </w:tc>
            </w:tr>
            <w:tr w14:paraId="7B9C6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0" w:type="pct"/>
                  <w:noWrap w:val="0"/>
                  <w:vAlign w:val="center"/>
                </w:tcPr>
                <w:p w14:paraId="72CE1DE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rPr>
                  </w:pPr>
                  <w:r>
                    <w:rPr>
                      <w:rFonts w:hint="default" w:ascii="Times New Roman" w:hAnsi="Times New Roman" w:eastAsia="宋体" w:cs="Times New Roman"/>
                      <w:b w:val="0"/>
                      <w:bCs w:val="0"/>
                      <w:color w:val="000000"/>
                      <w:kern w:val="0"/>
                      <w:sz w:val="21"/>
                      <w:szCs w:val="21"/>
                    </w:rPr>
                    <w:t>三氯乙烯</w:t>
                  </w:r>
                </w:p>
              </w:tc>
              <w:tc>
                <w:tcPr>
                  <w:tcW w:w="882" w:type="pct"/>
                  <w:noWrap w:val="0"/>
                  <w:vAlign w:val="center"/>
                </w:tcPr>
                <w:p w14:paraId="0B6E901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sz w:val="21"/>
                      <w:szCs w:val="21"/>
                    </w:rPr>
                  </w:pPr>
                  <w:r>
                    <w:rPr>
                      <w:rFonts w:hint="default" w:ascii="Times New Roman" w:hAnsi="Times New Roman" w:eastAsia="宋体" w:cs="Times New Roman"/>
                      <w:b w:val="0"/>
                      <w:bCs w:val="0"/>
                      <w:color w:val="000000"/>
                      <w:sz w:val="21"/>
                      <w:szCs w:val="21"/>
                      <w:lang w:val="en-US" w:eastAsia="zh-CN"/>
                    </w:rPr>
                    <w:t>未检出</w:t>
                  </w:r>
                </w:p>
              </w:tc>
              <w:tc>
                <w:tcPr>
                  <w:tcW w:w="1340" w:type="pct"/>
                  <w:noWrap w:val="0"/>
                  <w:vAlign w:val="center"/>
                </w:tcPr>
                <w:p w14:paraId="3E9984C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rPr>
                  </w:pPr>
                  <w:r>
                    <w:rPr>
                      <w:rFonts w:hint="default" w:ascii="Times New Roman" w:hAnsi="Times New Roman" w:eastAsia="宋体" w:cs="Times New Roman"/>
                      <w:b w:val="0"/>
                      <w:bCs w:val="0"/>
                      <w:color w:val="000000"/>
                      <w:kern w:val="0"/>
                      <w:sz w:val="21"/>
                      <w:szCs w:val="21"/>
                    </w:rPr>
                    <w:t>2.8</w:t>
                  </w:r>
                </w:p>
              </w:tc>
              <w:tc>
                <w:tcPr>
                  <w:tcW w:w="1306" w:type="pct"/>
                  <w:noWrap w:val="0"/>
                  <w:vAlign w:val="center"/>
                </w:tcPr>
                <w:p w14:paraId="4A50CB4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rPr>
                  </w:pPr>
                  <w:r>
                    <w:rPr>
                      <w:rFonts w:hint="default" w:ascii="Times New Roman" w:hAnsi="Times New Roman" w:eastAsia="宋体" w:cs="Times New Roman"/>
                      <w:b w:val="0"/>
                      <w:bCs w:val="0"/>
                      <w:color w:val="000000"/>
                      <w:kern w:val="0"/>
                      <w:sz w:val="21"/>
                      <w:szCs w:val="21"/>
                    </w:rPr>
                    <w:t>20</w:t>
                  </w:r>
                </w:p>
              </w:tc>
            </w:tr>
            <w:tr w14:paraId="454A1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0" w:type="pct"/>
                  <w:noWrap w:val="0"/>
                  <w:vAlign w:val="center"/>
                </w:tcPr>
                <w:p w14:paraId="6AA8F09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rPr>
                  </w:pPr>
                  <w:r>
                    <w:rPr>
                      <w:rFonts w:hint="default" w:ascii="Times New Roman" w:hAnsi="Times New Roman" w:eastAsia="宋体" w:cs="Times New Roman"/>
                      <w:b w:val="0"/>
                      <w:bCs w:val="0"/>
                      <w:color w:val="000000"/>
                      <w:kern w:val="0"/>
                      <w:sz w:val="21"/>
                      <w:szCs w:val="21"/>
                    </w:rPr>
                    <w:t>1,2,3-三氯丙烷</w:t>
                  </w:r>
                </w:p>
              </w:tc>
              <w:tc>
                <w:tcPr>
                  <w:tcW w:w="882" w:type="pct"/>
                  <w:noWrap w:val="0"/>
                  <w:vAlign w:val="center"/>
                </w:tcPr>
                <w:p w14:paraId="55DA188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sz w:val="21"/>
                      <w:szCs w:val="21"/>
                    </w:rPr>
                  </w:pPr>
                  <w:r>
                    <w:rPr>
                      <w:rFonts w:hint="default" w:ascii="Times New Roman" w:hAnsi="Times New Roman" w:eastAsia="宋体" w:cs="Times New Roman"/>
                      <w:b w:val="0"/>
                      <w:bCs w:val="0"/>
                      <w:color w:val="000000"/>
                      <w:sz w:val="21"/>
                      <w:szCs w:val="21"/>
                      <w:lang w:val="en-US" w:eastAsia="zh-CN"/>
                    </w:rPr>
                    <w:t>未检出</w:t>
                  </w:r>
                </w:p>
              </w:tc>
              <w:tc>
                <w:tcPr>
                  <w:tcW w:w="1340" w:type="pct"/>
                  <w:noWrap w:val="0"/>
                  <w:vAlign w:val="center"/>
                </w:tcPr>
                <w:p w14:paraId="67B6B57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rPr>
                  </w:pPr>
                  <w:r>
                    <w:rPr>
                      <w:rFonts w:hint="default" w:ascii="Times New Roman" w:hAnsi="Times New Roman" w:eastAsia="宋体" w:cs="Times New Roman"/>
                      <w:b w:val="0"/>
                      <w:bCs w:val="0"/>
                      <w:color w:val="000000"/>
                      <w:kern w:val="0"/>
                      <w:sz w:val="21"/>
                      <w:szCs w:val="21"/>
                    </w:rPr>
                    <w:t>0.5</w:t>
                  </w:r>
                </w:p>
              </w:tc>
              <w:tc>
                <w:tcPr>
                  <w:tcW w:w="1306" w:type="pct"/>
                  <w:noWrap w:val="0"/>
                  <w:vAlign w:val="center"/>
                </w:tcPr>
                <w:p w14:paraId="028C65E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rPr>
                  </w:pPr>
                  <w:r>
                    <w:rPr>
                      <w:rFonts w:hint="default" w:ascii="Times New Roman" w:hAnsi="Times New Roman" w:eastAsia="宋体" w:cs="Times New Roman"/>
                      <w:b w:val="0"/>
                      <w:bCs w:val="0"/>
                      <w:color w:val="000000"/>
                      <w:kern w:val="0"/>
                      <w:sz w:val="21"/>
                      <w:szCs w:val="21"/>
                    </w:rPr>
                    <w:t>5</w:t>
                  </w:r>
                </w:p>
              </w:tc>
            </w:tr>
            <w:tr w14:paraId="3AFF7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0" w:type="pct"/>
                  <w:noWrap w:val="0"/>
                  <w:vAlign w:val="center"/>
                </w:tcPr>
                <w:p w14:paraId="18BD248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rPr>
                  </w:pPr>
                  <w:r>
                    <w:rPr>
                      <w:rFonts w:hint="default" w:ascii="Times New Roman" w:hAnsi="Times New Roman" w:eastAsia="宋体" w:cs="Times New Roman"/>
                      <w:b w:val="0"/>
                      <w:bCs w:val="0"/>
                      <w:color w:val="000000"/>
                      <w:kern w:val="0"/>
                      <w:sz w:val="21"/>
                      <w:szCs w:val="21"/>
                    </w:rPr>
                    <w:t>氯乙烯</w:t>
                  </w:r>
                </w:p>
              </w:tc>
              <w:tc>
                <w:tcPr>
                  <w:tcW w:w="882" w:type="pct"/>
                  <w:noWrap w:val="0"/>
                  <w:vAlign w:val="center"/>
                </w:tcPr>
                <w:p w14:paraId="3836360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sz w:val="21"/>
                      <w:szCs w:val="21"/>
                    </w:rPr>
                  </w:pPr>
                  <w:r>
                    <w:rPr>
                      <w:rFonts w:hint="default" w:ascii="Times New Roman" w:hAnsi="Times New Roman" w:eastAsia="宋体" w:cs="Times New Roman"/>
                      <w:b w:val="0"/>
                      <w:bCs w:val="0"/>
                      <w:color w:val="000000"/>
                      <w:sz w:val="21"/>
                      <w:szCs w:val="21"/>
                      <w:lang w:val="en-US" w:eastAsia="zh-CN"/>
                    </w:rPr>
                    <w:t>未检出</w:t>
                  </w:r>
                </w:p>
              </w:tc>
              <w:tc>
                <w:tcPr>
                  <w:tcW w:w="1340" w:type="pct"/>
                  <w:noWrap w:val="0"/>
                  <w:vAlign w:val="center"/>
                </w:tcPr>
                <w:p w14:paraId="2A8F11E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rPr>
                  </w:pPr>
                  <w:r>
                    <w:rPr>
                      <w:rFonts w:hint="default" w:ascii="Times New Roman" w:hAnsi="Times New Roman" w:eastAsia="宋体" w:cs="Times New Roman"/>
                      <w:b w:val="0"/>
                      <w:bCs w:val="0"/>
                      <w:color w:val="000000"/>
                      <w:kern w:val="0"/>
                      <w:sz w:val="21"/>
                      <w:szCs w:val="21"/>
                    </w:rPr>
                    <w:t>0.43</w:t>
                  </w:r>
                </w:p>
              </w:tc>
              <w:tc>
                <w:tcPr>
                  <w:tcW w:w="1306" w:type="pct"/>
                  <w:noWrap w:val="0"/>
                  <w:vAlign w:val="center"/>
                </w:tcPr>
                <w:p w14:paraId="36EC1A7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rPr>
                  </w:pPr>
                  <w:r>
                    <w:rPr>
                      <w:rFonts w:hint="default" w:ascii="Times New Roman" w:hAnsi="Times New Roman" w:eastAsia="宋体" w:cs="Times New Roman"/>
                      <w:b w:val="0"/>
                      <w:bCs w:val="0"/>
                      <w:color w:val="000000"/>
                      <w:kern w:val="0"/>
                      <w:sz w:val="21"/>
                      <w:szCs w:val="21"/>
                    </w:rPr>
                    <w:t>4.3</w:t>
                  </w:r>
                </w:p>
              </w:tc>
            </w:tr>
            <w:tr w14:paraId="6CBB2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0" w:type="pct"/>
                  <w:noWrap w:val="0"/>
                  <w:vAlign w:val="center"/>
                </w:tcPr>
                <w:p w14:paraId="4654FCC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rPr>
                  </w:pPr>
                  <w:r>
                    <w:rPr>
                      <w:rFonts w:hint="default" w:ascii="Times New Roman" w:hAnsi="Times New Roman" w:eastAsia="宋体" w:cs="Times New Roman"/>
                      <w:b w:val="0"/>
                      <w:bCs w:val="0"/>
                      <w:color w:val="000000"/>
                      <w:kern w:val="0"/>
                      <w:sz w:val="21"/>
                      <w:szCs w:val="21"/>
                    </w:rPr>
                    <w:t>苯</w:t>
                  </w:r>
                </w:p>
              </w:tc>
              <w:tc>
                <w:tcPr>
                  <w:tcW w:w="882" w:type="pct"/>
                  <w:noWrap w:val="0"/>
                  <w:vAlign w:val="center"/>
                </w:tcPr>
                <w:p w14:paraId="78629BD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sz w:val="21"/>
                      <w:szCs w:val="21"/>
                    </w:rPr>
                  </w:pPr>
                  <w:r>
                    <w:rPr>
                      <w:rFonts w:hint="default" w:ascii="Times New Roman" w:hAnsi="Times New Roman" w:eastAsia="宋体" w:cs="Times New Roman"/>
                      <w:b w:val="0"/>
                      <w:bCs w:val="0"/>
                      <w:color w:val="000000"/>
                      <w:sz w:val="21"/>
                      <w:szCs w:val="21"/>
                      <w:lang w:val="en-US" w:eastAsia="zh-CN"/>
                    </w:rPr>
                    <w:t>未检出</w:t>
                  </w:r>
                </w:p>
              </w:tc>
              <w:tc>
                <w:tcPr>
                  <w:tcW w:w="1340" w:type="pct"/>
                  <w:noWrap w:val="0"/>
                  <w:vAlign w:val="center"/>
                </w:tcPr>
                <w:p w14:paraId="7D64051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rPr>
                  </w:pPr>
                  <w:r>
                    <w:rPr>
                      <w:rFonts w:hint="default" w:ascii="Times New Roman" w:hAnsi="Times New Roman" w:eastAsia="宋体" w:cs="Times New Roman"/>
                      <w:b w:val="0"/>
                      <w:bCs w:val="0"/>
                      <w:color w:val="000000"/>
                      <w:kern w:val="0"/>
                      <w:sz w:val="21"/>
                      <w:szCs w:val="21"/>
                    </w:rPr>
                    <w:t>4</w:t>
                  </w:r>
                </w:p>
              </w:tc>
              <w:tc>
                <w:tcPr>
                  <w:tcW w:w="1306" w:type="pct"/>
                  <w:noWrap w:val="0"/>
                  <w:vAlign w:val="center"/>
                </w:tcPr>
                <w:p w14:paraId="40C3C2F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rPr>
                  </w:pPr>
                  <w:r>
                    <w:rPr>
                      <w:rFonts w:hint="default" w:ascii="Times New Roman" w:hAnsi="Times New Roman" w:eastAsia="宋体" w:cs="Times New Roman"/>
                      <w:b w:val="0"/>
                      <w:bCs w:val="0"/>
                      <w:color w:val="000000"/>
                      <w:kern w:val="0"/>
                      <w:sz w:val="21"/>
                      <w:szCs w:val="21"/>
                    </w:rPr>
                    <w:t>40</w:t>
                  </w:r>
                </w:p>
              </w:tc>
            </w:tr>
            <w:tr w14:paraId="2F20D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0" w:type="pct"/>
                  <w:noWrap w:val="0"/>
                  <w:vAlign w:val="center"/>
                </w:tcPr>
                <w:p w14:paraId="65B8C32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rPr>
                  </w:pPr>
                  <w:r>
                    <w:rPr>
                      <w:rFonts w:hint="default" w:ascii="Times New Roman" w:hAnsi="Times New Roman" w:eastAsia="宋体" w:cs="Times New Roman"/>
                      <w:b w:val="0"/>
                      <w:bCs w:val="0"/>
                      <w:color w:val="000000"/>
                      <w:kern w:val="0"/>
                      <w:sz w:val="21"/>
                      <w:szCs w:val="21"/>
                    </w:rPr>
                    <w:t>氯苯</w:t>
                  </w:r>
                </w:p>
              </w:tc>
              <w:tc>
                <w:tcPr>
                  <w:tcW w:w="882" w:type="pct"/>
                  <w:noWrap w:val="0"/>
                  <w:vAlign w:val="center"/>
                </w:tcPr>
                <w:p w14:paraId="2E3FCC2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sz w:val="21"/>
                      <w:szCs w:val="21"/>
                    </w:rPr>
                  </w:pPr>
                  <w:r>
                    <w:rPr>
                      <w:rFonts w:hint="default" w:ascii="Times New Roman" w:hAnsi="Times New Roman" w:eastAsia="宋体" w:cs="Times New Roman"/>
                      <w:b w:val="0"/>
                      <w:bCs w:val="0"/>
                      <w:color w:val="000000"/>
                      <w:sz w:val="21"/>
                      <w:szCs w:val="21"/>
                      <w:lang w:val="en-US" w:eastAsia="zh-CN"/>
                    </w:rPr>
                    <w:t>未检出</w:t>
                  </w:r>
                </w:p>
              </w:tc>
              <w:tc>
                <w:tcPr>
                  <w:tcW w:w="1340" w:type="pct"/>
                  <w:noWrap w:val="0"/>
                  <w:vAlign w:val="center"/>
                </w:tcPr>
                <w:p w14:paraId="5639EDC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rPr>
                  </w:pPr>
                  <w:r>
                    <w:rPr>
                      <w:rFonts w:hint="default" w:ascii="Times New Roman" w:hAnsi="Times New Roman" w:eastAsia="宋体" w:cs="Times New Roman"/>
                      <w:b w:val="0"/>
                      <w:bCs w:val="0"/>
                      <w:color w:val="000000"/>
                      <w:kern w:val="0"/>
                      <w:sz w:val="21"/>
                      <w:szCs w:val="21"/>
                    </w:rPr>
                    <w:t>270</w:t>
                  </w:r>
                </w:p>
              </w:tc>
              <w:tc>
                <w:tcPr>
                  <w:tcW w:w="1306" w:type="pct"/>
                  <w:noWrap w:val="0"/>
                  <w:vAlign w:val="center"/>
                </w:tcPr>
                <w:p w14:paraId="17D7306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rPr>
                  </w:pPr>
                  <w:r>
                    <w:rPr>
                      <w:rFonts w:hint="default" w:ascii="Times New Roman" w:hAnsi="Times New Roman" w:eastAsia="宋体" w:cs="Times New Roman"/>
                      <w:b w:val="0"/>
                      <w:bCs w:val="0"/>
                      <w:color w:val="000000"/>
                      <w:kern w:val="0"/>
                      <w:sz w:val="21"/>
                      <w:szCs w:val="21"/>
                    </w:rPr>
                    <w:t>1000</w:t>
                  </w:r>
                </w:p>
              </w:tc>
            </w:tr>
            <w:tr w14:paraId="15D7C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0" w:type="pct"/>
                  <w:noWrap w:val="0"/>
                  <w:vAlign w:val="center"/>
                </w:tcPr>
                <w:p w14:paraId="2E33785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rPr>
                  </w:pPr>
                  <w:r>
                    <w:rPr>
                      <w:rFonts w:hint="default" w:ascii="Times New Roman" w:hAnsi="Times New Roman" w:eastAsia="宋体" w:cs="Times New Roman"/>
                      <w:b w:val="0"/>
                      <w:bCs w:val="0"/>
                      <w:color w:val="000000"/>
                      <w:kern w:val="0"/>
                      <w:sz w:val="21"/>
                      <w:szCs w:val="21"/>
                    </w:rPr>
                    <w:t>1,2-二氯苯</w:t>
                  </w:r>
                </w:p>
              </w:tc>
              <w:tc>
                <w:tcPr>
                  <w:tcW w:w="882" w:type="pct"/>
                  <w:noWrap w:val="0"/>
                  <w:vAlign w:val="center"/>
                </w:tcPr>
                <w:p w14:paraId="002C1D4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sz w:val="21"/>
                      <w:szCs w:val="21"/>
                    </w:rPr>
                  </w:pPr>
                  <w:r>
                    <w:rPr>
                      <w:rFonts w:hint="default" w:ascii="Times New Roman" w:hAnsi="Times New Roman" w:eastAsia="宋体" w:cs="Times New Roman"/>
                      <w:b w:val="0"/>
                      <w:bCs w:val="0"/>
                      <w:color w:val="000000"/>
                      <w:sz w:val="21"/>
                      <w:szCs w:val="21"/>
                      <w:lang w:val="en-US" w:eastAsia="zh-CN"/>
                    </w:rPr>
                    <w:t>未检出</w:t>
                  </w:r>
                </w:p>
              </w:tc>
              <w:tc>
                <w:tcPr>
                  <w:tcW w:w="1340" w:type="pct"/>
                  <w:noWrap w:val="0"/>
                  <w:vAlign w:val="center"/>
                </w:tcPr>
                <w:p w14:paraId="2ECD34D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rPr>
                  </w:pPr>
                  <w:r>
                    <w:rPr>
                      <w:rFonts w:hint="default" w:ascii="Times New Roman" w:hAnsi="Times New Roman" w:eastAsia="宋体" w:cs="Times New Roman"/>
                      <w:b w:val="0"/>
                      <w:bCs w:val="0"/>
                      <w:color w:val="000000"/>
                      <w:kern w:val="0"/>
                      <w:sz w:val="21"/>
                      <w:szCs w:val="21"/>
                    </w:rPr>
                    <w:t>560</w:t>
                  </w:r>
                </w:p>
              </w:tc>
              <w:tc>
                <w:tcPr>
                  <w:tcW w:w="1306" w:type="pct"/>
                  <w:noWrap w:val="0"/>
                  <w:vAlign w:val="center"/>
                </w:tcPr>
                <w:p w14:paraId="1FBE554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rPr>
                  </w:pPr>
                  <w:r>
                    <w:rPr>
                      <w:rFonts w:hint="default" w:ascii="Times New Roman" w:hAnsi="Times New Roman" w:eastAsia="宋体" w:cs="Times New Roman"/>
                      <w:b w:val="0"/>
                      <w:bCs w:val="0"/>
                      <w:color w:val="000000"/>
                      <w:kern w:val="0"/>
                      <w:sz w:val="21"/>
                      <w:szCs w:val="21"/>
                    </w:rPr>
                    <w:t>560</w:t>
                  </w:r>
                </w:p>
              </w:tc>
            </w:tr>
            <w:tr w14:paraId="0CEEC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0" w:type="pct"/>
                  <w:noWrap w:val="0"/>
                  <w:vAlign w:val="center"/>
                </w:tcPr>
                <w:p w14:paraId="674DE5A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rPr>
                  </w:pPr>
                  <w:r>
                    <w:rPr>
                      <w:rFonts w:hint="default" w:ascii="Times New Roman" w:hAnsi="Times New Roman" w:eastAsia="宋体" w:cs="Times New Roman"/>
                      <w:b w:val="0"/>
                      <w:bCs w:val="0"/>
                      <w:color w:val="000000"/>
                      <w:kern w:val="0"/>
                      <w:sz w:val="21"/>
                      <w:szCs w:val="21"/>
                    </w:rPr>
                    <w:t>1,4-二氯苯</w:t>
                  </w:r>
                </w:p>
              </w:tc>
              <w:tc>
                <w:tcPr>
                  <w:tcW w:w="882" w:type="pct"/>
                  <w:noWrap w:val="0"/>
                  <w:vAlign w:val="center"/>
                </w:tcPr>
                <w:p w14:paraId="68A4731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sz w:val="21"/>
                      <w:szCs w:val="21"/>
                    </w:rPr>
                  </w:pPr>
                  <w:r>
                    <w:rPr>
                      <w:rFonts w:hint="default" w:ascii="Times New Roman" w:hAnsi="Times New Roman" w:eastAsia="宋体" w:cs="Times New Roman"/>
                      <w:b w:val="0"/>
                      <w:bCs w:val="0"/>
                      <w:color w:val="000000"/>
                      <w:sz w:val="21"/>
                      <w:szCs w:val="21"/>
                      <w:lang w:val="en-US" w:eastAsia="zh-CN"/>
                    </w:rPr>
                    <w:t>未检出</w:t>
                  </w:r>
                </w:p>
              </w:tc>
              <w:tc>
                <w:tcPr>
                  <w:tcW w:w="1340" w:type="pct"/>
                  <w:noWrap w:val="0"/>
                  <w:vAlign w:val="center"/>
                </w:tcPr>
                <w:p w14:paraId="45F0FD1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rPr>
                  </w:pPr>
                  <w:r>
                    <w:rPr>
                      <w:rFonts w:hint="default" w:ascii="Times New Roman" w:hAnsi="Times New Roman" w:eastAsia="宋体" w:cs="Times New Roman"/>
                      <w:b w:val="0"/>
                      <w:bCs w:val="0"/>
                      <w:color w:val="000000"/>
                      <w:kern w:val="0"/>
                      <w:sz w:val="21"/>
                      <w:szCs w:val="21"/>
                    </w:rPr>
                    <w:t>20</w:t>
                  </w:r>
                </w:p>
              </w:tc>
              <w:tc>
                <w:tcPr>
                  <w:tcW w:w="1306" w:type="pct"/>
                  <w:noWrap w:val="0"/>
                  <w:vAlign w:val="center"/>
                </w:tcPr>
                <w:p w14:paraId="6F4C2D4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rPr>
                  </w:pPr>
                  <w:r>
                    <w:rPr>
                      <w:rFonts w:hint="default" w:ascii="Times New Roman" w:hAnsi="Times New Roman" w:eastAsia="宋体" w:cs="Times New Roman"/>
                      <w:b w:val="0"/>
                      <w:bCs w:val="0"/>
                      <w:color w:val="000000"/>
                      <w:kern w:val="0"/>
                      <w:sz w:val="21"/>
                      <w:szCs w:val="21"/>
                    </w:rPr>
                    <w:t>200</w:t>
                  </w:r>
                </w:p>
              </w:tc>
            </w:tr>
            <w:tr w14:paraId="0B54C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0" w:type="pct"/>
                  <w:noWrap w:val="0"/>
                  <w:vAlign w:val="center"/>
                </w:tcPr>
                <w:p w14:paraId="161FD03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rPr>
                  </w:pPr>
                  <w:r>
                    <w:rPr>
                      <w:rFonts w:hint="default" w:ascii="Times New Roman" w:hAnsi="Times New Roman" w:eastAsia="宋体" w:cs="Times New Roman"/>
                      <w:b w:val="0"/>
                      <w:bCs w:val="0"/>
                      <w:color w:val="000000"/>
                      <w:kern w:val="0"/>
                      <w:sz w:val="21"/>
                      <w:szCs w:val="21"/>
                    </w:rPr>
                    <w:t>乙苯</w:t>
                  </w:r>
                </w:p>
              </w:tc>
              <w:tc>
                <w:tcPr>
                  <w:tcW w:w="882" w:type="pct"/>
                  <w:noWrap w:val="0"/>
                  <w:vAlign w:val="center"/>
                </w:tcPr>
                <w:p w14:paraId="17BC948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sz w:val="21"/>
                      <w:szCs w:val="21"/>
                    </w:rPr>
                  </w:pPr>
                  <w:r>
                    <w:rPr>
                      <w:rFonts w:hint="default" w:ascii="Times New Roman" w:hAnsi="Times New Roman" w:eastAsia="宋体" w:cs="Times New Roman"/>
                      <w:b w:val="0"/>
                      <w:bCs w:val="0"/>
                      <w:color w:val="000000"/>
                      <w:sz w:val="21"/>
                      <w:szCs w:val="21"/>
                      <w:lang w:val="en-US" w:eastAsia="zh-CN"/>
                    </w:rPr>
                    <w:t>未检出</w:t>
                  </w:r>
                </w:p>
              </w:tc>
              <w:tc>
                <w:tcPr>
                  <w:tcW w:w="1340" w:type="pct"/>
                  <w:noWrap w:val="0"/>
                  <w:vAlign w:val="center"/>
                </w:tcPr>
                <w:p w14:paraId="32DF186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rPr>
                  </w:pPr>
                  <w:r>
                    <w:rPr>
                      <w:rFonts w:hint="default" w:ascii="Times New Roman" w:hAnsi="Times New Roman" w:eastAsia="宋体" w:cs="Times New Roman"/>
                      <w:b w:val="0"/>
                      <w:bCs w:val="0"/>
                      <w:color w:val="000000"/>
                      <w:kern w:val="0"/>
                      <w:sz w:val="21"/>
                      <w:szCs w:val="21"/>
                    </w:rPr>
                    <w:t>28</w:t>
                  </w:r>
                </w:p>
              </w:tc>
              <w:tc>
                <w:tcPr>
                  <w:tcW w:w="1306" w:type="pct"/>
                  <w:noWrap w:val="0"/>
                  <w:vAlign w:val="center"/>
                </w:tcPr>
                <w:p w14:paraId="0194DD3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rPr>
                  </w:pPr>
                  <w:r>
                    <w:rPr>
                      <w:rFonts w:hint="default" w:ascii="Times New Roman" w:hAnsi="Times New Roman" w:eastAsia="宋体" w:cs="Times New Roman"/>
                      <w:b w:val="0"/>
                      <w:bCs w:val="0"/>
                      <w:color w:val="000000"/>
                      <w:kern w:val="0"/>
                      <w:sz w:val="21"/>
                      <w:szCs w:val="21"/>
                    </w:rPr>
                    <w:t>280</w:t>
                  </w:r>
                </w:p>
              </w:tc>
            </w:tr>
            <w:tr w14:paraId="08BC5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0" w:type="pct"/>
                  <w:noWrap w:val="0"/>
                  <w:vAlign w:val="center"/>
                </w:tcPr>
                <w:p w14:paraId="5DFC906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rPr>
                  </w:pPr>
                  <w:r>
                    <w:rPr>
                      <w:rFonts w:hint="default" w:ascii="Times New Roman" w:hAnsi="Times New Roman" w:eastAsia="宋体" w:cs="Times New Roman"/>
                      <w:b w:val="0"/>
                      <w:bCs w:val="0"/>
                      <w:color w:val="000000"/>
                      <w:kern w:val="0"/>
                      <w:sz w:val="21"/>
                      <w:szCs w:val="21"/>
                    </w:rPr>
                    <w:t>苯乙烯</w:t>
                  </w:r>
                </w:p>
              </w:tc>
              <w:tc>
                <w:tcPr>
                  <w:tcW w:w="882" w:type="pct"/>
                  <w:noWrap w:val="0"/>
                  <w:vAlign w:val="center"/>
                </w:tcPr>
                <w:p w14:paraId="7CA68F7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sz w:val="21"/>
                      <w:szCs w:val="21"/>
                    </w:rPr>
                  </w:pPr>
                  <w:r>
                    <w:rPr>
                      <w:rFonts w:hint="default" w:ascii="Times New Roman" w:hAnsi="Times New Roman" w:eastAsia="宋体" w:cs="Times New Roman"/>
                      <w:b w:val="0"/>
                      <w:bCs w:val="0"/>
                      <w:color w:val="000000"/>
                      <w:sz w:val="21"/>
                      <w:szCs w:val="21"/>
                      <w:lang w:val="en-US" w:eastAsia="zh-CN"/>
                    </w:rPr>
                    <w:t>未检出</w:t>
                  </w:r>
                </w:p>
              </w:tc>
              <w:tc>
                <w:tcPr>
                  <w:tcW w:w="1340" w:type="pct"/>
                  <w:noWrap w:val="0"/>
                  <w:vAlign w:val="center"/>
                </w:tcPr>
                <w:p w14:paraId="1020246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rPr>
                  </w:pPr>
                  <w:r>
                    <w:rPr>
                      <w:rFonts w:hint="default" w:ascii="Times New Roman" w:hAnsi="Times New Roman" w:eastAsia="宋体" w:cs="Times New Roman"/>
                      <w:b w:val="0"/>
                      <w:bCs w:val="0"/>
                      <w:color w:val="000000"/>
                      <w:kern w:val="0"/>
                      <w:sz w:val="21"/>
                      <w:szCs w:val="21"/>
                    </w:rPr>
                    <w:t>1290</w:t>
                  </w:r>
                </w:p>
              </w:tc>
              <w:tc>
                <w:tcPr>
                  <w:tcW w:w="1306" w:type="pct"/>
                  <w:noWrap w:val="0"/>
                  <w:vAlign w:val="center"/>
                </w:tcPr>
                <w:p w14:paraId="20366D0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rPr>
                  </w:pPr>
                  <w:r>
                    <w:rPr>
                      <w:rFonts w:hint="default" w:ascii="Times New Roman" w:hAnsi="Times New Roman" w:eastAsia="宋体" w:cs="Times New Roman"/>
                      <w:b w:val="0"/>
                      <w:bCs w:val="0"/>
                      <w:color w:val="000000"/>
                      <w:kern w:val="0"/>
                      <w:sz w:val="21"/>
                      <w:szCs w:val="21"/>
                    </w:rPr>
                    <w:t>1290</w:t>
                  </w:r>
                </w:p>
              </w:tc>
            </w:tr>
            <w:tr w14:paraId="1D49C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0" w:type="pct"/>
                  <w:noWrap w:val="0"/>
                  <w:vAlign w:val="center"/>
                </w:tcPr>
                <w:p w14:paraId="2E62DEF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rPr>
                  </w:pPr>
                  <w:r>
                    <w:rPr>
                      <w:rFonts w:hint="default" w:ascii="Times New Roman" w:hAnsi="Times New Roman" w:eastAsia="宋体" w:cs="Times New Roman"/>
                      <w:b w:val="0"/>
                      <w:bCs w:val="0"/>
                      <w:color w:val="000000"/>
                      <w:kern w:val="0"/>
                      <w:sz w:val="21"/>
                      <w:szCs w:val="21"/>
                    </w:rPr>
                    <w:t>甲苯</w:t>
                  </w:r>
                </w:p>
              </w:tc>
              <w:tc>
                <w:tcPr>
                  <w:tcW w:w="882" w:type="pct"/>
                  <w:noWrap w:val="0"/>
                  <w:vAlign w:val="center"/>
                </w:tcPr>
                <w:p w14:paraId="6B71A58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sz w:val="21"/>
                      <w:szCs w:val="21"/>
                    </w:rPr>
                  </w:pPr>
                  <w:r>
                    <w:rPr>
                      <w:rFonts w:hint="default" w:ascii="Times New Roman" w:hAnsi="Times New Roman" w:eastAsia="宋体" w:cs="Times New Roman"/>
                      <w:b w:val="0"/>
                      <w:bCs w:val="0"/>
                      <w:color w:val="000000"/>
                      <w:sz w:val="21"/>
                      <w:szCs w:val="21"/>
                      <w:lang w:val="en-US" w:eastAsia="zh-CN"/>
                    </w:rPr>
                    <w:t>未检出</w:t>
                  </w:r>
                </w:p>
              </w:tc>
              <w:tc>
                <w:tcPr>
                  <w:tcW w:w="1340" w:type="pct"/>
                  <w:noWrap w:val="0"/>
                  <w:vAlign w:val="center"/>
                </w:tcPr>
                <w:p w14:paraId="4CAD439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rPr>
                  </w:pPr>
                  <w:r>
                    <w:rPr>
                      <w:rFonts w:hint="default" w:ascii="Times New Roman" w:hAnsi="Times New Roman" w:eastAsia="宋体" w:cs="Times New Roman"/>
                      <w:b w:val="0"/>
                      <w:bCs w:val="0"/>
                      <w:color w:val="000000"/>
                      <w:kern w:val="0"/>
                      <w:sz w:val="21"/>
                      <w:szCs w:val="21"/>
                    </w:rPr>
                    <w:t>1200</w:t>
                  </w:r>
                </w:p>
              </w:tc>
              <w:tc>
                <w:tcPr>
                  <w:tcW w:w="1306" w:type="pct"/>
                  <w:noWrap w:val="0"/>
                  <w:vAlign w:val="center"/>
                </w:tcPr>
                <w:p w14:paraId="4B7B544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rPr>
                  </w:pPr>
                  <w:r>
                    <w:rPr>
                      <w:rFonts w:hint="default" w:ascii="Times New Roman" w:hAnsi="Times New Roman" w:eastAsia="宋体" w:cs="Times New Roman"/>
                      <w:b w:val="0"/>
                      <w:bCs w:val="0"/>
                      <w:color w:val="000000"/>
                      <w:kern w:val="0"/>
                      <w:sz w:val="21"/>
                      <w:szCs w:val="21"/>
                    </w:rPr>
                    <w:t>1200</w:t>
                  </w:r>
                </w:p>
              </w:tc>
            </w:tr>
            <w:tr w14:paraId="1462E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0" w:type="pct"/>
                  <w:noWrap w:val="0"/>
                  <w:vAlign w:val="center"/>
                </w:tcPr>
                <w:p w14:paraId="794E9D6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rPr>
                  </w:pPr>
                  <w:r>
                    <w:rPr>
                      <w:rFonts w:hint="default" w:ascii="Times New Roman" w:hAnsi="Times New Roman" w:eastAsia="宋体" w:cs="Times New Roman"/>
                      <w:b w:val="0"/>
                      <w:bCs w:val="0"/>
                      <w:color w:val="000000"/>
                      <w:kern w:val="0"/>
                      <w:sz w:val="21"/>
                      <w:szCs w:val="21"/>
                    </w:rPr>
                    <w:t>间二甲苯+对二甲苯</w:t>
                  </w:r>
                </w:p>
              </w:tc>
              <w:tc>
                <w:tcPr>
                  <w:tcW w:w="882" w:type="pct"/>
                  <w:noWrap w:val="0"/>
                  <w:vAlign w:val="center"/>
                </w:tcPr>
                <w:p w14:paraId="5D19775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sz w:val="21"/>
                      <w:szCs w:val="21"/>
                    </w:rPr>
                  </w:pPr>
                  <w:r>
                    <w:rPr>
                      <w:rFonts w:hint="default" w:ascii="Times New Roman" w:hAnsi="Times New Roman" w:eastAsia="宋体" w:cs="Times New Roman"/>
                      <w:b w:val="0"/>
                      <w:bCs w:val="0"/>
                      <w:color w:val="000000"/>
                      <w:sz w:val="21"/>
                      <w:szCs w:val="21"/>
                      <w:lang w:val="en-US" w:eastAsia="zh-CN"/>
                    </w:rPr>
                    <w:t>未检出</w:t>
                  </w:r>
                </w:p>
              </w:tc>
              <w:tc>
                <w:tcPr>
                  <w:tcW w:w="1340" w:type="pct"/>
                  <w:noWrap w:val="0"/>
                  <w:vAlign w:val="center"/>
                </w:tcPr>
                <w:p w14:paraId="4972EB0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rPr>
                  </w:pPr>
                  <w:r>
                    <w:rPr>
                      <w:rFonts w:hint="default" w:ascii="Times New Roman" w:hAnsi="Times New Roman" w:eastAsia="宋体" w:cs="Times New Roman"/>
                      <w:b w:val="0"/>
                      <w:bCs w:val="0"/>
                      <w:color w:val="000000"/>
                      <w:kern w:val="0"/>
                      <w:sz w:val="21"/>
                      <w:szCs w:val="21"/>
                    </w:rPr>
                    <w:t>570</w:t>
                  </w:r>
                </w:p>
              </w:tc>
              <w:tc>
                <w:tcPr>
                  <w:tcW w:w="1306" w:type="pct"/>
                  <w:noWrap w:val="0"/>
                  <w:vAlign w:val="center"/>
                </w:tcPr>
                <w:p w14:paraId="64827E6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rPr>
                  </w:pPr>
                  <w:r>
                    <w:rPr>
                      <w:rFonts w:hint="default" w:ascii="Times New Roman" w:hAnsi="Times New Roman" w:eastAsia="宋体" w:cs="Times New Roman"/>
                      <w:b w:val="0"/>
                      <w:bCs w:val="0"/>
                      <w:color w:val="000000"/>
                      <w:kern w:val="0"/>
                      <w:sz w:val="21"/>
                      <w:szCs w:val="21"/>
                    </w:rPr>
                    <w:t>570</w:t>
                  </w:r>
                </w:p>
              </w:tc>
            </w:tr>
            <w:tr w14:paraId="2D77F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0" w:type="pct"/>
                  <w:noWrap w:val="0"/>
                  <w:vAlign w:val="center"/>
                </w:tcPr>
                <w:p w14:paraId="0F6D6C1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rPr>
                  </w:pPr>
                  <w:r>
                    <w:rPr>
                      <w:rFonts w:hint="default" w:ascii="Times New Roman" w:hAnsi="Times New Roman" w:eastAsia="宋体" w:cs="Times New Roman"/>
                      <w:b w:val="0"/>
                      <w:bCs w:val="0"/>
                      <w:color w:val="000000"/>
                      <w:kern w:val="0"/>
                      <w:sz w:val="21"/>
                      <w:szCs w:val="21"/>
                    </w:rPr>
                    <w:t>邻二甲苯</w:t>
                  </w:r>
                </w:p>
              </w:tc>
              <w:tc>
                <w:tcPr>
                  <w:tcW w:w="882" w:type="pct"/>
                  <w:noWrap w:val="0"/>
                  <w:vAlign w:val="center"/>
                </w:tcPr>
                <w:p w14:paraId="45FF9DD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sz w:val="21"/>
                      <w:szCs w:val="21"/>
                    </w:rPr>
                  </w:pPr>
                  <w:r>
                    <w:rPr>
                      <w:rFonts w:hint="default" w:ascii="Times New Roman" w:hAnsi="Times New Roman" w:eastAsia="宋体" w:cs="Times New Roman"/>
                      <w:b w:val="0"/>
                      <w:bCs w:val="0"/>
                      <w:color w:val="000000"/>
                      <w:sz w:val="21"/>
                      <w:szCs w:val="21"/>
                      <w:lang w:val="en-US" w:eastAsia="zh-CN"/>
                    </w:rPr>
                    <w:t>未检出</w:t>
                  </w:r>
                </w:p>
              </w:tc>
              <w:tc>
                <w:tcPr>
                  <w:tcW w:w="1340" w:type="pct"/>
                  <w:noWrap w:val="0"/>
                  <w:vAlign w:val="center"/>
                </w:tcPr>
                <w:p w14:paraId="60385C5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rPr>
                  </w:pPr>
                  <w:r>
                    <w:rPr>
                      <w:rFonts w:hint="default" w:ascii="Times New Roman" w:hAnsi="Times New Roman" w:eastAsia="宋体" w:cs="Times New Roman"/>
                      <w:b w:val="0"/>
                      <w:bCs w:val="0"/>
                      <w:color w:val="000000"/>
                      <w:kern w:val="0"/>
                      <w:sz w:val="21"/>
                      <w:szCs w:val="21"/>
                    </w:rPr>
                    <w:t>640</w:t>
                  </w:r>
                </w:p>
              </w:tc>
              <w:tc>
                <w:tcPr>
                  <w:tcW w:w="1306" w:type="pct"/>
                  <w:noWrap w:val="0"/>
                  <w:vAlign w:val="center"/>
                </w:tcPr>
                <w:p w14:paraId="491482C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rPr>
                  </w:pPr>
                  <w:r>
                    <w:rPr>
                      <w:rFonts w:hint="default" w:ascii="Times New Roman" w:hAnsi="Times New Roman" w:eastAsia="宋体" w:cs="Times New Roman"/>
                      <w:b w:val="0"/>
                      <w:bCs w:val="0"/>
                      <w:color w:val="000000"/>
                      <w:kern w:val="0"/>
                      <w:sz w:val="21"/>
                      <w:szCs w:val="21"/>
                    </w:rPr>
                    <w:t>640</w:t>
                  </w:r>
                </w:p>
              </w:tc>
            </w:tr>
            <w:tr w14:paraId="312C4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4"/>
                  <w:noWrap w:val="0"/>
                  <w:vAlign w:val="center"/>
                </w:tcPr>
                <w:p w14:paraId="0156EC1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rPr>
                  </w:pPr>
                  <w:r>
                    <w:rPr>
                      <w:rFonts w:hint="default" w:ascii="Times New Roman" w:hAnsi="Times New Roman" w:eastAsia="宋体" w:cs="Times New Roman"/>
                      <w:b w:val="0"/>
                      <w:bCs w:val="0"/>
                      <w:color w:val="000000"/>
                      <w:kern w:val="0"/>
                      <w:sz w:val="21"/>
                      <w:szCs w:val="21"/>
                    </w:rPr>
                    <w:t>半挥发性有机物</w:t>
                  </w:r>
                </w:p>
              </w:tc>
            </w:tr>
            <w:tr w14:paraId="7FB43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0" w:type="pct"/>
                  <w:noWrap w:val="0"/>
                  <w:vAlign w:val="center"/>
                </w:tcPr>
                <w:p w14:paraId="7064141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rPr>
                  </w:pPr>
                  <w:r>
                    <w:rPr>
                      <w:rFonts w:hint="default" w:ascii="Times New Roman" w:hAnsi="Times New Roman" w:eastAsia="宋体" w:cs="Times New Roman"/>
                      <w:b w:val="0"/>
                      <w:bCs w:val="0"/>
                      <w:color w:val="000000"/>
                      <w:kern w:val="0"/>
                      <w:sz w:val="21"/>
                      <w:szCs w:val="21"/>
                    </w:rPr>
                    <w:t>硝基苯</w:t>
                  </w:r>
                </w:p>
              </w:tc>
              <w:tc>
                <w:tcPr>
                  <w:tcW w:w="882" w:type="pct"/>
                  <w:noWrap w:val="0"/>
                  <w:vAlign w:val="center"/>
                </w:tcPr>
                <w:p w14:paraId="4A7C870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sz w:val="21"/>
                      <w:szCs w:val="21"/>
                    </w:rPr>
                  </w:pPr>
                  <w:r>
                    <w:rPr>
                      <w:rFonts w:hint="default" w:ascii="Times New Roman" w:hAnsi="Times New Roman" w:eastAsia="宋体" w:cs="Times New Roman"/>
                      <w:b w:val="0"/>
                      <w:bCs w:val="0"/>
                      <w:color w:val="000000"/>
                      <w:sz w:val="21"/>
                      <w:szCs w:val="21"/>
                      <w:lang w:val="en-US" w:eastAsia="zh-CN"/>
                    </w:rPr>
                    <w:t>未检出</w:t>
                  </w:r>
                </w:p>
              </w:tc>
              <w:tc>
                <w:tcPr>
                  <w:tcW w:w="1340" w:type="pct"/>
                  <w:noWrap w:val="0"/>
                  <w:vAlign w:val="center"/>
                </w:tcPr>
                <w:p w14:paraId="5064DF3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rPr>
                  </w:pPr>
                  <w:r>
                    <w:rPr>
                      <w:rFonts w:hint="default" w:ascii="Times New Roman" w:hAnsi="Times New Roman" w:eastAsia="宋体" w:cs="Times New Roman"/>
                      <w:b w:val="0"/>
                      <w:bCs w:val="0"/>
                      <w:color w:val="000000"/>
                      <w:kern w:val="0"/>
                      <w:sz w:val="21"/>
                      <w:szCs w:val="21"/>
                    </w:rPr>
                    <w:t>76</w:t>
                  </w:r>
                </w:p>
              </w:tc>
              <w:tc>
                <w:tcPr>
                  <w:tcW w:w="1306" w:type="pct"/>
                  <w:noWrap w:val="0"/>
                  <w:vAlign w:val="center"/>
                </w:tcPr>
                <w:p w14:paraId="5EE0707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rPr>
                  </w:pPr>
                  <w:r>
                    <w:rPr>
                      <w:rFonts w:hint="default" w:ascii="Times New Roman" w:hAnsi="Times New Roman" w:eastAsia="宋体" w:cs="Times New Roman"/>
                      <w:b w:val="0"/>
                      <w:bCs w:val="0"/>
                      <w:color w:val="000000"/>
                      <w:kern w:val="0"/>
                      <w:sz w:val="21"/>
                      <w:szCs w:val="21"/>
                    </w:rPr>
                    <w:t>760</w:t>
                  </w:r>
                </w:p>
              </w:tc>
            </w:tr>
            <w:tr w14:paraId="43229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0" w:type="pct"/>
                  <w:noWrap w:val="0"/>
                  <w:vAlign w:val="center"/>
                </w:tcPr>
                <w:p w14:paraId="4F94EE7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rPr>
                  </w:pPr>
                  <w:r>
                    <w:rPr>
                      <w:rFonts w:hint="default" w:ascii="Times New Roman" w:hAnsi="Times New Roman" w:eastAsia="宋体" w:cs="Times New Roman"/>
                      <w:b w:val="0"/>
                      <w:bCs w:val="0"/>
                      <w:color w:val="000000"/>
                      <w:kern w:val="0"/>
                      <w:sz w:val="21"/>
                      <w:szCs w:val="21"/>
                    </w:rPr>
                    <w:t>苯胺</w:t>
                  </w:r>
                </w:p>
              </w:tc>
              <w:tc>
                <w:tcPr>
                  <w:tcW w:w="882" w:type="pct"/>
                  <w:noWrap w:val="0"/>
                  <w:vAlign w:val="center"/>
                </w:tcPr>
                <w:p w14:paraId="7274F8E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sz w:val="21"/>
                      <w:szCs w:val="21"/>
                    </w:rPr>
                  </w:pPr>
                  <w:r>
                    <w:rPr>
                      <w:rFonts w:hint="default" w:ascii="Times New Roman" w:hAnsi="Times New Roman" w:eastAsia="宋体" w:cs="Times New Roman"/>
                      <w:b w:val="0"/>
                      <w:bCs w:val="0"/>
                      <w:color w:val="000000"/>
                      <w:sz w:val="21"/>
                      <w:szCs w:val="21"/>
                      <w:lang w:val="en-US" w:eastAsia="zh-CN"/>
                    </w:rPr>
                    <w:t>未检出</w:t>
                  </w:r>
                </w:p>
              </w:tc>
              <w:tc>
                <w:tcPr>
                  <w:tcW w:w="1340" w:type="pct"/>
                  <w:noWrap w:val="0"/>
                  <w:vAlign w:val="center"/>
                </w:tcPr>
                <w:p w14:paraId="3620444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rPr>
                  </w:pPr>
                  <w:r>
                    <w:rPr>
                      <w:rFonts w:hint="default" w:ascii="Times New Roman" w:hAnsi="Times New Roman" w:eastAsia="宋体" w:cs="Times New Roman"/>
                      <w:b w:val="0"/>
                      <w:bCs w:val="0"/>
                      <w:color w:val="000000"/>
                      <w:kern w:val="0"/>
                      <w:sz w:val="21"/>
                      <w:szCs w:val="21"/>
                    </w:rPr>
                    <w:t>260</w:t>
                  </w:r>
                </w:p>
              </w:tc>
              <w:tc>
                <w:tcPr>
                  <w:tcW w:w="1306" w:type="pct"/>
                  <w:noWrap w:val="0"/>
                  <w:vAlign w:val="center"/>
                </w:tcPr>
                <w:p w14:paraId="5300FDA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rPr>
                  </w:pPr>
                  <w:r>
                    <w:rPr>
                      <w:rFonts w:hint="default" w:ascii="Times New Roman" w:hAnsi="Times New Roman" w:eastAsia="宋体" w:cs="Times New Roman"/>
                      <w:b w:val="0"/>
                      <w:bCs w:val="0"/>
                      <w:color w:val="000000"/>
                      <w:kern w:val="0"/>
                      <w:sz w:val="21"/>
                      <w:szCs w:val="21"/>
                    </w:rPr>
                    <w:t>663</w:t>
                  </w:r>
                </w:p>
              </w:tc>
            </w:tr>
            <w:tr w14:paraId="4794E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0" w:type="pct"/>
                  <w:noWrap w:val="0"/>
                  <w:vAlign w:val="center"/>
                </w:tcPr>
                <w:p w14:paraId="217E766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rPr>
                  </w:pPr>
                  <w:r>
                    <w:rPr>
                      <w:rFonts w:hint="default" w:ascii="Times New Roman" w:hAnsi="Times New Roman" w:eastAsia="宋体" w:cs="Times New Roman"/>
                      <w:b w:val="0"/>
                      <w:bCs w:val="0"/>
                      <w:color w:val="000000"/>
                      <w:kern w:val="0"/>
                      <w:sz w:val="21"/>
                      <w:szCs w:val="21"/>
                    </w:rPr>
                    <w:t>2-氯酚</w:t>
                  </w:r>
                </w:p>
              </w:tc>
              <w:tc>
                <w:tcPr>
                  <w:tcW w:w="882" w:type="pct"/>
                  <w:noWrap w:val="0"/>
                  <w:vAlign w:val="center"/>
                </w:tcPr>
                <w:p w14:paraId="1913CF2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sz w:val="21"/>
                      <w:szCs w:val="21"/>
                    </w:rPr>
                  </w:pPr>
                  <w:r>
                    <w:rPr>
                      <w:rFonts w:hint="default" w:ascii="Times New Roman" w:hAnsi="Times New Roman" w:eastAsia="宋体" w:cs="Times New Roman"/>
                      <w:b w:val="0"/>
                      <w:bCs w:val="0"/>
                      <w:color w:val="000000"/>
                      <w:sz w:val="21"/>
                      <w:szCs w:val="21"/>
                      <w:lang w:val="en-US" w:eastAsia="zh-CN"/>
                    </w:rPr>
                    <w:t>未检出</w:t>
                  </w:r>
                </w:p>
              </w:tc>
              <w:tc>
                <w:tcPr>
                  <w:tcW w:w="1340" w:type="pct"/>
                  <w:noWrap w:val="0"/>
                  <w:vAlign w:val="center"/>
                </w:tcPr>
                <w:p w14:paraId="49355F6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rPr>
                  </w:pPr>
                  <w:r>
                    <w:rPr>
                      <w:rFonts w:hint="default" w:ascii="Times New Roman" w:hAnsi="Times New Roman" w:eastAsia="宋体" w:cs="Times New Roman"/>
                      <w:b w:val="0"/>
                      <w:bCs w:val="0"/>
                      <w:color w:val="000000"/>
                      <w:kern w:val="0"/>
                      <w:sz w:val="21"/>
                      <w:szCs w:val="21"/>
                    </w:rPr>
                    <w:t>2256</w:t>
                  </w:r>
                </w:p>
              </w:tc>
              <w:tc>
                <w:tcPr>
                  <w:tcW w:w="1306" w:type="pct"/>
                  <w:noWrap w:val="0"/>
                  <w:vAlign w:val="center"/>
                </w:tcPr>
                <w:p w14:paraId="389D65F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rPr>
                  </w:pPr>
                  <w:r>
                    <w:rPr>
                      <w:rFonts w:hint="default" w:ascii="Times New Roman" w:hAnsi="Times New Roman" w:eastAsia="宋体" w:cs="Times New Roman"/>
                      <w:b w:val="0"/>
                      <w:bCs w:val="0"/>
                      <w:color w:val="000000"/>
                      <w:kern w:val="0"/>
                      <w:sz w:val="21"/>
                      <w:szCs w:val="21"/>
                    </w:rPr>
                    <w:t>4500</w:t>
                  </w:r>
                </w:p>
              </w:tc>
            </w:tr>
            <w:tr w14:paraId="55E6B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0" w:type="pct"/>
                  <w:noWrap w:val="0"/>
                  <w:vAlign w:val="center"/>
                </w:tcPr>
                <w:p w14:paraId="130D6D2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rPr>
                  </w:pPr>
                  <w:r>
                    <w:rPr>
                      <w:rFonts w:hint="default" w:ascii="Times New Roman" w:hAnsi="Times New Roman" w:eastAsia="宋体" w:cs="Times New Roman"/>
                      <w:b w:val="0"/>
                      <w:bCs w:val="0"/>
                      <w:color w:val="000000"/>
                      <w:kern w:val="0"/>
                      <w:sz w:val="21"/>
                      <w:szCs w:val="21"/>
                    </w:rPr>
                    <w:t>苯并[a]蒽</w:t>
                  </w:r>
                </w:p>
              </w:tc>
              <w:tc>
                <w:tcPr>
                  <w:tcW w:w="882" w:type="pct"/>
                  <w:noWrap w:val="0"/>
                  <w:vAlign w:val="center"/>
                </w:tcPr>
                <w:p w14:paraId="6B8E85F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sz w:val="21"/>
                      <w:szCs w:val="21"/>
                    </w:rPr>
                  </w:pPr>
                  <w:r>
                    <w:rPr>
                      <w:rFonts w:hint="default" w:ascii="Times New Roman" w:hAnsi="Times New Roman" w:eastAsia="宋体" w:cs="Times New Roman"/>
                      <w:b w:val="0"/>
                      <w:bCs w:val="0"/>
                      <w:color w:val="000000"/>
                      <w:sz w:val="21"/>
                      <w:szCs w:val="21"/>
                      <w:lang w:val="en-US" w:eastAsia="zh-CN"/>
                    </w:rPr>
                    <w:t>未检出</w:t>
                  </w:r>
                </w:p>
              </w:tc>
              <w:tc>
                <w:tcPr>
                  <w:tcW w:w="1340" w:type="pct"/>
                  <w:noWrap w:val="0"/>
                  <w:vAlign w:val="center"/>
                </w:tcPr>
                <w:p w14:paraId="539EB5C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rPr>
                  </w:pPr>
                  <w:r>
                    <w:rPr>
                      <w:rFonts w:hint="default" w:ascii="Times New Roman" w:hAnsi="Times New Roman" w:eastAsia="宋体" w:cs="Times New Roman"/>
                      <w:b w:val="0"/>
                      <w:bCs w:val="0"/>
                      <w:color w:val="000000"/>
                      <w:kern w:val="0"/>
                      <w:sz w:val="21"/>
                      <w:szCs w:val="21"/>
                    </w:rPr>
                    <w:t>15</w:t>
                  </w:r>
                </w:p>
              </w:tc>
              <w:tc>
                <w:tcPr>
                  <w:tcW w:w="1306" w:type="pct"/>
                  <w:noWrap w:val="0"/>
                  <w:vAlign w:val="center"/>
                </w:tcPr>
                <w:p w14:paraId="3461073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rPr>
                  </w:pPr>
                  <w:r>
                    <w:rPr>
                      <w:rFonts w:hint="default" w:ascii="Times New Roman" w:hAnsi="Times New Roman" w:eastAsia="宋体" w:cs="Times New Roman"/>
                      <w:b w:val="0"/>
                      <w:bCs w:val="0"/>
                      <w:color w:val="000000"/>
                      <w:kern w:val="0"/>
                      <w:sz w:val="21"/>
                      <w:szCs w:val="21"/>
                    </w:rPr>
                    <w:t>151</w:t>
                  </w:r>
                </w:p>
              </w:tc>
            </w:tr>
            <w:tr w14:paraId="01FDF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0" w:type="pct"/>
                  <w:noWrap w:val="0"/>
                  <w:vAlign w:val="center"/>
                </w:tcPr>
                <w:p w14:paraId="6E91C57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rPr>
                  </w:pPr>
                  <w:r>
                    <w:rPr>
                      <w:rFonts w:hint="default" w:ascii="Times New Roman" w:hAnsi="Times New Roman" w:eastAsia="宋体" w:cs="Times New Roman"/>
                      <w:b w:val="0"/>
                      <w:bCs w:val="0"/>
                      <w:color w:val="000000"/>
                      <w:kern w:val="0"/>
                      <w:sz w:val="21"/>
                      <w:szCs w:val="21"/>
                    </w:rPr>
                    <w:t>苯并[a]芘</w:t>
                  </w:r>
                </w:p>
              </w:tc>
              <w:tc>
                <w:tcPr>
                  <w:tcW w:w="882" w:type="pct"/>
                  <w:noWrap w:val="0"/>
                  <w:vAlign w:val="center"/>
                </w:tcPr>
                <w:p w14:paraId="211E2A8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sz w:val="21"/>
                      <w:szCs w:val="21"/>
                    </w:rPr>
                  </w:pPr>
                  <w:r>
                    <w:rPr>
                      <w:rFonts w:hint="default" w:ascii="Times New Roman" w:hAnsi="Times New Roman" w:eastAsia="宋体" w:cs="Times New Roman"/>
                      <w:b w:val="0"/>
                      <w:bCs w:val="0"/>
                      <w:color w:val="000000"/>
                      <w:sz w:val="21"/>
                      <w:szCs w:val="21"/>
                      <w:lang w:val="en-US" w:eastAsia="zh-CN"/>
                    </w:rPr>
                    <w:t>未检出</w:t>
                  </w:r>
                </w:p>
              </w:tc>
              <w:tc>
                <w:tcPr>
                  <w:tcW w:w="1340" w:type="pct"/>
                  <w:noWrap w:val="0"/>
                  <w:vAlign w:val="center"/>
                </w:tcPr>
                <w:p w14:paraId="08F51DF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rPr>
                  </w:pPr>
                  <w:r>
                    <w:rPr>
                      <w:rFonts w:hint="default" w:ascii="Times New Roman" w:hAnsi="Times New Roman" w:eastAsia="宋体" w:cs="Times New Roman"/>
                      <w:b w:val="0"/>
                      <w:bCs w:val="0"/>
                      <w:color w:val="000000"/>
                      <w:kern w:val="0"/>
                      <w:sz w:val="21"/>
                      <w:szCs w:val="21"/>
                    </w:rPr>
                    <w:t>1.5</w:t>
                  </w:r>
                </w:p>
              </w:tc>
              <w:tc>
                <w:tcPr>
                  <w:tcW w:w="1306" w:type="pct"/>
                  <w:noWrap w:val="0"/>
                  <w:vAlign w:val="center"/>
                </w:tcPr>
                <w:p w14:paraId="56AA79D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rPr>
                  </w:pPr>
                  <w:r>
                    <w:rPr>
                      <w:rFonts w:hint="default" w:ascii="Times New Roman" w:hAnsi="Times New Roman" w:eastAsia="宋体" w:cs="Times New Roman"/>
                      <w:b w:val="0"/>
                      <w:bCs w:val="0"/>
                      <w:color w:val="000000"/>
                      <w:kern w:val="0"/>
                      <w:sz w:val="21"/>
                      <w:szCs w:val="21"/>
                    </w:rPr>
                    <w:t>15</w:t>
                  </w:r>
                </w:p>
              </w:tc>
            </w:tr>
            <w:tr w14:paraId="049E4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0" w:type="pct"/>
                  <w:noWrap w:val="0"/>
                  <w:vAlign w:val="center"/>
                </w:tcPr>
                <w:p w14:paraId="7F23F9A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rPr>
                  </w:pPr>
                  <w:r>
                    <w:rPr>
                      <w:rFonts w:hint="default" w:ascii="Times New Roman" w:hAnsi="Times New Roman" w:eastAsia="宋体" w:cs="Times New Roman"/>
                      <w:b w:val="0"/>
                      <w:bCs w:val="0"/>
                      <w:color w:val="000000"/>
                      <w:kern w:val="0"/>
                      <w:sz w:val="21"/>
                      <w:szCs w:val="21"/>
                    </w:rPr>
                    <w:t>苯并[b]荧蒽</w:t>
                  </w:r>
                </w:p>
              </w:tc>
              <w:tc>
                <w:tcPr>
                  <w:tcW w:w="882" w:type="pct"/>
                  <w:noWrap w:val="0"/>
                  <w:vAlign w:val="center"/>
                </w:tcPr>
                <w:p w14:paraId="122F335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sz w:val="21"/>
                      <w:szCs w:val="21"/>
                    </w:rPr>
                  </w:pPr>
                  <w:r>
                    <w:rPr>
                      <w:rFonts w:hint="default" w:ascii="Times New Roman" w:hAnsi="Times New Roman" w:eastAsia="宋体" w:cs="Times New Roman"/>
                      <w:b w:val="0"/>
                      <w:bCs w:val="0"/>
                      <w:color w:val="000000"/>
                      <w:sz w:val="21"/>
                      <w:szCs w:val="21"/>
                      <w:lang w:val="en-US" w:eastAsia="zh-CN"/>
                    </w:rPr>
                    <w:t>未检出</w:t>
                  </w:r>
                </w:p>
              </w:tc>
              <w:tc>
                <w:tcPr>
                  <w:tcW w:w="1340" w:type="pct"/>
                  <w:noWrap w:val="0"/>
                  <w:vAlign w:val="center"/>
                </w:tcPr>
                <w:p w14:paraId="79BC47F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rPr>
                  </w:pPr>
                  <w:r>
                    <w:rPr>
                      <w:rFonts w:hint="default" w:ascii="Times New Roman" w:hAnsi="Times New Roman" w:eastAsia="宋体" w:cs="Times New Roman"/>
                      <w:b w:val="0"/>
                      <w:bCs w:val="0"/>
                      <w:color w:val="000000"/>
                      <w:kern w:val="0"/>
                      <w:sz w:val="21"/>
                      <w:szCs w:val="21"/>
                    </w:rPr>
                    <w:t>15</w:t>
                  </w:r>
                </w:p>
              </w:tc>
              <w:tc>
                <w:tcPr>
                  <w:tcW w:w="1306" w:type="pct"/>
                  <w:noWrap w:val="0"/>
                  <w:vAlign w:val="center"/>
                </w:tcPr>
                <w:p w14:paraId="44CCAFD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rPr>
                  </w:pPr>
                  <w:r>
                    <w:rPr>
                      <w:rFonts w:hint="default" w:ascii="Times New Roman" w:hAnsi="Times New Roman" w:eastAsia="宋体" w:cs="Times New Roman"/>
                      <w:b w:val="0"/>
                      <w:bCs w:val="0"/>
                      <w:color w:val="000000"/>
                      <w:kern w:val="0"/>
                      <w:sz w:val="21"/>
                      <w:szCs w:val="21"/>
                    </w:rPr>
                    <w:t>151</w:t>
                  </w:r>
                </w:p>
              </w:tc>
            </w:tr>
            <w:tr w14:paraId="7FDEB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0" w:type="pct"/>
                  <w:noWrap w:val="0"/>
                  <w:vAlign w:val="center"/>
                </w:tcPr>
                <w:p w14:paraId="3EA1ED4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rPr>
                  </w:pPr>
                  <w:r>
                    <w:rPr>
                      <w:rFonts w:hint="default" w:ascii="Times New Roman" w:hAnsi="Times New Roman" w:eastAsia="宋体" w:cs="Times New Roman"/>
                      <w:b w:val="0"/>
                      <w:bCs w:val="0"/>
                      <w:color w:val="000000"/>
                      <w:kern w:val="0"/>
                      <w:sz w:val="21"/>
                      <w:szCs w:val="21"/>
                    </w:rPr>
                    <w:t>苯并[k]荧蒽</w:t>
                  </w:r>
                </w:p>
              </w:tc>
              <w:tc>
                <w:tcPr>
                  <w:tcW w:w="882" w:type="pct"/>
                  <w:noWrap w:val="0"/>
                  <w:vAlign w:val="center"/>
                </w:tcPr>
                <w:p w14:paraId="5EEAFED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sz w:val="21"/>
                      <w:szCs w:val="21"/>
                    </w:rPr>
                  </w:pPr>
                  <w:r>
                    <w:rPr>
                      <w:rFonts w:hint="default" w:ascii="Times New Roman" w:hAnsi="Times New Roman" w:eastAsia="宋体" w:cs="Times New Roman"/>
                      <w:b w:val="0"/>
                      <w:bCs w:val="0"/>
                      <w:color w:val="000000"/>
                      <w:sz w:val="21"/>
                      <w:szCs w:val="21"/>
                      <w:lang w:val="en-US" w:eastAsia="zh-CN"/>
                    </w:rPr>
                    <w:t>未检出</w:t>
                  </w:r>
                </w:p>
              </w:tc>
              <w:tc>
                <w:tcPr>
                  <w:tcW w:w="1340" w:type="pct"/>
                  <w:noWrap w:val="0"/>
                  <w:vAlign w:val="center"/>
                </w:tcPr>
                <w:p w14:paraId="3443552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rPr>
                  </w:pPr>
                  <w:r>
                    <w:rPr>
                      <w:rFonts w:hint="default" w:ascii="Times New Roman" w:hAnsi="Times New Roman" w:eastAsia="宋体" w:cs="Times New Roman"/>
                      <w:b w:val="0"/>
                      <w:bCs w:val="0"/>
                      <w:color w:val="000000"/>
                      <w:kern w:val="0"/>
                      <w:sz w:val="21"/>
                      <w:szCs w:val="21"/>
                    </w:rPr>
                    <w:t>151</w:t>
                  </w:r>
                </w:p>
              </w:tc>
              <w:tc>
                <w:tcPr>
                  <w:tcW w:w="1306" w:type="pct"/>
                  <w:noWrap w:val="0"/>
                  <w:vAlign w:val="center"/>
                </w:tcPr>
                <w:p w14:paraId="122AC38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rPr>
                  </w:pPr>
                  <w:r>
                    <w:rPr>
                      <w:rFonts w:hint="default" w:ascii="Times New Roman" w:hAnsi="Times New Roman" w:eastAsia="宋体" w:cs="Times New Roman"/>
                      <w:b w:val="0"/>
                      <w:bCs w:val="0"/>
                      <w:color w:val="000000"/>
                      <w:kern w:val="0"/>
                      <w:sz w:val="21"/>
                      <w:szCs w:val="21"/>
                    </w:rPr>
                    <w:t>1500</w:t>
                  </w:r>
                </w:p>
              </w:tc>
            </w:tr>
            <w:tr w14:paraId="40D45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0" w:type="pct"/>
                  <w:noWrap w:val="0"/>
                  <w:vAlign w:val="center"/>
                </w:tcPr>
                <w:p w14:paraId="55B0F0A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rPr>
                  </w:pPr>
                  <w:r>
                    <w:rPr>
                      <w:rFonts w:hint="default" w:ascii="Times New Roman" w:hAnsi="Times New Roman" w:eastAsia="宋体" w:cs="Times New Roman"/>
                      <w:b w:val="0"/>
                      <w:bCs w:val="0"/>
                      <w:color w:val="000000"/>
                      <w:kern w:val="0"/>
                      <w:sz w:val="21"/>
                      <w:szCs w:val="21"/>
                    </w:rPr>
                    <w:t>䓛</w:t>
                  </w:r>
                </w:p>
              </w:tc>
              <w:tc>
                <w:tcPr>
                  <w:tcW w:w="882" w:type="pct"/>
                  <w:noWrap w:val="0"/>
                  <w:vAlign w:val="center"/>
                </w:tcPr>
                <w:p w14:paraId="78A3A35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sz w:val="21"/>
                      <w:szCs w:val="21"/>
                    </w:rPr>
                  </w:pPr>
                  <w:r>
                    <w:rPr>
                      <w:rFonts w:hint="default" w:ascii="Times New Roman" w:hAnsi="Times New Roman" w:eastAsia="宋体" w:cs="Times New Roman"/>
                      <w:b w:val="0"/>
                      <w:bCs w:val="0"/>
                      <w:color w:val="000000"/>
                      <w:sz w:val="21"/>
                      <w:szCs w:val="21"/>
                      <w:lang w:val="en-US" w:eastAsia="zh-CN"/>
                    </w:rPr>
                    <w:t>未检出</w:t>
                  </w:r>
                </w:p>
              </w:tc>
              <w:tc>
                <w:tcPr>
                  <w:tcW w:w="1340" w:type="pct"/>
                  <w:noWrap w:val="0"/>
                  <w:vAlign w:val="center"/>
                </w:tcPr>
                <w:p w14:paraId="5BBA7EA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rPr>
                  </w:pPr>
                  <w:r>
                    <w:rPr>
                      <w:rFonts w:hint="default" w:ascii="Times New Roman" w:hAnsi="Times New Roman" w:eastAsia="宋体" w:cs="Times New Roman"/>
                      <w:b w:val="0"/>
                      <w:bCs w:val="0"/>
                      <w:color w:val="000000"/>
                      <w:kern w:val="0"/>
                      <w:sz w:val="21"/>
                      <w:szCs w:val="21"/>
                    </w:rPr>
                    <w:t>4900</w:t>
                  </w:r>
                </w:p>
              </w:tc>
              <w:tc>
                <w:tcPr>
                  <w:tcW w:w="1306" w:type="pct"/>
                  <w:noWrap w:val="0"/>
                  <w:vAlign w:val="center"/>
                </w:tcPr>
                <w:p w14:paraId="13B7DFA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rPr>
                  </w:pPr>
                  <w:r>
                    <w:rPr>
                      <w:rFonts w:hint="default" w:ascii="Times New Roman" w:hAnsi="Times New Roman" w:eastAsia="宋体" w:cs="Times New Roman"/>
                      <w:b w:val="0"/>
                      <w:bCs w:val="0"/>
                      <w:color w:val="000000"/>
                      <w:kern w:val="0"/>
                      <w:sz w:val="21"/>
                      <w:szCs w:val="21"/>
                    </w:rPr>
                    <w:t>1900</w:t>
                  </w:r>
                </w:p>
              </w:tc>
            </w:tr>
            <w:tr w14:paraId="4543C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0" w:type="pct"/>
                  <w:noWrap w:val="0"/>
                  <w:vAlign w:val="center"/>
                </w:tcPr>
                <w:p w14:paraId="28A4ECD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rPr>
                  </w:pPr>
                  <w:r>
                    <w:rPr>
                      <w:rFonts w:hint="default" w:ascii="Times New Roman" w:hAnsi="Times New Roman" w:eastAsia="宋体" w:cs="Times New Roman"/>
                      <w:b w:val="0"/>
                      <w:bCs w:val="0"/>
                      <w:color w:val="000000"/>
                      <w:kern w:val="0"/>
                      <w:sz w:val="21"/>
                      <w:szCs w:val="21"/>
                    </w:rPr>
                    <w:t>二苯并[a,h]蒽</w:t>
                  </w:r>
                </w:p>
              </w:tc>
              <w:tc>
                <w:tcPr>
                  <w:tcW w:w="882" w:type="pct"/>
                  <w:noWrap w:val="0"/>
                  <w:vAlign w:val="center"/>
                </w:tcPr>
                <w:p w14:paraId="20FD166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sz w:val="21"/>
                      <w:szCs w:val="21"/>
                    </w:rPr>
                  </w:pPr>
                  <w:r>
                    <w:rPr>
                      <w:rFonts w:hint="default" w:ascii="Times New Roman" w:hAnsi="Times New Roman" w:eastAsia="宋体" w:cs="Times New Roman"/>
                      <w:b w:val="0"/>
                      <w:bCs w:val="0"/>
                      <w:color w:val="000000"/>
                      <w:sz w:val="21"/>
                      <w:szCs w:val="21"/>
                      <w:lang w:val="en-US" w:eastAsia="zh-CN"/>
                    </w:rPr>
                    <w:t>未检出</w:t>
                  </w:r>
                </w:p>
              </w:tc>
              <w:tc>
                <w:tcPr>
                  <w:tcW w:w="1340" w:type="pct"/>
                  <w:noWrap w:val="0"/>
                  <w:vAlign w:val="center"/>
                </w:tcPr>
                <w:p w14:paraId="3A56743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rPr>
                  </w:pPr>
                  <w:r>
                    <w:rPr>
                      <w:rFonts w:hint="default" w:ascii="Times New Roman" w:hAnsi="Times New Roman" w:eastAsia="宋体" w:cs="Times New Roman"/>
                      <w:b w:val="0"/>
                      <w:bCs w:val="0"/>
                      <w:color w:val="000000"/>
                      <w:kern w:val="0"/>
                      <w:sz w:val="21"/>
                      <w:szCs w:val="21"/>
                    </w:rPr>
                    <w:t>1.5</w:t>
                  </w:r>
                </w:p>
              </w:tc>
              <w:tc>
                <w:tcPr>
                  <w:tcW w:w="1306" w:type="pct"/>
                  <w:noWrap w:val="0"/>
                  <w:vAlign w:val="center"/>
                </w:tcPr>
                <w:p w14:paraId="5E1DAB6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rPr>
                  </w:pPr>
                  <w:r>
                    <w:rPr>
                      <w:rFonts w:hint="default" w:ascii="Times New Roman" w:hAnsi="Times New Roman" w:eastAsia="宋体" w:cs="Times New Roman"/>
                      <w:b w:val="0"/>
                      <w:bCs w:val="0"/>
                      <w:color w:val="000000"/>
                      <w:kern w:val="0"/>
                      <w:sz w:val="21"/>
                      <w:szCs w:val="21"/>
                    </w:rPr>
                    <w:t>15</w:t>
                  </w:r>
                </w:p>
              </w:tc>
            </w:tr>
            <w:tr w14:paraId="60BCD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0" w:type="pct"/>
                  <w:noWrap w:val="0"/>
                  <w:vAlign w:val="center"/>
                </w:tcPr>
                <w:p w14:paraId="60EC92C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rPr>
                  </w:pPr>
                  <w:r>
                    <w:rPr>
                      <w:rFonts w:hint="default" w:ascii="Times New Roman" w:hAnsi="Times New Roman" w:eastAsia="宋体" w:cs="Times New Roman"/>
                      <w:b w:val="0"/>
                      <w:bCs w:val="0"/>
                      <w:color w:val="000000"/>
                      <w:kern w:val="0"/>
                      <w:sz w:val="21"/>
                      <w:szCs w:val="21"/>
                    </w:rPr>
                    <w:t>茚并[1,2,3-c,d]芘</w:t>
                  </w:r>
                </w:p>
              </w:tc>
              <w:tc>
                <w:tcPr>
                  <w:tcW w:w="882" w:type="pct"/>
                  <w:noWrap w:val="0"/>
                  <w:vAlign w:val="center"/>
                </w:tcPr>
                <w:p w14:paraId="3DFC7FC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sz w:val="21"/>
                      <w:szCs w:val="21"/>
                    </w:rPr>
                  </w:pPr>
                  <w:r>
                    <w:rPr>
                      <w:rFonts w:hint="default" w:ascii="Times New Roman" w:hAnsi="Times New Roman" w:eastAsia="宋体" w:cs="Times New Roman"/>
                      <w:b w:val="0"/>
                      <w:bCs w:val="0"/>
                      <w:color w:val="000000"/>
                      <w:sz w:val="21"/>
                      <w:szCs w:val="21"/>
                      <w:lang w:val="en-US" w:eastAsia="zh-CN"/>
                    </w:rPr>
                    <w:t>未检出</w:t>
                  </w:r>
                </w:p>
              </w:tc>
              <w:tc>
                <w:tcPr>
                  <w:tcW w:w="1340" w:type="pct"/>
                  <w:noWrap w:val="0"/>
                  <w:vAlign w:val="center"/>
                </w:tcPr>
                <w:p w14:paraId="24B4218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rPr>
                  </w:pPr>
                  <w:r>
                    <w:rPr>
                      <w:rFonts w:hint="default" w:ascii="Times New Roman" w:hAnsi="Times New Roman" w:eastAsia="宋体" w:cs="Times New Roman"/>
                      <w:b w:val="0"/>
                      <w:bCs w:val="0"/>
                      <w:color w:val="000000"/>
                      <w:kern w:val="0"/>
                      <w:sz w:val="21"/>
                      <w:szCs w:val="21"/>
                    </w:rPr>
                    <w:t>15</w:t>
                  </w:r>
                </w:p>
              </w:tc>
              <w:tc>
                <w:tcPr>
                  <w:tcW w:w="1306" w:type="pct"/>
                  <w:noWrap w:val="0"/>
                  <w:vAlign w:val="center"/>
                </w:tcPr>
                <w:p w14:paraId="1EC0F51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rPr>
                  </w:pPr>
                  <w:r>
                    <w:rPr>
                      <w:rFonts w:hint="default" w:ascii="Times New Roman" w:hAnsi="Times New Roman" w:eastAsia="宋体" w:cs="Times New Roman"/>
                      <w:b w:val="0"/>
                      <w:bCs w:val="0"/>
                      <w:color w:val="000000"/>
                      <w:kern w:val="0"/>
                      <w:sz w:val="21"/>
                      <w:szCs w:val="21"/>
                    </w:rPr>
                    <w:t>151</w:t>
                  </w:r>
                </w:p>
              </w:tc>
            </w:tr>
            <w:tr w14:paraId="3FD14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0" w:type="pct"/>
                  <w:noWrap w:val="0"/>
                  <w:vAlign w:val="center"/>
                </w:tcPr>
                <w:p w14:paraId="2393C0E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rPr>
                  </w:pPr>
                  <w:r>
                    <w:rPr>
                      <w:rFonts w:hint="default" w:ascii="Times New Roman" w:hAnsi="Times New Roman" w:eastAsia="宋体" w:cs="Times New Roman"/>
                      <w:b w:val="0"/>
                      <w:bCs w:val="0"/>
                      <w:color w:val="000000"/>
                      <w:kern w:val="0"/>
                      <w:sz w:val="21"/>
                      <w:szCs w:val="21"/>
                    </w:rPr>
                    <w:t>萘</w:t>
                  </w:r>
                </w:p>
              </w:tc>
              <w:tc>
                <w:tcPr>
                  <w:tcW w:w="882" w:type="pct"/>
                  <w:noWrap w:val="0"/>
                  <w:vAlign w:val="center"/>
                </w:tcPr>
                <w:p w14:paraId="0EC44FD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sz w:val="21"/>
                      <w:szCs w:val="21"/>
                    </w:rPr>
                  </w:pPr>
                  <w:r>
                    <w:rPr>
                      <w:rFonts w:hint="default" w:ascii="Times New Roman" w:hAnsi="Times New Roman" w:eastAsia="宋体" w:cs="Times New Roman"/>
                      <w:b w:val="0"/>
                      <w:bCs w:val="0"/>
                      <w:color w:val="000000"/>
                      <w:sz w:val="21"/>
                      <w:szCs w:val="21"/>
                      <w:lang w:val="en-US" w:eastAsia="zh-CN"/>
                    </w:rPr>
                    <w:t>未检出</w:t>
                  </w:r>
                </w:p>
              </w:tc>
              <w:tc>
                <w:tcPr>
                  <w:tcW w:w="1340" w:type="pct"/>
                  <w:noWrap w:val="0"/>
                  <w:vAlign w:val="center"/>
                </w:tcPr>
                <w:p w14:paraId="7F08D31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rPr>
                  </w:pPr>
                  <w:r>
                    <w:rPr>
                      <w:rFonts w:hint="default" w:ascii="Times New Roman" w:hAnsi="Times New Roman" w:eastAsia="宋体" w:cs="Times New Roman"/>
                      <w:b w:val="0"/>
                      <w:bCs w:val="0"/>
                      <w:color w:val="000000"/>
                      <w:kern w:val="0"/>
                      <w:sz w:val="21"/>
                      <w:szCs w:val="21"/>
                    </w:rPr>
                    <w:t>70</w:t>
                  </w:r>
                </w:p>
              </w:tc>
              <w:tc>
                <w:tcPr>
                  <w:tcW w:w="1306" w:type="pct"/>
                  <w:noWrap w:val="0"/>
                  <w:vAlign w:val="center"/>
                </w:tcPr>
                <w:p w14:paraId="1630D67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rPr>
                  </w:pPr>
                  <w:r>
                    <w:rPr>
                      <w:rFonts w:hint="default" w:ascii="Times New Roman" w:hAnsi="Times New Roman" w:eastAsia="宋体" w:cs="Times New Roman"/>
                      <w:b w:val="0"/>
                      <w:bCs w:val="0"/>
                      <w:color w:val="000000"/>
                      <w:kern w:val="0"/>
                      <w:sz w:val="21"/>
                      <w:szCs w:val="21"/>
                    </w:rPr>
                    <w:t>700</w:t>
                  </w:r>
                </w:p>
              </w:tc>
            </w:tr>
          </w:tbl>
          <w:p w14:paraId="188E1630">
            <w:pPr>
              <w:keepNext w:val="0"/>
              <w:keepLines w:val="0"/>
              <w:pageBreakBefore w:val="0"/>
              <w:widowControl w:val="0"/>
              <w:kinsoku/>
              <w:wordWrap/>
              <w:overflowPunct/>
              <w:topLinePunct w:val="0"/>
              <w:autoSpaceDE/>
              <w:autoSpaceDN/>
              <w:bidi w:val="0"/>
              <w:adjustRightInd w:val="0"/>
              <w:snapToGrid w:val="0"/>
              <w:spacing w:line="460" w:lineRule="exact"/>
              <w:ind w:firstLine="480" w:firstLineChars="200"/>
              <w:textAlignment w:val="auto"/>
              <w:rPr>
                <w:rFonts w:hint="eastAsia" w:eastAsia="宋体"/>
                <w:b/>
                <w:bCs/>
                <w:color w:val="000000"/>
                <w:lang w:val="en-US" w:eastAsia="zh-CN"/>
              </w:rPr>
            </w:pPr>
            <w:r>
              <w:rPr>
                <w:rFonts w:hint="eastAsia" w:ascii="Times New Roman" w:hAnsi="Times New Roman" w:eastAsia="宋体" w:cs="Times New Roman"/>
                <w:color w:val="000000"/>
                <w:kern w:val="0"/>
                <w:sz w:val="24"/>
                <w:szCs w:val="24"/>
              </w:rPr>
              <w:t>由</w:t>
            </w:r>
            <w:r>
              <w:rPr>
                <w:rFonts w:hint="eastAsia" w:cs="Times New Roman"/>
                <w:color w:val="000000"/>
                <w:kern w:val="0"/>
                <w:sz w:val="24"/>
                <w:szCs w:val="24"/>
                <w:lang w:eastAsia="zh-CN"/>
              </w:rPr>
              <w:t>上表</w:t>
            </w:r>
            <w:r>
              <w:rPr>
                <w:rFonts w:hint="eastAsia" w:ascii="Times New Roman" w:hAnsi="Times New Roman" w:eastAsia="宋体" w:cs="Times New Roman"/>
                <w:color w:val="000000"/>
                <w:kern w:val="0"/>
                <w:sz w:val="24"/>
                <w:szCs w:val="24"/>
              </w:rPr>
              <w:t>可知，项目区域土壤现状质量能够达到《土壤环境质量 建设用地土壤污染风险管控标准（试行）》（GB36600-2018）表1中第二类用地筛选值要求，区域土壤环境质量较好</w:t>
            </w:r>
            <w:r>
              <w:rPr>
                <w:rFonts w:hint="eastAsia" w:ascii="Times New Roman" w:hAnsi="Times New Roman" w:eastAsia="宋体" w:cs="Times New Roman"/>
                <w:color w:val="000000"/>
                <w:kern w:val="0"/>
                <w:sz w:val="24"/>
                <w:szCs w:val="24"/>
                <w:lang w:eastAsia="zh-CN"/>
              </w:rPr>
              <w:t>。</w:t>
            </w:r>
          </w:p>
          <w:p w14:paraId="448612E0">
            <w:pPr>
              <w:pStyle w:val="2"/>
              <w:rPr>
                <w:rFonts w:hint="eastAsia"/>
                <w:lang w:val="en-US" w:eastAsia="zh-CN"/>
              </w:rPr>
            </w:pPr>
          </w:p>
          <w:p w14:paraId="6999D6CB">
            <w:pPr>
              <w:pStyle w:val="69"/>
              <w:spacing w:before="0" w:beforeLines="0" w:line="360" w:lineRule="auto"/>
              <w:ind w:left="0" w:leftChars="0" w:right="0" w:rightChars="0" w:firstLine="0"/>
              <w:rPr>
                <w:rFonts w:hint="eastAsia" w:ascii="Times New Roman" w:hAnsi="Times New Roman" w:eastAsia="宋体" w:cs="Times New Roman"/>
                <w:b/>
                <w:bCs/>
                <w:color w:val="auto"/>
                <w:sz w:val="24"/>
                <w:lang w:val="en-US" w:eastAsia="zh-CN"/>
              </w:rPr>
            </w:pPr>
            <w:r>
              <w:rPr>
                <w:rFonts w:hint="eastAsia" w:cs="Times New Roman"/>
                <w:b/>
                <w:bCs/>
                <w:color w:val="auto"/>
                <w:sz w:val="24"/>
                <w:lang w:val="en-US" w:eastAsia="zh-CN"/>
              </w:rPr>
              <w:t>6、</w:t>
            </w:r>
            <w:r>
              <w:rPr>
                <w:rFonts w:hint="eastAsia" w:ascii="Times New Roman" w:hAnsi="Times New Roman" w:eastAsia="宋体" w:cs="Times New Roman"/>
                <w:b/>
                <w:bCs/>
                <w:color w:val="auto"/>
                <w:sz w:val="24"/>
                <w:lang w:val="en-US" w:eastAsia="zh-CN"/>
              </w:rPr>
              <w:t>电磁辐射现状监测与评价</w:t>
            </w:r>
          </w:p>
          <w:p w14:paraId="34E0D1FF">
            <w:pPr>
              <w:pStyle w:val="69"/>
              <w:spacing w:before="0" w:beforeLines="0" w:line="360" w:lineRule="auto"/>
              <w:ind w:left="0" w:leftChars="0" w:right="0" w:rightChars="0" w:firstLineChars="200"/>
              <w:rPr>
                <w:color w:val="auto"/>
                <w:sz w:val="24"/>
              </w:rPr>
            </w:pPr>
            <w:r>
              <w:rPr>
                <w:rFonts w:hint="eastAsia" w:ascii="Times New Roman" w:hAnsi="Times New Roman" w:eastAsia="宋体" w:cs="Times New Roman"/>
                <w:color w:val="auto"/>
                <w:sz w:val="24"/>
                <w:lang w:val="en-US" w:eastAsia="zh-CN"/>
              </w:rPr>
              <w:t>根据</w:t>
            </w:r>
            <w:r>
              <w:rPr>
                <w:rFonts w:hint="eastAsia" w:ascii="Times New Roman" w:hAnsi="Times New Roman" w:eastAsia="宋体" w:cs="Times New Roman"/>
                <w:color w:val="auto"/>
                <w:sz w:val="24"/>
              </w:rPr>
              <w:t>《建设项目环境影响报告表编制技术指南</w:t>
            </w:r>
            <w:r>
              <w:rPr>
                <w:rFonts w:hint="eastAsia" w:ascii="Times New Roman" w:hAnsi="Times New Roman" w:eastAsia="宋体" w:cs="Times New Roman"/>
                <w:color w:val="auto"/>
                <w:sz w:val="24"/>
                <w:lang w:eastAsia="zh-CN"/>
              </w:rPr>
              <w:t>（</w:t>
            </w:r>
            <w:r>
              <w:rPr>
                <w:rFonts w:hint="eastAsia" w:ascii="Times New Roman" w:hAnsi="Times New Roman" w:eastAsia="宋体" w:cs="Times New Roman"/>
                <w:color w:val="auto"/>
                <w:sz w:val="24"/>
              </w:rPr>
              <w:t>污染影响类</w:t>
            </w:r>
            <w:r>
              <w:rPr>
                <w:rFonts w:hint="eastAsia" w:ascii="Times New Roman" w:hAnsi="Times New Roman" w:eastAsia="宋体" w:cs="Times New Roman"/>
                <w:color w:val="auto"/>
                <w:sz w:val="24"/>
                <w:lang w:eastAsia="zh-CN"/>
              </w:rPr>
              <w:t>）（</w:t>
            </w:r>
            <w:r>
              <w:rPr>
                <w:rFonts w:hint="eastAsia" w:ascii="Times New Roman" w:hAnsi="Times New Roman" w:eastAsia="宋体" w:cs="Times New Roman"/>
                <w:color w:val="auto"/>
                <w:sz w:val="24"/>
              </w:rPr>
              <w:t>试行</w:t>
            </w:r>
            <w:r>
              <w:rPr>
                <w:rFonts w:hint="eastAsia" w:ascii="Times New Roman" w:hAnsi="Times New Roman" w:eastAsia="宋体" w:cs="Times New Roman"/>
                <w:color w:val="auto"/>
                <w:sz w:val="24"/>
                <w:lang w:eastAsia="zh-CN"/>
              </w:rPr>
              <w:t>）</w:t>
            </w:r>
            <w:r>
              <w:rPr>
                <w:rFonts w:hint="eastAsia" w:ascii="Times New Roman" w:hAnsi="Times New Roman" w:eastAsia="宋体" w:cs="Times New Roman"/>
                <w:color w:val="auto"/>
                <w:sz w:val="24"/>
              </w:rPr>
              <w:t>》</w:t>
            </w:r>
            <w:r>
              <w:rPr>
                <w:rFonts w:hint="eastAsia" w:ascii="Times New Roman" w:hAnsi="Times New Roman" w:eastAsia="宋体" w:cs="Times New Roman"/>
                <w:color w:val="auto"/>
                <w:sz w:val="24"/>
                <w:lang w:val="en-US" w:eastAsia="zh-CN"/>
              </w:rPr>
              <w:t>项目不属于新建或改建，扩建广播电台，差转台、电视塔台、卫星地球上行站、雷达等电磁辐射类项目，无需开展电磁辐射现状监测与评价。</w:t>
            </w:r>
          </w:p>
          <w:p w14:paraId="0830E5EB">
            <w:pPr>
              <w:pStyle w:val="5"/>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w:t>
            </w:r>
            <w:r>
              <w:rPr>
                <w:rFonts w:hint="default" w:ascii="Times New Roman" w:hAnsi="Times New Roman" w:eastAsia="宋体" w:cs="Times New Roman"/>
                <w:sz w:val="24"/>
                <w:szCs w:val="24"/>
                <w:lang w:val="en-US" w:eastAsia="zh-CN"/>
              </w:rPr>
              <w:t>7</w:t>
            </w:r>
            <w:r>
              <w:rPr>
                <w:rFonts w:hint="default" w:ascii="Times New Roman" w:hAnsi="Times New Roman" w:eastAsia="宋体" w:cs="Times New Roman"/>
                <w:sz w:val="24"/>
                <w:szCs w:val="24"/>
              </w:rPr>
              <w:t>排放标准</w:t>
            </w:r>
          </w:p>
          <w:p w14:paraId="4C09D3F6">
            <w:pPr>
              <w:keepLines w:val="0"/>
              <w:pageBreakBefore w:val="0"/>
              <w:numPr>
                <w:ilvl w:val="0"/>
                <w:numId w:val="3"/>
              </w:numPr>
              <w:kinsoku/>
              <w:wordWrap/>
              <w:topLinePunct w:val="0"/>
              <w:bidi w:val="0"/>
              <w:adjustRightInd w:val="0"/>
              <w:snapToGrid w:val="0"/>
              <w:spacing w:line="360" w:lineRule="auto"/>
              <w:ind w:left="525" w:leftChars="0" w:firstLine="0" w:firstLineChars="0"/>
              <w:jc w:val="left"/>
              <w:rPr>
                <w:rFonts w:hint="eastAsia" w:ascii="Times New Roman" w:hAnsi="宋体"/>
                <w:bCs/>
                <w:color w:val="000000"/>
                <w:sz w:val="24"/>
                <w:szCs w:val="24"/>
                <w:lang w:val="en-US" w:eastAsia="zh-CN"/>
              </w:rPr>
            </w:pPr>
            <w:r>
              <w:rPr>
                <w:rFonts w:hint="eastAsia" w:ascii="Times New Roman" w:hAnsi="宋体"/>
                <w:bCs/>
                <w:color w:val="000000"/>
                <w:sz w:val="24"/>
                <w:szCs w:val="24"/>
                <w:lang w:val="en-US" w:eastAsia="zh-CN"/>
              </w:rPr>
              <w:t>大气</w:t>
            </w:r>
          </w:p>
          <w:p w14:paraId="0C3186E1">
            <w:pPr>
              <w:keepLines w:val="0"/>
              <w:pageBreakBefore w:val="0"/>
              <w:widowControl w:val="0"/>
              <w:kinsoku/>
              <w:wordWrap/>
              <w:topLinePunct w:val="0"/>
              <w:autoSpaceDE/>
              <w:autoSpaceDN/>
              <w:bidi w:val="0"/>
              <w:adjustRightInd/>
              <w:spacing w:line="460" w:lineRule="exact"/>
              <w:ind w:firstLine="480"/>
              <w:textAlignment w:val="auto"/>
              <w:rPr>
                <w:rFonts w:hint="eastAsia" w:ascii="Times New Roman" w:hAnsi="Times New Roman" w:eastAsia="宋体" w:cs="Times New Roman"/>
                <w:color w:val="000000"/>
                <w:sz w:val="24"/>
              </w:rPr>
            </w:pPr>
            <w:r>
              <w:rPr>
                <w:rFonts w:hint="eastAsia"/>
                <w:color w:val="000000"/>
                <w:sz w:val="24"/>
                <w:szCs w:val="24"/>
              </w:rPr>
              <w:t>项目收集贮存的废铅蓄电池在包装完好无损的状况下，不会有硫酸雾产生，包装破损等情况导致</w:t>
            </w:r>
            <w:r>
              <w:rPr>
                <w:rFonts w:hint="eastAsia"/>
                <w:color w:val="000000"/>
                <w:sz w:val="24"/>
                <w:szCs w:val="24"/>
                <w:lang w:eastAsia="zh-CN"/>
              </w:rPr>
              <w:t>废铅蓄电池内硫酸等</w:t>
            </w:r>
            <w:r>
              <w:rPr>
                <w:rFonts w:hint="eastAsia"/>
                <w:color w:val="000000"/>
                <w:sz w:val="24"/>
                <w:szCs w:val="24"/>
              </w:rPr>
              <w:t>泄漏</w:t>
            </w:r>
            <w:r>
              <w:rPr>
                <w:rFonts w:hint="eastAsia"/>
                <w:color w:val="000000"/>
                <w:sz w:val="24"/>
                <w:szCs w:val="24"/>
                <w:lang w:eastAsia="zh-CN"/>
              </w:rPr>
              <w:t>挥发后</w:t>
            </w:r>
            <w:r>
              <w:rPr>
                <w:rFonts w:hint="eastAsia"/>
                <w:color w:val="000000"/>
                <w:sz w:val="24"/>
                <w:szCs w:val="24"/>
              </w:rPr>
              <w:t>，产生少量硫酸雾</w:t>
            </w:r>
            <w:r>
              <w:rPr>
                <w:rFonts w:hint="eastAsia"/>
                <w:color w:val="000000"/>
                <w:sz w:val="24"/>
                <w:szCs w:val="24"/>
                <w:lang w:eastAsia="zh-CN"/>
              </w:rPr>
              <w:t>，</w:t>
            </w:r>
            <w:r>
              <w:rPr>
                <w:rFonts w:hint="eastAsia"/>
                <w:color w:val="000000"/>
                <w:lang w:eastAsia="zh-CN"/>
              </w:rPr>
              <w:t>排放的硫酸雾执行《大气污染物排放标准》（DB50/418-2016）</w:t>
            </w:r>
            <w:r>
              <w:rPr>
                <w:rFonts w:hint="eastAsia"/>
                <w:color w:val="000000"/>
                <w:sz w:val="24"/>
                <w:szCs w:val="24"/>
                <w:lang w:eastAsia="zh-CN"/>
              </w:rPr>
              <w:t>。</w:t>
            </w:r>
            <w:r>
              <w:rPr>
                <w:rFonts w:hint="eastAsia" w:cs="Times New Roman"/>
                <w:color w:val="000000"/>
                <w:sz w:val="24"/>
                <w:lang w:eastAsia="zh-CN"/>
              </w:rPr>
              <w:t>危废贮存</w:t>
            </w:r>
            <w:r>
              <w:rPr>
                <w:rFonts w:hint="eastAsia" w:ascii="Times New Roman" w:hAnsi="Times New Roman" w:eastAsia="宋体" w:cs="Times New Roman"/>
                <w:color w:val="000000"/>
                <w:sz w:val="24"/>
                <w:lang w:eastAsia="zh-CN"/>
              </w:rPr>
              <w:t>异味</w:t>
            </w:r>
            <w:r>
              <w:rPr>
                <w:rFonts w:hint="eastAsia" w:cs="Times New Roman"/>
                <w:color w:val="000000"/>
                <w:sz w:val="24"/>
                <w:lang w:eastAsia="zh-CN"/>
              </w:rPr>
              <w:t>（臭气浓度）</w:t>
            </w:r>
            <w:r>
              <w:rPr>
                <w:rFonts w:hint="eastAsia" w:ascii="Times New Roman" w:hAnsi="Times New Roman" w:eastAsia="宋体" w:cs="Times New Roman"/>
                <w:color w:val="000000"/>
                <w:sz w:val="24"/>
                <w:lang w:eastAsia="zh-CN"/>
              </w:rPr>
              <w:t>执行《</w:t>
            </w:r>
            <w:r>
              <w:rPr>
                <w:rFonts w:hint="default" w:ascii="Times New Roman" w:hAnsi="Times New Roman" w:eastAsia="宋体" w:cs="Times New Roman"/>
                <w:color w:val="000000"/>
                <w:sz w:val="24"/>
              </w:rPr>
              <w:t>恶臭污染物排放标准</w:t>
            </w:r>
            <w:r>
              <w:rPr>
                <w:rFonts w:hint="eastAsia" w:ascii="Times New Roman" w:hAnsi="Times New Roman" w:eastAsia="宋体" w:cs="Times New Roman"/>
                <w:color w:val="000000"/>
                <w:sz w:val="24"/>
                <w:lang w:eastAsia="zh-CN"/>
              </w:rPr>
              <w:t>》（</w:t>
            </w:r>
            <w:r>
              <w:rPr>
                <w:rFonts w:hint="default" w:ascii="Times New Roman" w:hAnsi="Times New Roman" w:eastAsia="宋体" w:cs="Times New Roman"/>
                <w:color w:val="000000"/>
                <w:sz w:val="24"/>
              </w:rPr>
              <w:t>GB14554-93</w:t>
            </w:r>
            <w:r>
              <w:rPr>
                <w:rFonts w:hint="eastAsia" w:ascii="Times New Roman" w:hAnsi="Times New Roman" w:eastAsia="宋体" w:cs="Times New Roman"/>
                <w:color w:val="000000"/>
                <w:sz w:val="24"/>
                <w:lang w:eastAsia="zh-CN"/>
              </w:rPr>
              <w:t>）中二级标准</w:t>
            </w:r>
            <w:r>
              <w:rPr>
                <w:rFonts w:hint="eastAsia" w:ascii="Times New Roman" w:hAnsi="Times New Roman" w:eastAsia="宋体" w:cs="Times New Roman"/>
                <w:color w:val="000000"/>
                <w:sz w:val="24"/>
              </w:rPr>
              <w:t>。</w:t>
            </w:r>
          </w:p>
          <w:p w14:paraId="446967CE">
            <w:pPr>
              <w:keepNext w:val="0"/>
              <w:keepLines w:val="0"/>
              <w:pageBreakBefore w:val="0"/>
              <w:widowControl w:val="0"/>
              <w:kinsoku/>
              <w:wordWrap/>
              <w:overflowPunct/>
              <w:topLinePunct w:val="0"/>
              <w:autoSpaceDE/>
              <w:autoSpaceDN/>
              <w:bidi w:val="0"/>
              <w:adjustRightInd/>
              <w:snapToGrid w:val="0"/>
              <w:spacing w:line="460" w:lineRule="exact"/>
              <w:ind w:firstLine="0" w:firstLineChars="0"/>
              <w:jc w:val="center"/>
              <w:textAlignment w:val="auto"/>
              <w:rPr>
                <w:b/>
                <w:bCs/>
                <w:color w:val="000000"/>
              </w:rPr>
            </w:pPr>
            <w:r>
              <w:rPr>
                <w:b/>
                <w:bCs/>
                <w:color w:val="000000"/>
              </w:rPr>
              <w:t>表</w:t>
            </w:r>
            <w:r>
              <w:rPr>
                <w:rFonts w:hint="eastAsia"/>
                <w:b/>
                <w:bCs/>
                <w:color w:val="000000"/>
              </w:rPr>
              <w:t>3</w:t>
            </w:r>
            <w:r>
              <w:rPr>
                <w:b/>
                <w:bCs/>
                <w:color w:val="000000"/>
              </w:rPr>
              <w:t>-</w:t>
            </w:r>
            <w:r>
              <w:rPr>
                <w:rFonts w:hint="eastAsia"/>
                <w:b/>
                <w:bCs/>
                <w:color w:val="000000"/>
                <w:lang w:val="en-US" w:eastAsia="zh-CN"/>
              </w:rPr>
              <w:t>6</w:t>
            </w:r>
            <w:r>
              <w:rPr>
                <w:rFonts w:hint="eastAsia"/>
                <w:b/>
                <w:bCs/>
                <w:color w:val="000000"/>
              </w:rPr>
              <w:t xml:space="preserve">  </w:t>
            </w:r>
            <w:r>
              <w:rPr>
                <w:b/>
                <w:bCs/>
                <w:color w:val="000000"/>
              </w:rPr>
              <w:t>大气污染物排放标准</w:t>
            </w:r>
          </w:p>
          <w:tbl>
            <w:tblPr>
              <w:tblStyle w:val="23"/>
              <w:tblW w:w="4998" w:type="pct"/>
              <w:jc w:val="center"/>
              <w:tblBorders>
                <w:top w:val="single" w:color="auto" w:sz="2" w:space="0"/>
                <w:left w:val="single" w:color="auto" w:sz="2" w:space="0"/>
                <w:bottom w:val="single" w:color="auto" w:sz="2" w:space="0"/>
                <w:right w:val="single" w:color="auto" w:sz="2" w:space="0"/>
                <w:insideH w:val="single" w:color="auto" w:sz="4" w:space="0"/>
                <w:insideV w:val="single" w:color="auto" w:sz="4" w:space="0"/>
              </w:tblBorders>
              <w:tblLayout w:type="fixed"/>
              <w:tblCellMar>
                <w:top w:w="0" w:type="dxa"/>
                <w:left w:w="108" w:type="dxa"/>
                <w:bottom w:w="0" w:type="dxa"/>
                <w:right w:w="108" w:type="dxa"/>
              </w:tblCellMar>
            </w:tblPr>
            <w:tblGrid>
              <w:gridCol w:w="1816"/>
              <w:gridCol w:w="1712"/>
              <w:gridCol w:w="1243"/>
              <w:gridCol w:w="1268"/>
              <w:gridCol w:w="1798"/>
            </w:tblGrid>
            <w:tr w14:paraId="0C9279A0">
              <w:tblPrEx>
                <w:tblBorders>
                  <w:top w:val="single" w:color="auto" w:sz="2" w:space="0"/>
                  <w:left w:val="single" w:color="auto" w:sz="2" w:space="0"/>
                  <w:bottom w:val="single" w:color="auto" w:sz="2" w:space="0"/>
                  <w:right w:val="single" w:color="auto" w:sz="2"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center"/>
              </w:trPr>
              <w:tc>
                <w:tcPr>
                  <w:tcW w:w="1158" w:type="pct"/>
                  <w:vMerge w:val="restart"/>
                  <w:tcBorders>
                    <w:tl2br w:val="nil"/>
                    <w:tr2bl w:val="nil"/>
                  </w:tcBorders>
                  <w:noWrap w:val="0"/>
                  <w:vAlign w:val="center"/>
                </w:tcPr>
                <w:p w14:paraId="1F72C6A3">
                  <w:pPr>
                    <w:pStyle w:val="47"/>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污染物</w:t>
                  </w:r>
                </w:p>
              </w:tc>
              <w:tc>
                <w:tcPr>
                  <w:tcW w:w="1092" w:type="pct"/>
                  <w:vMerge w:val="restart"/>
                  <w:tcBorders>
                    <w:tl2br w:val="nil"/>
                    <w:tr2bl w:val="nil"/>
                  </w:tcBorders>
                  <w:noWrap w:val="0"/>
                  <w:vAlign w:val="center"/>
                </w:tcPr>
                <w:p w14:paraId="6FC0B6A6">
                  <w:pPr>
                    <w:pStyle w:val="47"/>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最高允许排放浓度（mg/m</w:t>
                  </w:r>
                  <w:r>
                    <w:rPr>
                      <w:rFonts w:hint="default" w:ascii="Times New Roman" w:hAnsi="Times New Roman" w:cs="Times New Roman"/>
                      <w:color w:val="000000"/>
                      <w:sz w:val="21"/>
                      <w:szCs w:val="21"/>
                      <w:vertAlign w:val="superscript"/>
                    </w:rPr>
                    <w:t>3</w:t>
                  </w:r>
                  <w:r>
                    <w:rPr>
                      <w:rFonts w:hint="default" w:ascii="Times New Roman" w:hAnsi="Times New Roman" w:cs="Times New Roman"/>
                      <w:color w:val="000000"/>
                      <w:sz w:val="21"/>
                      <w:szCs w:val="21"/>
                    </w:rPr>
                    <w:t>）</w:t>
                  </w:r>
                </w:p>
              </w:tc>
              <w:tc>
                <w:tcPr>
                  <w:tcW w:w="1602" w:type="pct"/>
                  <w:gridSpan w:val="2"/>
                  <w:tcBorders>
                    <w:tl2br w:val="nil"/>
                    <w:tr2bl w:val="nil"/>
                  </w:tcBorders>
                  <w:noWrap w:val="0"/>
                  <w:vAlign w:val="center"/>
                </w:tcPr>
                <w:p w14:paraId="0390B938">
                  <w:pPr>
                    <w:pStyle w:val="47"/>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最高允许排放速率</w:t>
                  </w:r>
                </w:p>
              </w:tc>
              <w:tc>
                <w:tcPr>
                  <w:tcW w:w="1147" w:type="pct"/>
                  <w:tcBorders>
                    <w:tl2br w:val="nil"/>
                    <w:tr2bl w:val="nil"/>
                  </w:tcBorders>
                  <w:noWrap w:val="0"/>
                  <w:vAlign w:val="center"/>
                </w:tcPr>
                <w:p w14:paraId="77A1AD0A">
                  <w:pPr>
                    <w:pStyle w:val="47"/>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无组织排放监控浓度限值</w:t>
                  </w:r>
                </w:p>
              </w:tc>
            </w:tr>
            <w:tr w14:paraId="6758A45B">
              <w:tblPrEx>
                <w:tblBorders>
                  <w:top w:val="single" w:color="auto" w:sz="2" w:space="0"/>
                  <w:left w:val="single" w:color="auto" w:sz="2" w:space="0"/>
                  <w:bottom w:val="single" w:color="auto" w:sz="2" w:space="0"/>
                  <w:right w:val="single" w:color="auto" w:sz="2" w:space="0"/>
                  <w:insideH w:val="single" w:color="auto" w:sz="4" w:space="0"/>
                  <w:insideV w:val="single" w:color="auto" w:sz="4" w:space="0"/>
                </w:tblBorders>
                <w:tblCellMar>
                  <w:top w:w="0" w:type="dxa"/>
                  <w:left w:w="108" w:type="dxa"/>
                  <w:bottom w:w="0" w:type="dxa"/>
                  <w:right w:w="108" w:type="dxa"/>
                </w:tblCellMar>
              </w:tblPrEx>
              <w:trPr>
                <w:cantSplit/>
                <w:trHeight w:val="442" w:hRule="atLeast"/>
                <w:jc w:val="center"/>
              </w:trPr>
              <w:tc>
                <w:tcPr>
                  <w:tcW w:w="1158" w:type="pct"/>
                  <w:vMerge w:val="continue"/>
                  <w:tcBorders>
                    <w:tl2br w:val="nil"/>
                    <w:tr2bl w:val="nil"/>
                  </w:tcBorders>
                  <w:noWrap w:val="0"/>
                  <w:vAlign w:val="center"/>
                </w:tcPr>
                <w:p w14:paraId="79702B76">
                  <w:pPr>
                    <w:pStyle w:val="47"/>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cs="Times New Roman"/>
                      <w:color w:val="000000"/>
                      <w:sz w:val="21"/>
                      <w:szCs w:val="21"/>
                    </w:rPr>
                  </w:pPr>
                </w:p>
              </w:tc>
              <w:tc>
                <w:tcPr>
                  <w:tcW w:w="1092" w:type="pct"/>
                  <w:vMerge w:val="continue"/>
                  <w:tcBorders>
                    <w:tl2br w:val="nil"/>
                    <w:tr2bl w:val="nil"/>
                  </w:tcBorders>
                  <w:noWrap w:val="0"/>
                  <w:vAlign w:val="center"/>
                </w:tcPr>
                <w:p w14:paraId="13B9222B">
                  <w:pPr>
                    <w:pStyle w:val="47"/>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cs="Times New Roman"/>
                      <w:color w:val="000000"/>
                      <w:sz w:val="21"/>
                      <w:szCs w:val="21"/>
                    </w:rPr>
                  </w:pPr>
                </w:p>
              </w:tc>
              <w:tc>
                <w:tcPr>
                  <w:tcW w:w="793" w:type="pct"/>
                  <w:tcBorders>
                    <w:tl2br w:val="nil"/>
                    <w:tr2bl w:val="nil"/>
                  </w:tcBorders>
                  <w:noWrap w:val="0"/>
                  <w:vAlign w:val="center"/>
                </w:tcPr>
                <w:p w14:paraId="03B9C9E8">
                  <w:pPr>
                    <w:pStyle w:val="47"/>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排气筒（m）</w:t>
                  </w:r>
                </w:p>
              </w:tc>
              <w:tc>
                <w:tcPr>
                  <w:tcW w:w="809" w:type="pct"/>
                  <w:tcBorders>
                    <w:tl2br w:val="nil"/>
                    <w:tr2bl w:val="nil"/>
                  </w:tcBorders>
                  <w:noWrap w:val="0"/>
                  <w:vAlign w:val="center"/>
                </w:tcPr>
                <w:p w14:paraId="59BD141D">
                  <w:pPr>
                    <w:pStyle w:val="47"/>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速率（kg/h）</w:t>
                  </w:r>
                </w:p>
              </w:tc>
              <w:tc>
                <w:tcPr>
                  <w:tcW w:w="1147" w:type="pct"/>
                  <w:tcBorders>
                    <w:tl2br w:val="nil"/>
                    <w:tr2bl w:val="nil"/>
                  </w:tcBorders>
                  <w:noWrap w:val="0"/>
                  <w:vAlign w:val="center"/>
                </w:tcPr>
                <w:p w14:paraId="73854AD1">
                  <w:pPr>
                    <w:pStyle w:val="47"/>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浓度（mg/m</w:t>
                  </w:r>
                  <w:r>
                    <w:rPr>
                      <w:rFonts w:hint="default" w:ascii="Times New Roman" w:hAnsi="Times New Roman" w:cs="Times New Roman"/>
                      <w:color w:val="000000"/>
                      <w:sz w:val="21"/>
                      <w:szCs w:val="21"/>
                      <w:vertAlign w:val="superscript"/>
                    </w:rPr>
                    <w:t>3</w:t>
                  </w:r>
                  <w:r>
                    <w:rPr>
                      <w:rFonts w:hint="default" w:ascii="Times New Roman" w:hAnsi="Times New Roman" w:cs="Times New Roman"/>
                      <w:color w:val="000000"/>
                      <w:sz w:val="21"/>
                      <w:szCs w:val="21"/>
                    </w:rPr>
                    <w:t>）</w:t>
                  </w:r>
                </w:p>
              </w:tc>
            </w:tr>
            <w:tr w14:paraId="5A781488">
              <w:tblPrEx>
                <w:tblBorders>
                  <w:top w:val="single" w:color="auto" w:sz="2" w:space="0"/>
                  <w:left w:val="single" w:color="auto" w:sz="2" w:space="0"/>
                  <w:bottom w:val="single" w:color="auto" w:sz="2" w:space="0"/>
                  <w:right w:val="single" w:color="auto" w:sz="2" w:space="0"/>
                  <w:insideH w:val="single" w:color="auto" w:sz="4" w:space="0"/>
                  <w:insideV w:val="single" w:color="auto" w:sz="4" w:space="0"/>
                </w:tblBorders>
                <w:tblCellMar>
                  <w:top w:w="0" w:type="dxa"/>
                  <w:left w:w="108" w:type="dxa"/>
                  <w:bottom w:w="0" w:type="dxa"/>
                  <w:right w:w="108" w:type="dxa"/>
                </w:tblCellMar>
              </w:tblPrEx>
              <w:trPr>
                <w:cantSplit/>
                <w:trHeight w:val="497" w:hRule="atLeast"/>
                <w:jc w:val="center"/>
              </w:trPr>
              <w:tc>
                <w:tcPr>
                  <w:tcW w:w="1158" w:type="pct"/>
                  <w:tcBorders>
                    <w:tl2br w:val="nil"/>
                    <w:tr2bl w:val="nil"/>
                  </w:tcBorders>
                  <w:noWrap w:val="0"/>
                  <w:vAlign w:val="center"/>
                </w:tcPr>
                <w:p w14:paraId="769159A4">
                  <w:pPr>
                    <w:pStyle w:val="47"/>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硫酸雾</w:t>
                  </w:r>
                </w:p>
              </w:tc>
              <w:tc>
                <w:tcPr>
                  <w:tcW w:w="1092" w:type="pct"/>
                  <w:tcBorders>
                    <w:tl2br w:val="nil"/>
                    <w:tr2bl w:val="nil"/>
                  </w:tcBorders>
                  <w:noWrap w:val="0"/>
                  <w:vAlign w:val="center"/>
                </w:tcPr>
                <w:p w14:paraId="0F7CE3FF">
                  <w:pPr>
                    <w:pStyle w:val="47"/>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cs="Times New Roman"/>
                      <w:color w:val="000000"/>
                      <w:sz w:val="21"/>
                      <w:szCs w:val="21"/>
                    </w:rPr>
                  </w:pPr>
                  <w:r>
                    <w:rPr>
                      <w:rFonts w:hint="eastAsia" w:ascii="Times New Roman" w:hAnsi="Times New Roman" w:cs="Times New Roman"/>
                      <w:color w:val="000000"/>
                      <w:sz w:val="21"/>
                      <w:szCs w:val="21"/>
                      <w:lang w:val="en-US" w:eastAsia="zh-CN"/>
                    </w:rPr>
                    <w:t>45</w:t>
                  </w:r>
                </w:p>
              </w:tc>
              <w:tc>
                <w:tcPr>
                  <w:tcW w:w="793" w:type="pct"/>
                  <w:tcBorders>
                    <w:tl2br w:val="nil"/>
                    <w:tr2bl w:val="nil"/>
                  </w:tcBorders>
                  <w:noWrap w:val="0"/>
                  <w:vAlign w:val="center"/>
                </w:tcPr>
                <w:p w14:paraId="10508202">
                  <w:pPr>
                    <w:pStyle w:val="47"/>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15</w:t>
                  </w:r>
                </w:p>
              </w:tc>
              <w:tc>
                <w:tcPr>
                  <w:tcW w:w="809" w:type="pct"/>
                  <w:tcBorders>
                    <w:tl2br w:val="nil"/>
                    <w:tr2bl w:val="nil"/>
                  </w:tcBorders>
                  <w:noWrap w:val="0"/>
                  <w:vAlign w:val="center"/>
                </w:tcPr>
                <w:p w14:paraId="2F6B07A1">
                  <w:pPr>
                    <w:pStyle w:val="47"/>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宋体" w:cs="Times New Roman"/>
                      <w:color w:val="000000"/>
                      <w:sz w:val="21"/>
                      <w:szCs w:val="21"/>
                      <w:lang w:val="en-US" w:eastAsia="zh-CN"/>
                    </w:rPr>
                  </w:pPr>
                  <w:r>
                    <w:rPr>
                      <w:rFonts w:hint="eastAsia" w:ascii="Times New Roman" w:hAnsi="Times New Roman" w:cs="Times New Roman"/>
                      <w:color w:val="000000"/>
                      <w:sz w:val="21"/>
                      <w:szCs w:val="21"/>
                      <w:lang w:val="en-US" w:eastAsia="zh-CN"/>
                    </w:rPr>
                    <w:t>1.5</w:t>
                  </w:r>
                </w:p>
              </w:tc>
              <w:tc>
                <w:tcPr>
                  <w:tcW w:w="1147" w:type="pct"/>
                  <w:tcBorders>
                    <w:tl2br w:val="nil"/>
                    <w:tr2bl w:val="nil"/>
                  </w:tcBorders>
                  <w:noWrap w:val="0"/>
                  <w:vAlign w:val="center"/>
                </w:tcPr>
                <w:p w14:paraId="46CD0683">
                  <w:pPr>
                    <w:pStyle w:val="47"/>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1.2</w:t>
                  </w:r>
                </w:p>
              </w:tc>
            </w:tr>
          </w:tbl>
          <w:p w14:paraId="4E360613">
            <w:pPr>
              <w:keepNext w:val="0"/>
              <w:keepLines w:val="0"/>
              <w:pageBreakBefore w:val="0"/>
              <w:widowControl w:val="0"/>
              <w:kinsoku/>
              <w:wordWrap/>
              <w:overflowPunct/>
              <w:topLinePunct w:val="0"/>
              <w:autoSpaceDE/>
              <w:autoSpaceDN/>
              <w:bidi w:val="0"/>
              <w:adjustRightInd/>
              <w:snapToGrid w:val="0"/>
              <w:spacing w:line="460" w:lineRule="exact"/>
              <w:ind w:firstLine="0" w:firstLineChars="0"/>
              <w:jc w:val="center"/>
              <w:textAlignment w:val="auto"/>
              <w:rPr>
                <w:rFonts w:hint="eastAsia"/>
                <w:b/>
                <w:bCs/>
                <w:color w:val="000000"/>
                <w:lang w:val="zh-CN"/>
              </w:rPr>
            </w:pPr>
            <w:r>
              <w:rPr>
                <w:b/>
                <w:bCs/>
                <w:color w:val="000000"/>
              </w:rPr>
              <w:t>表</w:t>
            </w:r>
            <w:r>
              <w:rPr>
                <w:rFonts w:hint="eastAsia"/>
                <w:b/>
                <w:bCs/>
                <w:color w:val="000000"/>
              </w:rPr>
              <w:t>3</w:t>
            </w:r>
            <w:r>
              <w:rPr>
                <w:b/>
                <w:bCs/>
                <w:color w:val="000000"/>
              </w:rPr>
              <w:t>-</w:t>
            </w:r>
            <w:r>
              <w:rPr>
                <w:rFonts w:hint="eastAsia"/>
                <w:b/>
                <w:bCs/>
                <w:color w:val="000000"/>
                <w:lang w:val="en-US" w:eastAsia="zh-CN"/>
              </w:rPr>
              <w:t>7</w:t>
            </w:r>
            <w:r>
              <w:rPr>
                <w:rFonts w:hint="eastAsia"/>
                <w:b/>
                <w:bCs/>
                <w:color w:val="000000"/>
              </w:rPr>
              <w:t xml:space="preserve">  </w:t>
            </w:r>
            <w:r>
              <w:rPr>
                <w:rFonts w:hint="eastAsia"/>
                <w:b/>
                <w:bCs/>
                <w:color w:val="000000"/>
                <w:lang w:val="zh-CN"/>
              </w:rPr>
              <w:t>恶臭污染物排放标准</w:t>
            </w:r>
          </w:p>
          <w:tbl>
            <w:tblPr>
              <w:tblStyle w:val="23"/>
              <w:tblW w:w="4998"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461"/>
              <w:gridCol w:w="1593"/>
              <w:gridCol w:w="1594"/>
              <w:gridCol w:w="1593"/>
              <w:gridCol w:w="1596"/>
            </w:tblGrid>
            <w:tr w14:paraId="36D2FD2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397" w:hRule="atLeast"/>
                <w:jc w:val="center"/>
              </w:trPr>
              <w:tc>
                <w:tcPr>
                  <w:tcW w:w="932" w:type="pct"/>
                  <w:vMerge w:val="restart"/>
                  <w:tcBorders>
                    <w:tl2br w:val="nil"/>
                    <w:tr2bl w:val="nil"/>
                  </w:tcBorders>
                  <w:noWrap w:val="0"/>
                  <w:vAlign w:val="center"/>
                </w:tcPr>
                <w:p w14:paraId="4E0F652E">
                  <w:pPr>
                    <w:pStyle w:val="47"/>
                    <w:keepNext w:val="0"/>
                    <w:keepLines w:val="0"/>
                    <w:pageBreakBefore w:val="0"/>
                    <w:widowControl w:val="0"/>
                    <w:kinsoku/>
                    <w:wordWrap/>
                    <w:overflowPunct/>
                    <w:topLinePunct w:val="0"/>
                    <w:autoSpaceDE/>
                    <w:autoSpaceDN/>
                    <w:bidi w:val="0"/>
                    <w:adjustRightInd w:val="0"/>
                    <w:snapToGrid w:val="0"/>
                    <w:ind w:firstLine="0" w:firstLineChars="0"/>
                    <w:textAlignment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污染物</w:t>
                  </w:r>
                </w:p>
              </w:tc>
              <w:tc>
                <w:tcPr>
                  <w:tcW w:w="2033" w:type="pct"/>
                  <w:gridSpan w:val="2"/>
                  <w:tcBorders>
                    <w:tl2br w:val="nil"/>
                    <w:tr2bl w:val="nil"/>
                  </w:tcBorders>
                  <w:noWrap w:val="0"/>
                  <w:vAlign w:val="center"/>
                </w:tcPr>
                <w:p w14:paraId="6BFFFCA7">
                  <w:pPr>
                    <w:pStyle w:val="47"/>
                    <w:keepNext w:val="0"/>
                    <w:keepLines w:val="0"/>
                    <w:pageBreakBefore w:val="0"/>
                    <w:widowControl w:val="0"/>
                    <w:kinsoku/>
                    <w:wordWrap/>
                    <w:overflowPunct/>
                    <w:topLinePunct w:val="0"/>
                    <w:autoSpaceDE/>
                    <w:autoSpaceDN/>
                    <w:bidi w:val="0"/>
                    <w:adjustRightInd w:val="0"/>
                    <w:snapToGrid w:val="0"/>
                    <w:ind w:firstLine="0" w:firstLineChars="0"/>
                    <w:textAlignment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有组织排放源限值</w:t>
                  </w:r>
                </w:p>
              </w:tc>
              <w:tc>
                <w:tcPr>
                  <w:tcW w:w="2034" w:type="pct"/>
                  <w:gridSpan w:val="2"/>
                  <w:tcBorders>
                    <w:tl2br w:val="nil"/>
                    <w:tr2bl w:val="nil"/>
                  </w:tcBorders>
                  <w:noWrap w:val="0"/>
                  <w:vAlign w:val="center"/>
                </w:tcPr>
                <w:p w14:paraId="6BDB5A74">
                  <w:pPr>
                    <w:pStyle w:val="47"/>
                    <w:keepNext w:val="0"/>
                    <w:keepLines w:val="0"/>
                    <w:pageBreakBefore w:val="0"/>
                    <w:widowControl w:val="0"/>
                    <w:kinsoku/>
                    <w:wordWrap/>
                    <w:overflowPunct/>
                    <w:topLinePunct w:val="0"/>
                    <w:autoSpaceDE/>
                    <w:autoSpaceDN/>
                    <w:bidi w:val="0"/>
                    <w:adjustRightInd w:val="0"/>
                    <w:snapToGrid w:val="0"/>
                    <w:ind w:firstLine="0" w:firstLineChars="0"/>
                    <w:textAlignment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无组织排放源限值</w:t>
                  </w:r>
                </w:p>
              </w:tc>
            </w:tr>
            <w:tr w14:paraId="3294411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397" w:hRule="atLeast"/>
                <w:jc w:val="center"/>
              </w:trPr>
              <w:tc>
                <w:tcPr>
                  <w:tcW w:w="932" w:type="pct"/>
                  <w:vMerge w:val="continue"/>
                  <w:tcBorders>
                    <w:tl2br w:val="nil"/>
                    <w:tr2bl w:val="nil"/>
                  </w:tcBorders>
                  <w:noWrap w:val="0"/>
                  <w:vAlign w:val="center"/>
                </w:tcPr>
                <w:p w14:paraId="5F215725">
                  <w:pPr>
                    <w:pStyle w:val="47"/>
                    <w:keepNext w:val="0"/>
                    <w:keepLines w:val="0"/>
                    <w:pageBreakBefore w:val="0"/>
                    <w:widowControl w:val="0"/>
                    <w:kinsoku/>
                    <w:wordWrap/>
                    <w:overflowPunct/>
                    <w:topLinePunct w:val="0"/>
                    <w:autoSpaceDE/>
                    <w:autoSpaceDN/>
                    <w:bidi w:val="0"/>
                    <w:adjustRightInd w:val="0"/>
                    <w:snapToGrid w:val="0"/>
                    <w:ind w:firstLine="0" w:firstLineChars="0"/>
                    <w:textAlignment w:val="center"/>
                    <w:rPr>
                      <w:rFonts w:hint="default" w:ascii="Times New Roman" w:hAnsi="Times New Roman" w:cs="Times New Roman"/>
                      <w:color w:val="000000"/>
                      <w:sz w:val="21"/>
                      <w:szCs w:val="21"/>
                    </w:rPr>
                  </w:pPr>
                </w:p>
              </w:tc>
              <w:tc>
                <w:tcPr>
                  <w:tcW w:w="1016" w:type="pct"/>
                  <w:tcBorders>
                    <w:tl2br w:val="nil"/>
                    <w:tr2bl w:val="nil"/>
                  </w:tcBorders>
                  <w:noWrap w:val="0"/>
                  <w:vAlign w:val="center"/>
                </w:tcPr>
                <w:p w14:paraId="5AE530BD">
                  <w:pPr>
                    <w:pStyle w:val="47"/>
                    <w:keepNext w:val="0"/>
                    <w:keepLines w:val="0"/>
                    <w:pageBreakBefore w:val="0"/>
                    <w:widowControl w:val="0"/>
                    <w:kinsoku/>
                    <w:wordWrap/>
                    <w:overflowPunct/>
                    <w:topLinePunct w:val="0"/>
                    <w:autoSpaceDE/>
                    <w:autoSpaceDN/>
                    <w:bidi w:val="0"/>
                    <w:adjustRightInd w:val="0"/>
                    <w:snapToGrid w:val="0"/>
                    <w:ind w:firstLine="0" w:firstLineChars="0"/>
                    <w:textAlignment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排气筒高度（m）</w:t>
                  </w:r>
                </w:p>
              </w:tc>
              <w:tc>
                <w:tcPr>
                  <w:tcW w:w="1016" w:type="pct"/>
                  <w:tcBorders>
                    <w:tl2br w:val="nil"/>
                    <w:tr2bl w:val="nil"/>
                  </w:tcBorders>
                  <w:noWrap w:val="0"/>
                  <w:vAlign w:val="center"/>
                </w:tcPr>
                <w:p w14:paraId="0DB8A7E8">
                  <w:pPr>
                    <w:pStyle w:val="47"/>
                    <w:keepNext w:val="0"/>
                    <w:keepLines w:val="0"/>
                    <w:pageBreakBefore w:val="0"/>
                    <w:widowControl w:val="0"/>
                    <w:kinsoku/>
                    <w:wordWrap/>
                    <w:overflowPunct/>
                    <w:topLinePunct w:val="0"/>
                    <w:autoSpaceDE/>
                    <w:autoSpaceDN/>
                    <w:bidi w:val="0"/>
                    <w:adjustRightInd w:val="0"/>
                    <w:snapToGrid w:val="0"/>
                    <w:ind w:firstLine="0" w:firstLineChars="0"/>
                    <w:textAlignment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标准值（无量纲）</w:t>
                  </w:r>
                </w:p>
              </w:tc>
              <w:tc>
                <w:tcPr>
                  <w:tcW w:w="1016" w:type="pct"/>
                  <w:tcBorders>
                    <w:tl2br w:val="nil"/>
                    <w:tr2bl w:val="nil"/>
                  </w:tcBorders>
                  <w:noWrap w:val="0"/>
                  <w:vAlign w:val="center"/>
                </w:tcPr>
                <w:p w14:paraId="1A4D102A">
                  <w:pPr>
                    <w:pStyle w:val="47"/>
                    <w:keepNext w:val="0"/>
                    <w:keepLines w:val="0"/>
                    <w:pageBreakBefore w:val="0"/>
                    <w:widowControl w:val="0"/>
                    <w:kinsoku/>
                    <w:wordWrap/>
                    <w:overflowPunct/>
                    <w:topLinePunct w:val="0"/>
                    <w:autoSpaceDE/>
                    <w:autoSpaceDN/>
                    <w:bidi w:val="0"/>
                    <w:adjustRightInd w:val="0"/>
                    <w:snapToGrid w:val="0"/>
                    <w:ind w:firstLine="0" w:firstLineChars="0"/>
                    <w:textAlignment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监控点</w:t>
                  </w:r>
                </w:p>
              </w:tc>
              <w:tc>
                <w:tcPr>
                  <w:tcW w:w="1017" w:type="pct"/>
                  <w:tcBorders>
                    <w:tl2br w:val="nil"/>
                    <w:tr2bl w:val="nil"/>
                  </w:tcBorders>
                  <w:noWrap w:val="0"/>
                  <w:vAlign w:val="center"/>
                </w:tcPr>
                <w:p w14:paraId="0C254458">
                  <w:pPr>
                    <w:pStyle w:val="47"/>
                    <w:keepNext w:val="0"/>
                    <w:keepLines w:val="0"/>
                    <w:pageBreakBefore w:val="0"/>
                    <w:widowControl w:val="0"/>
                    <w:kinsoku/>
                    <w:wordWrap/>
                    <w:overflowPunct/>
                    <w:topLinePunct w:val="0"/>
                    <w:autoSpaceDE/>
                    <w:autoSpaceDN/>
                    <w:bidi w:val="0"/>
                    <w:adjustRightInd w:val="0"/>
                    <w:snapToGrid w:val="0"/>
                    <w:ind w:firstLine="0" w:firstLineChars="0"/>
                    <w:textAlignment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浓度（无量纲）</w:t>
                  </w:r>
                </w:p>
              </w:tc>
            </w:tr>
            <w:tr w14:paraId="55E093C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397" w:hRule="atLeast"/>
                <w:jc w:val="center"/>
              </w:trPr>
              <w:tc>
                <w:tcPr>
                  <w:tcW w:w="932" w:type="pct"/>
                  <w:tcBorders>
                    <w:tl2br w:val="nil"/>
                    <w:tr2bl w:val="nil"/>
                  </w:tcBorders>
                  <w:noWrap w:val="0"/>
                  <w:vAlign w:val="center"/>
                </w:tcPr>
                <w:p w14:paraId="5CC4FA12">
                  <w:pPr>
                    <w:pStyle w:val="47"/>
                    <w:keepNext w:val="0"/>
                    <w:keepLines w:val="0"/>
                    <w:pageBreakBefore w:val="0"/>
                    <w:widowControl w:val="0"/>
                    <w:kinsoku/>
                    <w:wordWrap/>
                    <w:overflowPunct/>
                    <w:topLinePunct w:val="0"/>
                    <w:autoSpaceDE/>
                    <w:autoSpaceDN/>
                    <w:bidi w:val="0"/>
                    <w:adjustRightInd w:val="0"/>
                    <w:snapToGrid w:val="0"/>
                    <w:ind w:firstLine="0" w:firstLineChars="0"/>
                    <w:textAlignment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臭气浓度</w:t>
                  </w:r>
                </w:p>
              </w:tc>
              <w:tc>
                <w:tcPr>
                  <w:tcW w:w="1016" w:type="pct"/>
                  <w:tcBorders>
                    <w:tl2br w:val="nil"/>
                    <w:tr2bl w:val="nil"/>
                  </w:tcBorders>
                  <w:noWrap w:val="0"/>
                  <w:vAlign w:val="center"/>
                </w:tcPr>
                <w:p w14:paraId="19AD76A3">
                  <w:pPr>
                    <w:pStyle w:val="47"/>
                    <w:keepNext w:val="0"/>
                    <w:keepLines w:val="0"/>
                    <w:pageBreakBefore w:val="0"/>
                    <w:widowControl w:val="0"/>
                    <w:kinsoku/>
                    <w:wordWrap/>
                    <w:overflowPunct/>
                    <w:topLinePunct w:val="0"/>
                    <w:autoSpaceDE/>
                    <w:autoSpaceDN/>
                    <w:bidi w:val="0"/>
                    <w:adjustRightInd w:val="0"/>
                    <w:snapToGrid w:val="0"/>
                    <w:ind w:firstLine="0" w:firstLineChars="0"/>
                    <w:textAlignment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15</w:t>
                  </w:r>
                </w:p>
              </w:tc>
              <w:tc>
                <w:tcPr>
                  <w:tcW w:w="1016" w:type="pct"/>
                  <w:tcBorders>
                    <w:tl2br w:val="nil"/>
                    <w:tr2bl w:val="nil"/>
                  </w:tcBorders>
                  <w:noWrap w:val="0"/>
                  <w:vAlign w:val="center"/>
                </w:tcPr>
                <w:p w14:paraId="1C3259D4">
                  <w:pPr>
                    <w:pStyle w:val="47"/>
                    <w:keepNext w:val="0"/>
                    <w:keepLines w:val="0"/>
                    <w:pageBreakBefore w:val="0"/>
                    <w:widowControl w:val="0"/>
                    <w:kinsoku/>
                    <w:wordWrap/>
                    <w:overflowPunct/>
                    <w:topLinePunct w:val="0"/>
                    <w:autoSpaceDE/>
                    <w:autoSpaceDN/>
                    <w:bidi w:val="0"/>
                    <w:adjustRightInd w:val="0"/>
                    <w:snapToGrid w:val="0"/>
                    <w:ind w:firstLine="0" w:firstLineChars="0"/>
                    <w:textAlignment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2000</w:t>
                  </w:r>
                </w:p>
              </w:tc>
              <w:tc>
                <w:tcPr>
                  <w:tcW w:w="1016" w:type="pct"/>
                  <w:tcBorders>
                    <w:tl2br w:val="nil"/>
                    <w:tr2bl w:val="nil"/>
                  </w:tcBorders>
                  <w:noWrap w:val="0"/>
                  <w:vAlign w:val="center"/>
                </w:tcPr>
                <w:p w14:paraId="07789A2B">
                  <w:pPr>
                    <w:pStyle w:val="47"/>
                    <w:keepNext w:val="0"/>
                    <w:keepLines w:val="0"/>
                    <w:pageBreakBefore w:val="0"/>
                    <w:widowControl w:val="0"/>
                    <w:kinsoku/>
                    <w:wordWrap/>
                    <w:overflowPunct/>
                    <w:topLinePunct w:val="0"/>
                    <w:autoSpaceDE/>
                    <w:autoSpaceDN/>
                    <w:bidi w:val="0"/>
                    <w:adjustRightInd w:val="0"/>
                    <w:snapToGrid w:val="0"/>
                    <w:ind w:firstLine="0" w:firstLineChars="0"/>
                    <w:textAlignment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厂界</w:t>
                  </w:r>
                </w:p>
              </w:tc>
              <w:tc>
                <w:tcPr>
                  <w:tcW w:w="1017" w:type="pct"/>
                  <w:tcBorders>
                    <w:tl2br w:val="nil"/>
                    <w:tr2bl w:val="nil"/>
                  </w:tcBorders>
                  <w:noWrap w:val="0"/>
                  <w:vAlign w:val="center"/>
                </w:tcPr>
                <w:p w14:paraId="15683CED">
                  <w:pPr>
                    <w:pStyle w:val="47"/>
                    <w:keepNext w:val="0"/>
                    <w:keepLines w:val="0"/>
                    <w:pageBreakBefore w:val="0"/>
                    <w:widowControl w:val="0"/>
                    <w:kinsoku/>
                    <w:wordWrap/>
                    <w:overflowPunct/>
                    <w:topLinePunct w:val="0"/>
                    <w:autoSpaceDE/>
                    <w:autoSpaceDN/>
                    <w:bidi w:val="0"/>
                    <w:adjustRightInd w:val="0"/>
                    <w:snapToGrid w:val="0"/>
                    <w:ind w:firstLine="0" w:firstLineChars="0"/>
                    <w:textAlignment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20</w:t>
                  </w:r>
                </w:p>
              </w:tc>
            </w:tr>
          </w:tbl>
          <w:p w14:paraId="4ABBDB65">
            <w:pPr>
              <w:keepLines w:val="0"/>
              <w:pageBreakBefore w:val="0"/>
              <w:kinsoku/>
              <w:wordWrap/>
              <w:topLinePunct w:val="0"/>
              <w:bidi w:val="0"/>
              <w:adjustRightInd w:val="0"/>
              <w:snapToGrid w:val="0"/>
              <w:spacing w:line="360" w:lineRule="auto"/>
              <w:ind w:firstLine="240" w:firstLineChars="100"/>
              <w:jc w:val="both"/>
              <w:rPr>
                <w:rFonts w:hint="default" w:ascii="Times New Roman" w:hAnsi="宋体"/>
                <w:bCs/>
                <w:color w:val="000000" w:themeColor="text1"/>
                <w:sz w:val="24"/>
                <w:szCs w:val="24"/>
                <w:lang w:val="en-US" w:eastAsia="zh-CN"/>
                <w14:textFill>
                  <w14:solidFill>
                    <w14:schemeClr w14:val="tx1"/>
                  </w14:solidFill>
                </w14:textFill>
              </w:rPr>
            </w:pPr>
            <w:r>
              <w:rPr>
                <w:rFonts w:hint="default" w:ascii="Times New Roman" w:hAnsi="宋体"/>
                <w:bCs/>
                <w:color w:val="000000" w:themeColor="text1"/>
                <w:sz w:val="24"/>
                <w:szCs w:val="24"/>
                <w:lang w:val="en-US" w:eastAsia="zh-CN"/>
                <w14:textFill>
                  <w14:solidFill>
                    <w14:schemeClr w14:val="tx1"/>
                  </w14:solidFill>
                </w14:textFill>
              </w:rPr>
              <w:t>（2）地表水</w:t>
            </w:r>
          </w:p>
          <w:p w14:paraId="7ECA9FEA">
            <w:pPr>
              <w:keepNext w:val="0"/>
              <w:keepLines w:val="0"/>
              <w:pageBreakBefore w:val="0"/>
              <w:widowControl w:val="0"/>
              <w:kinsoku/>
              <w:wordWrap/>
              <w:overflowPunct/>
              <w:topLinePunct w:val="0"/>
              <w:autoSpaceDE/>
              <w:autoSpaceDN/>
              <w:bidi w:val="0"/>
              <w:adjustRightInd w:val="0"/>
              <w:snapToGrid w:val="0"/>
              <w:spacing w:line="460" w:lineRule="exact"/>
              <w:ind w:firstLine="480" w:firstLineChars="200"/>
              <w:jc w:val="both"/>
              <w:textAlignment w:val="auto"/>
              <w:rPr>
                <w:rFonts w:hint="default" w:ascii="Times New Roman" w:hAnsi="Times New Roman" w:cs="宋体"/>
                <w:color w:val="000000"/>
                <w:kern w:val="0"/>
                <w:sz w:val="24"/>
                <w:szCs w:val="24"/>
                <w:lang w:val="en-US" w:eastAsia="zh-CN"/>
              </w:rPr>
            </w:pPr>
            <w:r>
              <w:rPr>
                <w:rFonts w:hint="eastAsia"/>
                <w:color w:val="000000"/>
                <w:sz w:val="24"/>
                <w:szCs w:val="24"/>
              </w:rPr>
              <w:t>生活</w:t>
            </w:r>
            <w:r>
              <w:rPr>
                <w:rFonts w:hint="eastAsia"/>
                <w:color w:val="000000"/>
                <w:sz w:val="24"/>
                <w:szCs w:val="24"/>
                <w:lang w:eastAsia="zh-CN"/>
              </w:rPr>
              <w:t>污水经生化池处理达</w:t>
            </w:r>
            <w:r>
              <w:rPr>
                <w:rFonts w:hint="eastAsia" w:ascii="Times New Roman" w:hAnsi="Times New Roman" w:cs="宋体"/>
                <w:color w:val="000000"/>
                <w:kern w:val="0"/>
                <w:sz w:val="24"/>
                <w:szCs w:val="24"/>
                <w:lang w:val="en-US" w:eastAsia="zh-CN"/>
              </w:rPr>
              <w:t>《污水综合排放标准》(GB8978-1996)三级标准后排入市政污水管网，进入申明坝污水处理厂深度处理达《城镇污水处理厂污染物排放标准》(GB18918-2002)一级A排放标准后排入长江，标准限值详见下表。</w:t>
            </w:r>
          </w:p>
          <w:p w14:paraId="6E12781D">
            <w:pPr>
              <w:keepNext w:val="0"/>
              <w:keepLines w:val="0"/>
              <w:pageBreakBefore w:val="0"/>
              <w:widowControl w:val="0"/>
              <w:kinsoku/>
              <w:wordWrap/>
              <w:overflowPunct/>
              <w:topLinePunct w:val="0"/>
              <w:autoSpaceDE/>
              <w:autoSpaceDN/>
              <w:bidi w:val="0"/>
              <w:adjustRightInd w:val="0"/>
              <w:snapToGrid w:val="0"/>
              <w:spacing w:line="460" w:lineRule="exact"/>
              <w:jc w:val="center"/>
              <w:textAlignment w:val="auto"/>
              <w:rPr>
                <w:rFonts w:hint="default" w:ascii="Times New Roman" w:hAnsi="Times New Roman" w:eastAsia="宋体" w:cs="宋体"/>
                <w:b/>
                <w:bCs/>
                <w:color w:val="000000"/>
                <w:kern w:val="0"/>
                <w:sz w:val="24"/>
                <w:szCs w:val="24"/>
                <w:lang w:val="en-US" w:eastAsia="zh-CN"/>
              </w:rPr>
            </w:pPr>
            <w:r>
              <w:rPr>
                <w:rFonts w:hint="default" w:ascii="Times New Roman" w:hAnsi="Times New Roman" w:eastAsia="宋体" w:cs="宋体"/>
                <w:b/>
                <w:bCs/>
                <w:color w:val="000000"/>
                <w:kern w:val="0"/>
                <w:sz w:val="24"/>
                <w:szCs w:val="24"/>
                <w:lang w:val="en-US" w:eastAsia="zh-CN"/>
              </w:rPr>
              <w:t>表</w:t>
            </w:r>
            <w:r>
              <w:rPr>
                <w:rFonts w:hint="eastAsia" w:ascii="Times New Roman" w:hAnsi="Times New Roman" w:eastAsia="宋体" w:cs="宋体"/>
                <w:b/>
                <w:bCs/>
                <w:color w:val="000000"/>
                <w:kern w:val="0"/>
                <w:sz w:val="24"/>
                <w:szCs w:val="24"/>
                <w:lang w:val="en-US" w:eastAsia="zh-CN"/>
              </w:rPr>
              <w:t>3</w:t>
            </w:r>
            <w:r>
              <w:rPr>
                <w:rFonts w:hint="default" w:ascii="Times New Roman" w:hAnsi="Times New Roman" w:eastAsia="宋体" w:cs="宋体"/>
                <w:b/>
                <w:bCs/>
                <w:color w:val="000000"/>
                <w:kern w:val="0"/>
                <w:sz w:val="24"/>
                <w:szCs w:val="24"/>
                <w:lang w:val="en-US" w:eastAsia="zh-CN"/>
              </w:rPr>
              <w:t>-</w:t>
            </w:r>
            <w:r>
              <w:rPr>
                <w:rFonts w:hint="eastAsia" w:cs="宋体"/>
                <w:b/>
                <w:bCs/>
                <w:color w:val="000000"/>
                <w:kern w:val="0"/>
                <w:sz w:val="24"/>
                <w:szCs w:val="24"/>
                <w:lang w:val="en-US" w:eastAsia="zh-CN"/>
              </w:rPr>
              <w:t>8</w:t>
            </w:r>
            <w:r>
              <w:rPr>
                <w:rFonts w:hint="default" w:ascii="Times New Roman" w:hAnsi="Times New Roman" w:eastAsia="宋体" w:cs="宋体"/>
                <w:b/>
                <w:bCs/>
                <w:color w:val="000000"/>
                <w:kern w:val="0"/>
                <w:sz w:val="24"/>
                <w:szCs w:val="24"/>
                <w:lang w:val="en-US" w:eastAsia="zh-CN"/>
              </w:rPr>
              <w:t xml:space="preserve">  废水污染物排放标准 单位：mg/L</w:t>
            </w:r>
          </w:p>
          <w:tbl>
            <w:tblPr>
              <w:tblStyle w:val="2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3"/>
              <w:gridCol w:w="863"/>
              <w:gridCol w:w="863"/>
              <w:gridCol w:w="863"/>
              <w:gridCol w:w="863"/>
              <w:gridCol w:w="863"/>
              <w:gridCol w:w="669"/>
              <w:gridCol w:w="1068"/>
            </w:tblGrid>
            <w:tr w14:paraId="0CEA6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38" w:type="pct"/>
                  <w:tcBorders>
                    <w:tl2br w:val="nil"/>
                    <w:tr2bl w:val="nil"/>
                  </w:tcBorders>
                  <w:noWrap w:val="0"/>
                  <w:vAlign w:val="center"/>
                </w:tcPr>
                <w:p w14:paraId="00D69CC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kern w:val="0"/>
                      <w:sz w:val="21"/>
                      <w:szCs w:val="21"/>
                    </w:rPr>
                  </w:pPr>
                  <w:r>
                    <w:rPr>
                      <w:rFonts w:hint="default" w:ascii="Times New Roman" w:hAnsi="Times New Roman" w:cs="Times New Roman"/>
                      <w:b w:val="0"/>
                      <w:bCs w:val="0"/>
                      <w:color w:val="000000"/>
                      <w:kern w:val="0"/>
                      <w:sz w:val="21"/>
                      <w:szCs w:val="21"/>
                    </w:rPr>
                    <w:t>执行标准</w:t>
                  </w:r>
                </w:p>
              </w:tc>
              <w:tc>
                <w:tcPr>
                  <w:tcW w:w="551" w:type="pct"/>
                  <w:tcBorders>
                    <w:tl2br w:val="nil"/>
                    <w:tr2bl w:val="nil"/>
                  </w:tcBorders>
                  <w:noWrap w:val="0"/>
                  <w:vAlign w:val="center"/>
                </w:tcPr>
                <w:p w14:paraId="4C194D1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kern w:val="0"/>
                      <w:sz w:val="21"/>
                      <w:szCs w:val="21"/>
                    </w:rPr>
                  </w:pPr>
                  <w:r>
                    <w:rPr>
                      <w:rFonts w:hint="default" w:ascii="Times New Roman" w:hAnsi="Times New Roman" w:cs="Times New Roman"/>
                      <w:b w:val="0"/>
                      <w:bCs w:val="0"/>
                      <w:color w:val="000000"/>
                      <w:kern w:val="0"/>
                      <w:sz w:val="21"/>
                      <w:szCs w:val="21"/>
                    </w:rPr>
                    <w:t>pH</w:t>
                  </w:r>
                </w:p>
              </w:tc>
              <w:tc>
                <w:tcPr>
                  <w:tcW w:w="551" w:type="pct"/>
                  <w:tcBorders>
                    <w:tl2br w:val="nil"/>
                    <w:tr2bl w:val="nil"/>
                  </w:tcBorders>
                  <w:noWrap w:val="0"/>
                  <w:vAlign w:val="center"/>
                </w:tcPr>
                <w:p w14:paraId="199AF5D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kern w:val="0"/>
                      <w:sz w:val="21"/>
                      <w:szCs w:val="21"/>
                    </w:rPr>
                  </w:pPr>
                  <w:r>
                    <w:rPr>
                      <w:rFonts w:hint="default" w:ascii="Times New Roman" w:hAnsi="Times New Roman" w:cs="Times New Roman"/>
                      <w:b w:val="0"/>
                      <w:bCs w:val="0"/>
                      <w:color w:val="000000"/>
                      <w:kern w:val="0"/>
                      <w:sz w:val="21"/>
                      <w:szCs w:val="21"/>
                    </w:rPr>
                    <w:t>COD</w:t>
                  </w:r>
                </w:p>
              </w:tc>
              <w:tc>
                <w:tcPr>
                  <w:tcW w:w="551" w:type="pct"/>
                  <w:tcBorders>
                    <w:tl2br w:val="nil"/>
                    <w:tr2bl w:val="nil"/>
                  </w:tcBorders>
                  <w:noWrap w:val="0"/>
                  <w:vAlign w:val="center"/>
                </w:tcPr>
                <w:p w14:paraId="0C3FA7B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kern w:val="0"/>
                      <w:sz w:val="21"/>
                      <w:szCs w:val="21"/>
                    </w:rPr>
                  </w:pPr>
                  <w:r>
                    <w:rPr>
                      <w:rFonts w:hint="default" w:ascii="Times New Roman" w:hAnsi="Times New Roman" w:cs="Times New Roman"/>
                      <w:b w:val="0"/>
                      <w:bCs w:val="0"/>
                      <w:color w:val="000000"/>
                      <w:kern w:val="0"/>
                      <w:sz w:val="21"/>
                      <w:szCs w:val="21"/>
                    </w:rPr>
                    <w:t>BOD</w:t>
                  </w:r>
                  <w:r>
                    <w:rPr>
                      <w:rFonts w:hint="default" w:ascii="Times New Roman" w:hAnsi="Times New Roman" w:cs="Times New Roman"/>
                      <w:b w:val="0"/>
                      <w:bCs w:val="0"/>
                      <w:color w:val="000000"/>
                      <w:kern w:val="0"/>
                      <w:sz w:val="21"/>
                      <w:szCs w:val="21"/>
                      <w:vertAlign w:val="subscript"/>
                    </w:rPr>
                    <w:t>5</w:t>
                  </w:r>
                </w:p>
              </w:tc>
              <w:tc>
                <w:tcPr>
                  <w:tcW w:w="551" w:type="pct"/>
                  <w:tcBorders>
                    <w:tl2br w:val="nil"/>
                    <w:tr2bl w:val="nil"/>
                  </w:tcBorders>
                  <w:noWrap w:val="0"/>
                  <w:vAlign w:val="center"/>
                </w:tcPr>
                <w:p w14:paraId="3053FF3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kern w:val="0"/>
                      <w:sz w:val="21"/>
                      <w:szCs w:val="21"/>
                    </w:rPr>
                  </w:pPr>
                  <w:r>
                    <w:rPr>
                      <w:rFonts w:hint="default" w:ascii="Times New Roman" w:hAnsi="Times New Roman" w:cs="Times New Roman"/>
                      <w:b w:val="0"/>
                      <w:bCs w:val="0"/>
                      <w:color w:val="000000"/>
                      <w:kern w:val="0"/>
                      <w:sz w:val="21"/>
                      <w:szCs w:val="21"/>
                    </w:rPr>
                    <w:t>NH</w:t>
                  </w:r>
                  <w:r>
                    <w:rPr>
                      <w:rFonts w:hint="default" w:ascii="Times New Roman" w:hAnsi="Times New Roman" w:cs="Times New Roman"/>
                      <w:b w:val="0"/>
                      <w:bCs w:val="0"/>
                      <w:color w:val="000000"/>
                      <w:kern w:val="0"/>
                      <w:sz w:val="21"/>
                      <w:szCs w:val="21"/>
                      <w:vertAlign w:val="subscript"/>
                    </w:rPr>
                    <w:t>3</w:t>
                  </w:r>
                  <w:r>
                    <w:rPr>
                      <w:rFonts w:hint="default" w:ascii="Times New Roman" w:hAnsi="Times New Roman" w:cs="Times New Roman"/>
                      <w:b w:val="0"/>
                      <w:bCs w:val="0"/>
                      <w:color w:val="000000"/>
                      <w:kern w:val="0"/>
                      <w:sz w:val="21"/>
                      <w:szCs w:val="21"/>
                    </w:rPr>
                    <w:t>-N</w:t>
                  </w:r>
                </w:p>
              </w:tc>
              <w:tc>
                <w:tcPr>
                  <w:tcW w:w="551" w:type="pct"/>
                  <w:tcBorders>
                    <w:tl2br w:val="nil"/>
                    <w:tr2bl w:val="nil"/>
                  </w:tcBorders>
                  <w:noWrap w:val="0"/>
                  <w:vAlign w:val="center"/>
                </w:tcPr>
                <w:p w14:paraId="7E17082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kern w:val="0"/>
                      <w:sz w:val="21"/>
                      <w:szCs w:val="21"/>
                    </w:rPr>
                  </w:pPr>
                  <w:r>
                    <w:rPr>
                      <w:rFonts w:hint="default" w:ascii="Times New Roman" w:hAnsi="Times New Roman" w:cs="Times New Roman"/>
                      <w:b w:val="0"/>
                      <w:bCs w:val="0"/>
                      <w:color w:val="000000"/>
                      <w:kern w:val="0"/>
                      <w:sz w:val="21"/>
                      <w:szCs w:val="21"/>
                    </w:rPr>
                    <w:t>SS</w:t>
                  </w:r>
                </w:p>
              </w:tc>
              <w:tc>
                <w:tcPr>
                  <w:tcW w:w="426" w:type="pct"/>
                  <w:tcBorders>
                    <w:tl2br w:val="nil"/>
                    <w:tr2bl w:val="nil"/>
                  </w:tcBorders>
                  <w:noWrap w:val="0"/>
                  <w:vAlign w:val="center"/>
                </w:tcPr>
                <w:p w14:paraId="2940913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val="0"/>
                      <w:bCs w:val="0"/>
                      <w:color w:val="000000"/>
                      <w:kern w:val="0"/>
                      <w:sz w:val="21"/>
                      <w:szCs w:val="21"/>
                      <w:lang w:val="en-US" w:eastAsia="zh-CN"/>
                    </w:rPr>
                  </w:pPr>
                  <w:r>
                    <w:rPr>
                      <w:rFonts w:hint="eastAsia" w:ascii="Times New Roman" w:hAnsi="Times New Roman" w:cs="Times New Roman"/>
                      <w:b w:val="0"/>
                      <w:bCs w:val="0"/>
                      <w:color w:val="000000"/>
                      <w:kern w:val="0"/>
                      <w:sz w:val="21"/>
                      <w:szCs w:val="21"/>
                      <w:lang w:val="en-US" w:eastAsia="zh-CN"/>
                    </w:rPr>
                    <w:t>TP</w:t>
                  </w:r>
                </w:p>
              </w:tc>
              <w:tc>
                <w:tcPr>
                  <w:tcW w:w="678" w:type="pct"/>
                  <w:tcBorders>
                    <w:tl2br w:val="nil"/>
                    <w:tr2bl w:val="nil"/>
                  </w:tcBorders>
                  <w:noWrap w:val="0"/>
                  <w:vAlign w:val="center"/>
                </w:tcPr>
                <w:p w14:paraId="311C9BC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val="0"/>
                      <w:bCs w:val="0"/>
                      <w:color w:val="000000"/>
                      <w:kern w:val="0"/>
                      <w:sz w:val="21"/>
                      <w:szCs w:val="21"/>
                      <w:lang w:val="en-US" w:eastAsia="zh-CN"/>
                    </w:rPr>
                  </w:pPr>
                  <w:r>
                    <w:rPr>
                      <w:rFonts w:hint="eastAsia" w:ascii="Times New Roman" w:hAnsi="Times New Roman" w:cs="Times New Roman"/>
                      <w:b w:val="0"/>
                      <w:bCs w:val="0"/>
                      <w:color w:val="000000"/>
                      <w:kern w:val="0"/>
                      <w:sz w:val="21"/>
                      <w:szCs w:val="21"/>
                      <w:lang w:val="en-US" w:eastAsia="zh-CN"/>
                    </w:rPr>
                    <w:t>动植物油</w:t>
                  </w:r>
                </w:p>
              </w:tc>
            </w:tr>
            <w:tr w14:paraId="4C688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38" w:type="pct"/>
                  <w:tcBorders>
                    <w:tl2br w:val="nil"/>
                    <w:tr2bl w:val="nil"/>
                  </w:tcBorders>
                  <w:noWrap w:val="0"/>
                  <w:vAlign w:val="center"/>
                </w:tcPr>
                <w:p w14:paraId="335D45E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sz w:val="21"/>
                      <w:szCs w:val="21"/>
                    </w:rPr>
                  </w:pPr>
                  <w:r>
                    <w:rPr>
                      <w:rFonts w:hint="default" w:ascii="Times New Roman" w:hAnsi="Times New Roman" w:cs="Times New Roman"/>
                      <w:b w:val="0"/>
                      <w:bCs w:val="0"/>
                      <w:color w:val="000000"/>
                      <w:sz w:val="21"/>
                      <w:szCs w:val="21"/>
                    </w:rPr>
                    <w:t>GB8978-1996三级标准</w:t>
                  </w:r>
                </w:p>
              </w:tc>
              <w:tc>
                <w:tcPr>
                  <w:tcW w:w="551" w:type="pct"/>
                  <w:tcBorders>
                    <w:tl2br w:val="nil"/>
                    <w:tr2bl w:val="nil"/>
                  </w:tcBorders>
                  <w:noWrap w:val="0"/>
                  <w:vAlign w:val="center"/>
                </w:tcPr>
                <w:p w14:paraId="73935A1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sz w:val="21"/>
                      <w:szCs w:val="21"/>
                      <w:lang w:val="en-US" w:eastAsia="zh-CN"/>
                    </w:rPr>
                  </w:pPr>
                  <w:r>
                    <w:rPr>
                      <w:rFonts w:hint="eastAsia" w:ascii="Times New Roman" w:hAnsi="Times New Roman" w:cs="Times New Roman"/>
                      <w:b w:val="0"/>
                      <w:bCs w:val="0"/>
                      <w:color w:val="000000"/>
                      <w:sz w:val="21"/>
                      <w:szCs w:val="21"/>
                      <w:lang w:val="en-US" w:eastAsia="zh-CN"/>
                    </w:rPr>
                    <w:t>6~9</w:t>
                  </w:r>
                </w:p>
              </w:tc>
              <w:tc>
                <w:tcPr>
                  <w:tcW w:w="551" w:type="pct"/>
                  <w:tcBorders>
                    <w:tl2br w:val="nil"/>
                    <w:tr2bl w:val="nil"/>
                  </w:tcBorders>
                  <w:noWrap w:val="0"/>
                  <w:vAlign w:val="center"/>
                </w:tcPr>
                <w:p w14:paraId="05C728C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lang w:val="en-US" w:eastAsia="zh-CN"/>
                    </w:rPr>
                  </w:pPr>
                  <w:r>
                    <w:rPr>
                      <w:rFonts w:hint="eastAsia" w:ascii="Times New Roman" w:hAnsi="Times New Roman" w:eastAsia="宋体" w:cs="Times New Roman"/>
                      <w:b w:val="0"/>
                      <w:bCs w:val="0"/>
                      <w:color w:val="000000"/>
                      <w:kern w:val="0"/>
                      <w:sz w:val="21"/>
                      <w:szCs w:val="21"/>
                      <w:lang w:val="en-US" w:eastAsia="zh-CN"/>
                    </w:rPr>
                    <w:t>500</w:t>
                  </w:r>
                </w:p>
              </w:tc>
              <w:tc>
                <w:tcPr>
                  <w:tcW w:w="551" w:type="pct"/>
                  <w:tcBorders>
                    <w:tl2br w:val="nil"/>
                    <w:tr2bl w:val="nil"/>
                  </w:tcBorders>
                  <w:noWrap w:val="0"/>
                  <w:vAlign w:val="center"/>
                </w:tcPr>
                <w:p w14:paraId="5637943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lang w:val="en-US" w:eastAsia="zh-CN"/>
                    </w:rPr>
                  </w:pPr>
                  <w:r>
                    <w:rPr>
                      <w:rFonts w:hint="eastAsia" w:ascii="Times New Roman" w:hAnsi="Times New Roman" w:eastAsia="宋体" w:cs="Times New Roman"/>
                      <w:b w:val="0"/>
                      <w:bCs w:val="0"/>
                      <w:color w:val="000000"/>
                      <w:kern w:val="0"/>
                      <w:sz w:val="21"/>
                      <w:szCs w:val="21"/>
                      <w:lang w:val="en-US" w:eastAsia="zh-CN"/>
                    </w:rPr>
                    <w:t>300</w:t>
                  </w:r>
                </w:p>
              </w:tc>
              <w:tc>
                <w:tcPr>
                  <w:tcW w:w="551" w:type="pct"/>
                  <w:tcBorders>
                    <w:tl2br w:val="nil"/>
                    <w:tr2bl w:val="nil"/>
                  </w:tcBorders>
                  <w:noWrap w:val="0"/>
                  <w:vAlign w:val="center"/>
                </w:tcPr>
                <w:p w14:paraId="7367EAD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kern w:val="0"/>
                      <w:sz w:val="21"/>
                      <w:szCs w:val="21"/>
                      <w:lang w:val="en-US" w:eastAsia="zh-CN"/>
                    </w:rPr>
                  </w:pPr>
                  <w:r>
                    <w:rPr>
                      <w:rFonts w:hint="eastAsia" w:ascii="Times New Roman" w:hAnsi="Times New Roman" w:cs="Times New Roman"/>
                      <w:b w:val="0"/>
                      <w:bCs w:val="0"/>
                      <w:color w:val="000000"/>
                      <w:kern w:val="0"/>
                      <w:sz w:val="21"/>
                      <w:szCs w:val="21"/>
                      <w:lang w:val="en-US" w:eastAsia="zh-CN"/>
                    </w:rPr>
                    <w:t>45</w:t>
                  </w:r>
                  <w:r>
                    <w:rPr>
                      <w:rFonts w:hint="eastAsia" w:ascii="Times New Roman" w:hAnsi="Times New Roman" w:cs="Times New Roman"/>
                      <w:b w:val="0"/>
                      <w:bCs w:val="0"/>
                      <w:color w:val="000000"/>
                      <w:kern w:val="0"/>
                      <w:sz w:val="21"/>
                      <w:szCs w:val="21"/>
                      <w:vertAlign w:val="superscript"/>
                      <w:lang w:val="en-US" w:eastAsia="zh-CN"/>
                    </w:rPr>
                    <w:t>①</w:t>
                  </w:r>
                </w:p>
              </w:tc>
              <w:tc>
                <w:tcPr>
                  <w:tcW w:w="551" w:type="pct"/>
                  <w:tcBorders>
                    <w:tl2br w:val="nil"/>
                    <w:tr2bl w:val="nil"/>
                  </w:tcBorders>
                  <w:noWrap w:val="0"/>
                  <w:vAlign w:val="center"/>
                </w:tcPr>
                <w:p w14:paraId="72A27FA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kern w:val="0"/>
                      <w:sz w:val="21"/>
                      <w:szCs w:val="21"/>
                      <w:lang w:val="en-US" w:eastAsia="zh-CN"/>
                    </w:rPr>
                  </w:pPr>
                  <w:r>
                    <w:rPr>
                      <w:rFonts w:hint="eastAsia" w:ascii="Times New Roman" w:hAnsi="Times New Roman" w:cs="Times New Roman"/>
                      <w:b w:val="0"/>
                      <w:bCs w:val="0"/>
                      <w:color w:val="000000"/>
                      <w:kern w:val="0"/>
                      <w:sz w:val="21"/>
                      <w:szCs w:val="21"/>
                      <w:lang w:val="en-US" w:eastAsia="zh-CN"/>
                    </w:rPr>
                    <w:t>400</w:t>
                  </w:r>
                </w:p>
              </w:tc>
              <w:tc>
                <w:tcPr>
                  <w:tcW w:w="426" w:type="pct"/>
                  <w:tcBorders>
                    <w:tl2br w:val="nil"/>
                    <w:tr2bl w:val="nil"/>
                  </w:tcBorders>
                  <w:noWrap w:val="0"/>
                  <w:vAlign w:val="center"/>
                </w:tcPr>
                <w:p w14:paraId="1B522CD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kern w:val="0"/>
                      <w:sz w:val="21"/>
                      <w:szCs w:val="21"/>
                      <w:lang w:val="en-US" w:eastAsia="zh-CN"/>
                    </w:rPr>
                  </w:pPr>
                  <w:r>
                    <w:rPr>
                      <w:rFonts w:hint="eastAsia" w:ascii="Times New Roman" w:hAnsi="Times New Roman" w:cs="Times New Roman"/>
                      <w:b w:val="0"/>
                      <w:bCs w:val="0"/>
                      <w:color w:val="000000"/>
                      <w:kern w:val="0"/>
                      <w:sz w:val="21"/>
                      <w:szCs w:val="21"/>
                      <w:lang w:val="en-US" w:eastAsia="zh-CN"/>
                    </w:rPr>
                    <w:t>8</w:t>
                  </w:r>
                  <w:r>
                    <w:rPr>
                      <w:rFonts w:hint="eastAsia" w:ascii="Times New Roman" w:hAnsi="Times New Roman" w:cs="Times New Roman"/>
                      <w:b w:val="0"/>
                      <w:bCs w:val="0"/>
                      <w:color w:val="000000"/>
                      <w:kern w:val="0"/>
                      <w:sz w:val="21"/>
                      <w:szCs w:val="21"/>
                      <w:vertAlign w:val="superscript"/>
                      <w:lang w:val="en-US" w:eastAsia="zh-CN"/>
                    </w:rPr>
                    <w:t>①</w:t>
                  </w:r>
                </w:p>
              </w:tc>
              <w:tc>
                <w:tcPr>
                  <w:tcW w:w="678" w:type="pct"/>
                  <w:tcBorders>
                    <w:tl2br w:val="nil"/>
                    <w:tr2bl w:val="nil"/>
                  </w:tcBorders>
                  <w:noWrap w:val="0"/>
                  <w:vAlign w:val="center"/>
                </w:tcPr>
                <w:p w14:paraId="22E3A9A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kern w:val="0"/>
                      <w:sz w:val="21"/>
                      <w:szCs w:val="21"/>
                      <w:lang w:val="en-US" w:eastAsia="zh-CN"/>
                    </w:rPr>
                  </w:pPr>
                  <w:r>
                    <w:rPr>
                      <w:rFonts w:hint="eastAsia" w:ascii="Times New Roman" w:hAnsi="Times New Roman" w:cs="Times New Roman"/>
                      <w:b w:val="0"/>
                      <w:bCs w:val="0"/>
                      <w:color w:val="000000"/>
                      <w:kern w:val="0"/>
                      <w:sz w:val="21"/>
                      <w:szCs w:val="21"/>
                      <w:lang w:val="en-US" w:eastAsia="zh-CN"/>
                    </w:rPr>
                    <w:t>100</w:t>
                  </w:r>
                </w:p>
              </w:tc>
            </w:tr>
            <w:tr w14:paraId="58394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38" w:type="pct"/>
                  <w:tcBorders>
                    <w:tl2br w:val="nil"/>
                    <w:tr2bl w:val="nil"/>
                  </w:tcBorders>
                  <w:noWrap w:val="0"/>
                  <w:vAlign w:val="center"/>
                </w:tcPr>
                <w:p w14:paraId="4EF2859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sz w:val="21"/>
                      <w:szCs w:val="21"/>
                    </w:rPr>
                  </w:pPr>
                  <w:r>
                    <w:rPr>
                      <w:rFonts w:hint="default" w:ascii="Times New Roman" w:hAnsi="Times New Roman" w:cs="Times New Roman"/>
                      <w:b w:val="0"/>
                      <w:bCs w:val="0"/>
                      <w:color w:val="000000"/>
                      <w:sz w:val="21"/>
                      <w:szCs w:val="21"/>
                    </w:rPr>
                    <w:t>GB18918-2002一级A标准</w:t>
                  </w:r>
                </w:p>
              </w:tc>
              <w:tc>
                <w:tcPr>
                  <w:tcW w:w="551" w:type="pct"/>
                  <w:tcBorders>
                    <w:tl2br w:val="nil"/>
                    <w:tr2bl w:val="nil"/>
                  </w:tcBorders>
                  <w:noWrap w:val="0"/>
                  <w:vAlign w:val="center"/>
                </w:tcPr>
                <w:p w14:paraId="20EEE82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sz w:val="21"/>
                      <w:szCs w:val="21"/>
                    </w:rPr>
                  </w:pPr>
                  <w:r>
                    <w:rPr>
                      <w:rFonts w:hint="eastAsia" w:ascii="Times New Roman" w:hAnsi="Times New Roman" w:cs="Times New Roman"/>
                      <w:b w:val="0"/>
                      <w:bCs w:val="0"/>
                      <w:color w:val="000000"/>
                      <w:sz w:val="21"/>
                      <w:szCs w:val="21"/>
                      <w:lang w:val="en-US" w:eastAsia="zh-CN"/>
                    </w:rPr>
                    <w:t>6~9</w:t>
                  </w:r>
                </w:p>
              </w:tc>
              <w:tc>
                <w:tcPr>
                  <w:tcW w:w="551" w:type="pct"/>
                  <w:tcBorders>
                    <w:tl2br w:val="nil"/>
                    <w:tr2bl w:val="nil"/>
                  </w:tcBorders>
                  <w:noWrap w:val="0"/>
                  <w:vAlign w:val="center"/>
                </w:tcPr>
                <w:p w14:paraId="752C8DC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lang w:val="en-US" w:eastAsia="zh-CN"/>
                    </w:rPr>
                  </w:pPr>
                  <w:r>
                    <w:rPr>
                      <w:rFonts w:hint="eastAsia" w:ascii="Times New Roman" w:hAnsi="Times New Roman" w:eastAsia="宋体" w:cs="Times New Roman"/>
                      <w:b w:val="0"/>
                      <w:bCs w:val="0"/>
                      <w:color w:val="000000"/>
                      <w:kern w:val="0"/>
                      <w:sz w:val="21"/>
                      <w:szCs w:val="21"/>
                      <w:lang w:val="en-US" w:eastAsia="zh-CN"/>
                    </w:rPr>
                    <w:t>50</w:t>
                  </w:r>
                </w:p>
              </w:tc>
              <w:tc>
                <w:tcPr>
                  <w:tcW w:w="551" w:type="pct"/>
                  <w:tcBorders>
                    <w:tl2br w:val="nil"/>
                    <w:tr2bl w:val="nil"/>
                  </w:tcBorders>
                  <w:noWrap w:val="0"/>
                  <w:vAlign w:val="center"/>
                </w:tcPr>
                <w:p w14:paraId="52A86FB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lang w:val="en-US" w:eastAsia="zh-CN"/>
                    </w:rPr>
                  </w:pPr>
                  <w:r>
                    <w:rPr>
                      <w:rFonts w:hint="eastAsia" w:ascii="Times New Roman" w:hAnsi="Times New Roman" w:eastAsia="宋体" w:cs="Times New Roman"/>
                      <w:b w:val="0"/>
                      <w:bCs w:val="0"/>
                      <w:color w:val="000000"/>
                      <w:kern w:val="0"/>
                      <w:sz w:val="21"/>
                      <w:szCs w:val="21"/>
                      <w:lang w:val="en-US" w:eastAsia="zh-CN"/>
                    </w:rPr>
                    <w:t>10</w:t>
                  </w:r>
                </w:p>
              </w:tc>
              <w:tc>
                <w:tcPr>
                  <w:tcW w:w="551" w:type="pct"/>
                  <w:tcBorders>
                    <w:tl2br w:val="nil"/>
                    <w:tr2bl w:val="nil"/>
                  </w:tcBorders>
                  <w:noWrap w:val="0"/>
                  <w:vAlign w:val="center"/>
                </w:tcPr>
                <w:p w14:paraId="5843866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kern w:val="0"/>
                      <w:sz w:val="21"/>
                      <w:szCs w:val="21"/>
                      <w:lang w:val="en-US" w:eastAsia="zh-CN"/>
                    </w:rPr>
                  </w:pPr>
                  <w:r>
                    <w:rPr>
                      <w:rFonts w:hint="eastAsia" w:ascii="Times New Roman" w:hAnsi="Times New Roman" w:cs="Times New Roman"/>
                      <w:b w:val="0"/>
                      <w:bCs w:val="0"/>
                      <w:color w:val="000000"/>
                      <w:kern w:val="0"/>
                      <w:sz w:val="21"/>
                      <w:szCs w:val="21"/>
                      <w:lang w:val="en-US" w:eastAsia="zh-CN"/>
                    </w:rPr>
                    <w:t>5(8)</w:t>
                  </w:r>
                  <w:r>
                    <w:rPr>
                      <w:rFonts w:hint="eastAsia" w:ascii="Times New Roman" w:hAnsi="Times New Roman" w:cs="Times New Roman"/>
                      <w:b w:val="0"/>
                      <w:bCs w:val="0"/>
                      <w:color w:val="000000"/>
                      <w:kern w:val="0"/>
                      <w:sz w:val="21"/>
                      <w:szCs w:val="21"/>
                      <w:vertAlign w:val="superscript"/>
                      <w:lang w:val="en-US" w:eastAsia="zh-CN"/>
                    </w:rPr>
                    <w:t>②</w:t>
                  </w:r>
                </w:p>
              </w:tc>
              <w:tc>
                <w:tcPr>
                  <w:tcW w:w="551" w:type="pct"/>
                  <w:tcBorders>
                    <w:tl2br w:val="nil"/>
                    <w:tr2bl w:val="nil"/>
                  </w:tcBorders>
                  <w:noWrap w:val="0"/>
                  <w:vAlign w:val="center"/>
                </w:tcPr>
                <w:p w14:paraId="1BD480B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kern w:val="0"/>
                      <w:sz w:val="21"/>
                      <w:szCs w:val="21"/>
                      <w:lang w:val="en-US" w:eastAsia="zh-CN"/>
                    </w:rPr>
                  </w:pPr>
                  <w:r>
                    <w:rPr>
                      <w:rFonts w:hint="eastAsia" w:ascii="Times New Roman" w:hAnsi="Times New Roman" w:cs="Times New Roman"/>
                      <w:b w:val="0"/>
                      <w:bCs w:val="0"/>
                      <w:color w:val="000000"/>
                      <w:kern w:val="0"/>
                      <w:sz w:val="21"/>
                      <w:szCs w:val="21"/>
                      <w:lang w:val="en-US" w:eastAsia="zh-CN"/>
                    </w:rPr>
                    <w:t>10</w:t>
                  </w:r>
                </w:p>
              </w:tc>
              <w:tc>
                <w:tcPr>
                  <w:tcW w:w="426" w:type="pct"/>
                  <w:tcBorders>
                    <w:tl2br w:val="nil"/>
                    <w:tr2bl w:val="nil"/>
                  </w:tcBorders>
                  <w:noWrap w:val="0"/>
                  <w:vAlign w:val="center"/>
                </w:tcPr>
                <w:p w14:paraId="7747A13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kern w:val="0"/>
                      <w:sz w:val="21"/>
                      <w:szCs w:val="21"/>
                      <w:lang w:val="en-US" w:eastAsia="zh-CN"/>
                    </w:rPr>
                  </w:pPr>
                  <w:r>
                    <w:rPr>
                      <w:rFonts w:hint="eastAsia" w:ascii="Times New Roman" w:hAnsi="Times New Roman" w:cs="Times New Roman"/>
                      <w:b w:val="0"/>
                      <w:bCs w:val="0"/>
                      <w:color w:val="000000"/>
                      <w:kern w:val="0"/>
                      <w:sz w:val="21"/>
                      <w:szCs w:val="21"/>
                      <w:lang w:val="en-US" w:eastAsia="zh-CN"/>
                    </w:rPr>
                    <w:t>0.5</w:t>
                  </w:r>
                </w:p>
              </w:tc>
              <w:tc>
                <w:tcPr>
                  <w:tcW w:w="678" w:type="pct"/>
                  <w:tcBorders>
                    <w:tl2br w:val="nil"/>
                    <w:tr2bl w:val="nil"/>
                  </w:tcBorders>
                  <w:noWrap w:val="0"/>
                  <w:vAlign w:val="center"/>
                </w:tcPr>
                <w:p w14:paraId="7BA0A9F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kern w:val="0"/>
                      <w:sz w:val="21"/>
                      <w:szCs w:val="21"/>
                      <w:lang w:val="en-US" w:eastAsia="zh-CN"/>
                    </w:rPr>
                  </w:pPr>
                  <w:r>
                    <w:rPr>
                      <w:rFonts w:hint="eastAsia" w:ascii="Times New Roman" w:hAnsi="Times New Roman" w:cs="Times New Roman"/>
                      <w:b w:val="0"/>
                      <w:bCs w:val="0"/>
                      <w:color w:val="000000"/>
                      <w:kern w:val="0"/>
                      <w:sz w:val="21"/>
                      <w:szCs w:val="21"/>
                      <w:lang w:val="en-US" w:eastAsia="zh-CN"/>
                    </w:rPr>
                    <w:t>1</w:t>
                  </w:r>
                </w:p>
              </w:tc>
            </w:tr>
            <w:tr w14:paraId="492E2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00" w:type="pct"/>
                  <w:gridSpan w:val="8"/>
                  <w:tcBorders>
                    <w:tl2br w:val="nil"/>
                    <w:tr2bl w:val="nil"/>
                  </w:tcBorders>
                  <w:noWrap w:val="0"/>
                  <w:vAlign w:val="center"/>
                </w:tcPr>
                <w:p w14:paraId="72FC171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Times New Roman" w:hAnsi="Times New Roman" w:cs="Times New Roman"/>
                      <w:b w:val="0"/>
                      <w:bCs w:val="0"/>
                      <w:color w:val="000000"/>
                      <w:kern w:val="0"/>
                      <w:sz w:val="21"/>
                      <w:szCs w:val="21"/>
                      <w:lang w:val="en-US" w:eastAsia="zh-CN"/>
                    </w:rPr>
                  </w:pPr>
                  <w:r>
                    <w:rPr>
                      <w:rFonts w:hint="eastAsia" w:ascii="Times New Roman" w:hAnsi="Times New Roman" w:cs="Times New Roman"/>
                      <w:b w:val="0"/>
                      <w:bCs w:val="0"/>
                      <w:color w:val="000000"/>
                      <w:kern w:val="0"/>
                      <w:sz w:val="21"/>
                      <w:szCs w:val="21"/>
                      <w:lang w:val="en-US" w:eastAsia="zh-CN"/>
                    </w:rPr>
                    <w:t>注：①NH</w:t>
                  </w:r>
                  <w:r>
                    <w:rPr>
                      <w:rFonts w:hint="eastAsia" w:ascii="Times New Roman" w:hAnsi="Times New Roman" w:cs="Times New Roman"/>
                      <w:b w:val="0"/>
                      <w:bCs w:val="0"/>
                      <w:color w:val="000000"/>
                      <w:kern w:val="0"/>
                      <w:sz w:val="21"/>
                      <w:szCs w:val="21"/>
                      <w:vertAlign w:val="subscript"/>
                      <w:lang w:val="en-US" w:eastAsia="zh-CN"/>
                    </w:rPr>
                    <w:t>3</w:t>
                  </w:r>
                  <w:r>
                    <w:rPr>
                      <w:rFonts w:hint="eastAsia" w:ascii="Times New Roman" w:hAnsi="Times New Roman" w:cs="Times New Roman"/>
                      <w:b w:val="0"/>
                      <w:bCs w:val="0"/>
                      <w:color w:val="000000"/>
                      <w:kern w:val="0"/>
                      <w:sz w:val="21"/>
                      <w:szCs w:val="21"/>
                      <w:lang w:val="en-US" w:eastAsia="zh-CN"/>
                    </w:rPr>
                    <w:t>-N、TP</w:t>
                  </w:r>
                  <w:r>
                    <w:rPr>
                      <w:rFonts w:hint="eastAsia" w:cs="Times New Roman"/>
                      <w:b w:val="0"/>
                      <w:bCs w:val="0"/>
                      <w:color w:val="000000"/>
                      <w:kern w:val="0"/>
                      <w:sz w:val="21"/>
                      <w:szCs w:val="21"/>
                      <w:lang w:val="en-US" w:eastAsia="zh-CN"/>
                    </w:rPr>
                    <w:t>参照</w:t>
                  </w:r>
                  <w:r>
                    <w:rPr>
                      <w:rFonts w:hint="eastAsia" w:ascii="Times New Roman" w:hAnsi="Times New Roman" w:cs="Times New Roman"/>
                      <w:b w:val="0"/>
                      <w:bCs w:val="0"/>
                      <w:color w:val="000000"/>
                      <w:kern w:val="0"/>
                      <w:sz w:val="21"/>
                      <w:szCs w:val="21"/>
                      <w:lang w:val="en-US" w:eastAsia="zh-CN"/>
                    </w:rPr>
                    <w:t>《污水排入城镇下水道水质标准》（GB/T31962-2015）B级标准。</w:t>
                  </w:r>
                </w:p>
                <w:p w14:paraId="2C04F93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Times New Roman" w:hAnsi="Times New Roman" w:cs="Times New Roman"/>
                      <w:b w:val="0"/>
                      <w:bCs w:val="0"/>
                      <w:color w:val="000000"/>
                      <w:kern w:val="0"/>
                      <w:sz w:val="21"/>
                      <w:szCs w:val="21"/>
                      <w:lang w:val="en-US" w:eastAsia="zh-CN"/>
                    </w:rPr>
                  </w:pPr>
                  <w:r>
                    <w:rPr>
                      <w:rFonts w:hint="eastAsia" w:ascii="Times New Roman" w:hAnsi="Times New Roman" w:cs="Times New Roman"/>
                      <w:b w:val="0"/>
                      <w:bCs w:val="0"/>
                      <w:color w:val="000000"/>
                      <w:kern w:val="0"/>
                      <w:sz w:val="21"/>
                      <w:szCs w:val="21"/>
                      <w:lang w:val="en-US" w:eastAsia="zh-CN"/>
                    </w:rPr>
                    <w:t>②括号外数值为水温&gt;12℃时的控制指标，括号内数值为水温≤12℃时的控制指标。</w:t>
                  </w:r>
                </w:p>
              </w:tc>
            </w:tr>
          </w:tbl>
          <w:p w14:paraId="1E2D8764">
            <w:pPr>
              <w:keepLines w:val="0"/>
              <w:pageBreakBefore w:val="0"/>
              <w:kinsoku/>
              <w:wordWrap/>
              <w:topLinePunct w:val="0"/>
              <w:bidi w:val="0"/>
              <w:adjustRightInd w:val="0"/>
              <w:snapToGrid w:val="0"/>
              <w:spacing w:line="360" w:lineRule="auto"/>
              <w:ind w:left="0" w:leftChars="0" w:firstLine="480" w:firstLineChars="200"/>
              <w:jc w:val="left"/>
              <w:rPr>
                <w:rFonts w:hint="default" w:ascii="Times New Roman" w:hAnsi="宋体"/>
                <w:bCs/>
                <w:color w:val="000000"/>
                <w:sz w:val="24"/>
                <w:szCs w:val="24"/>
                <w:lang w:val="en-US" w:eastAsia="zh-CN"/>
              </w:rPr>
            </w:pPr>
            <w:r>
              <w:rPr>
                <w:rFonts w:hint="default" w:ascii="Times New Roman" w:hAnsi="宋体"/>
                <w:bCs/>
                <w:color w:val="000000"/>
                <w:sz w:val="24"/>
                <w:szCs w:val="24"/>
                <w:lang w:val="en-US" w:eastAsia="zh-CN"/>
              </w:rPr>
              <w:t>（</w:t>
            </w:r>
            <w:r>
              <w:rPr>
                <w:rFonts w:hint="eastAsia" w:ascii="Times New Roman" w:hAnsi="宋体"/>
                <w:bCs/>
                <w:color w:val="000000"/>
                <w:sz w:val="24"/>
                <w:szCs w:val="24"/>
                <w:lang w:val="en-US" w:eastAsia="zh-CN"/>
              </w:rPr>
              <w:t>3</w:t>
            </w:r>
            <w:r>
              <w:rPr>
                <w:rFonts w:hint="default" w:ascii="Times New Roman" w:hAnsi="宋体"/>
                <w:bCs/>
                <w:color w:val="000000"/>
                <w:sz w:val="24"/>
                <w:szCs w:val="24"/>
                <w:lang w:val="en-US" w:eastAsia="zh-CN"/>
              </w:rPr>
              <w:t>）声环境</w:t>
            </w:r>
          </w:p>
          <w:p w14:paraId="7F9068E4">
            <w:pPr>
              <w:keepLines w:val="0"/>
              <w:pageBreakBefore w:val="0"/>
              <w:widowControl w:val="0"/>
              <w:kinsoku/>
              <w:wordWrap/>
              <w:topLinePunct w:val="0"/>
              <w:autoSpaceDE/>
              <w:autoSpaceDN/>
              <w:bidi w:val="0"/>
              <w:adjustRightInd w:val="0"/>
              <w:snapToGrid w:val="0"/>
              <w:spacing w:line="460" w:lineRule="exact"/>
              <w:ind w:firstLine="480"/>
              <w:textAlignment w:val="auto"/>
              <w:rPr>
                <w:rFonts w:cs="宋体"/>
                <w:color w:val="000000"/>
                <w:kern w:val="0"/>
                <w:sz w:val="24"/>
                <w:szCs w:val="24"/>
              </w:rPr>
            </w:pPr>
            <w:r>
              <w:rPr>
                <w:rFonts w:hint="eastAsia" w:cs="宋体"/>
                <w:color w:val="000000"/>
                <w:kern w:val="0"/>
                <w:sz w:val="24"/>
                <w:szCs w:val="24"/>
              </w:rPr>
              <w:t>施工期噪声执行《建筑施工场界环境噪声排放标准》（GB12523-2011）表1建筑施工场界环境噪声排放限值。运营期噪声执行《工业企业厂界环境噪声排放标准》</w:t>
            </w:r>
            <w:r>
              <w:rPr>
                <w:rFonts w:hint="eastAsia" w:cs="宋体"/>
                <w:color w:val="000000"/>
                <w:kern w:val="0"/>
                <w:sz w:val="24"/>
                <w:szCs w:val="24"/>
                <w:lang w:eastAsia="zh-CN"/>
              </w:rPr>
              <w:t>（</w:t>
            </w:r>
            <w:r>
              <w:rPr>
                <w:rFonts w:hint="eastAsia" w:cs="宋体"/>
                <w:color w:val="000000"/>
                <w:kern w:val="0"/>
                <w:sz w:val="24"/>
                <w:szCs w:val="24"/>
              </w:rPr>
              <w:t>GB12348-2008</w:t>
            </w:r>
            <w:r>
              <w:rPr>
                <w:rFonts w:hint="eastAsia" w:cs="宋体"/>
                <w:color w:val="000000"/>
                <w:kern w:val="0"/>
                <w:sz w:val="24"/>
                <w:szCs w:val="24"/>
                <w:lang w:eastAsia="zh-CN"/>
              </w:rPr>
              <w:t>）</w:t>
            </w:r>
            <w:r>
              <w:rPr>
                <w:rFonts w:hint="eastAsia" w:cs="宋体"/>
                <w:color w:val="000000"/>
                <w:kern w:val="0"/>
                <w:sz w:val="24"/>
                <w:szCs w:val="24"/>
              </w:rPr>
              <w:t>表1</w:t>
            </w:r>
            <w:r>
              <w:rPr>
                <w:rFonts w:cs="宋体"/>
                <w:color w:val="000000"/>
                <w:kern w:val="0"/>
                <w:sz w:val="24"/>
                <w:szCs w:val="24"/>
              </w:rPr>
              <w:t xml:space="preserve"> </w:t>
            </w:r>
            <w:r>
              <w:rPr>
                <w:rFonts w:hint="eastAsia" w:cs="宋体"/>
                <w:color w:val="000000"/>
                <w:kern w:val="0"/>
                <w:sz w:val="24"/>
                <w:szCs w:val="24"/>
              </w:rPr>
              <w:t>工业企业厂界环境噪声排放限值中3类声环境功能区限值。</w:t>
            </w:r>
          </w:p>
          <w:p w14:paraId="2C20039D">
            <w:pPr>
              <w:pStyle w:val="10"/>
              <w:keepLines w:val="0"/>
              <w:pageBreakBefore w:val="0"/>
              <w:widowControl w:val="0"/>
              <w:kinsoku/>
              <w:wordWrap/>
              <w:topLinePunct w:val="0"/>
              <w:autoSpaceDE/>
              <w:autoSpaceDN/>
              <w:bidi w:val="0"/>
              <w:spacing w:line="460" w:lineRule="exact"/>
              <w:textAlignment w:val="auto"/>
              <w:rPr>
                <w:color w:val="000000"/>
                <w:sz w:val="24"/>
                <w:szCs w:val="24"/>
              </w:rPr>
            </w:pPr>
            <w:r>
              <w:rPr>
                <w:rFonts w:hint="eastAsia"/>
                <w:color w:val="000000"/>
                <w:sz w:val="24"/>
                <w:szCs w:val="24"/>
              </w:rPr>
              <w:t>表</w:t>
            </w:r>
            <w:r>
              <w:rPr>
                <w:color w:val="000000"/>
                <w:sz w:val="24"/>
                <w:szCs w:val="24"/>
              </w:rPr>
              <w:t>3</w:t>
            </w:r>
            <w:r>
              <w:rPr>
                <w:rFonts w:hint="eastAsia"/>
                <w:color w:val="000000"/>
                <w:sz w:val="24"/>
                <w:szCs w:val="24"/>
              </w:rPr>
              <w:t>-</w:t>
            </w:r>
            <w:r>
              <w:rPr>
                <w:rFonts w:hint="eastAsia"/>
                <w:color w:val="000000"/>
                <w:sz w:val="24"/>
                <w:szCs w:val="24"/>
                <w:lang w:val="en-US" w:eastAsia="zh-CN"/>
              </w:rPr>
              <w:t>9</w:t>
            </w:r>
            <w:r>
              <w:rPr>
                <w:rFonts w:hint="eastAsia"/>
                <w:color w:val="000000"/>
                <w:sz w:val="24"/>
                <w:szCs w:val="24"/>
              </w:rPr>
              <w:t xml:space="preserve"> </w:t>
            </w:r>
            <w:r>
              <w:rPr>
                <w:color w:val="000000"/>
                <w:sz w:val="24"/>
                <w:szCs w:val="24"/>
              </w:rPr>
              <w:t xml:space="preserve"> </w:t>
            </w:r>
            <w:r>
              <w:rPr>
                <w:rFonts w:hint="eastAsia"/>
                <w:color w:val="000000"/>
                <w:sz w:val="24"/>
                <w:szCs w:val="24"/>
              </w:rPr>
              <w:t xml:space="preserve">噪声排放限值 </w:t>
            </w:r>
            <w:r>
              <w:rPr>
                <w:color w:val="000000"/>
                <w:sz w:val="24"/>
                <w:szCs w:val="24"/>
              </w:rPr>
              <w:t xml:space="preserve"> </w:t>
            </w:r>
            <w:r>
              <w:rPr>
                <w:rFonts w:hint="eastAsia"/>
                <w:color w:val="000000"/>
                <w:sz w:val="24"/>
                <w:szCs w:val="24"/>
              </w:rPr>
              <w:t>单位：dB（A）</w:t>
            </w:r>
          </w:p>
          <w:tbl>
            <w:tblPr>
              <w:tblStyle w:val="23"/>
              <w:tblW w:w="4998" w:type="pct"/>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3"/>
              <w:gridCol w:w="1421"/>
              <w:gridCol w:w="1423"/>
              <w:gridCol w:w="3825"/>
            </w:tblGrid>
            <w:tr w14:paraId="46C7B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742" w:type="pct"/>
                  <w:vMerge w:val="restart"/>
                  <w:tcBorders>
                    <w:tl2br w:val="nil"/>
                    <w:tr2bl w:val="nil"/>
                  </w:tcBorders>
                  <w:noWrap w:val="0"/>
                  <w:vAlign w:val="center"/>
                </w:tcPr>
                <w:p w14:paraId="3811A8F3">
                  <w:pPr>
                    <w:adjustRightInd w:val="0"/>
                    <w:snapToGrid w:val="0"/>
                    <w:spacing w:line="240" w:lineRule="auto"/>
                    <w:ind w:firstLine="0" w:firstLineChars="0"/>
                    <w:jc w:val="center"/>
                    <w:rPr>
                      <w:rFonts w:cs="宋体"/>
                      <w:color w:val="000000"/>
                      <w:kern w:val="0"/>
                      <w:sz w:val="21"/>
                      <w:szCs w:val="21"/>
                    </w:rPr>
                  </w:pPr>
                  <w:r>
                    <w:rPr>
                      <w:rFonts w:hint="eastAsia" w:cs="宋体"/>
                      <w:color w:val="000000"/>
                      <w:kern w:val="0"/>
                      <w:sz w:val="21"/>
                      <w:szCs w:val="21"/>
                    </w:rPr>
                    <w:t>类型</w:t>
                  </w:r>
                </w:p>
              </w:tc>
              <w:tc>
                <w:tcPr>
                  <w:tcW w:w="1815" w:type="pct"/>
                  <w:gridSpan w:val="2"/>
                  <w:tcBorders>
                    <w:tl2br w:val="nil"/>
                    <w:tr2bl w:val="nil"/>
                  </w:tcBorders>
                  <w:noWrap w:val="0"/>
                  <w:vAlign w:val="center"/>
                </w:tcPr>
                <w:p w14:paraId="1089492A">
                  <w:pPr>
                    <w:adjustRightInd w:val="0"/>
                    <w:snapToGrid w:val="0"/>
                    <w:spacing w:line="240" w:lineRule="auto"/>
                    <w:ind w:firstLine="0" w:firstLineChars="0"/>
                    <w:jc w:val="center"/>
                    <w:rPr>
                      <w:rFonts w:cs="宋体"/>
                      <w:color w:val="000000"/>
                      <w:kern w:val="0"/>
                      <w:sz w:val="21"/>
                      <w:szCs w:val="21"/>
                    </w:rPr>
                  </w:pPr>
                  <w:r>
                    <w:rPr>
                      <w:rFonts w:hint="eastAsia" w:cs="宋体"/>
                      <w:color w:val="000000"/>
                      <w:kern w:val="0"/>
                      <w:sz w:val="21"/>
                      <w:szCs w:val="21"/>
                    </w:rPr>
                    <w:t>时段</w:t>
                  </w:r>
                </w:p>
              </w:tc>
              <w:tc>
                <w:tcPr>
                  <w:tcW w:w="2441" w:type="pct"/>
                  <w:vMerge w:val="restart"/>
                  <w:tcBorders>
                    <w:tl2br w:val="nil"/>
                    <w:tr2bl w:val="nil"/>
                  </w:tcBorders>
                  <w:noWrap w:val="0"/>
                  <w:vAlign w:val="center"/>
                </w:tcPr>
                <w:p w14:paraId="4B276A6C">
                  <w:pPr>
                    <w:adjustRightInd w:val="0"/>
                    <w:snapToGrid w:val="0"/>
                    <w:spacing w:line="240" w:lineRule="auto"/>
                    <w:ind w:firstLine="0" w:firstLineChars="0"/>
                    <w:jc w:val="center"/>
                    <w:rPr>
                      <w:rFonts w:cs="宋体"/>
                      <w:color w:val="000000"/>
                      <w:kern w:val="0"/>
                      <w:sz w:val="21"/>
                      <w:szCs w:val="21"/>
                    </w:rPr>
                  </w:pPr>
                  <w:r>
                    <w:rPr>
                      <w:rFonts w:hint="eastAsia" w:cs="宋体"/>
                      <w:color w:val="000000"/>
                      <w:kern w:val="0"/>
                      <w:sz w:val="21"/>
                      <w:szCs w:val="21"/>
                    </w:rPr>
                    <w:t>标准来源</w:t>
                  </w:r>
                </w:p>
              </w:tc>
            </w:tr>
            <w:tr w14:paraId="27DCF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742" w:type="pct"/>
                  <w:vMerge w:val="continue"/>
                  <w:tcBorders>
                    <w:tl2br w:val="nil"/>
                    <w:tr2bl w:val="nil"/>
                  </w:tcBorders>
                  <w:noWrap w:val="0"/>
                  <w:vAlign w:val="center"/>
                </w:tcPr>
                <w:p w14:paraId="060DAA2E">
                  <w:pPr>
                    <w:adjustRightInd w:val="0"/>
                    <w:snapToGrid w:val="0"/>
                    <w:spacing w:line="240" w:lineRule="auto"/>
                    <w:ind w:firstLine="0" w:firstLineChars="0"/>
                    <w:jc w:val="center"/>
                    <w:rPr>
                      <w:rFonts w:cs="宋体"/>
                      <w:color w:val="000000"/>
                      <w:kern w:val="0"/>
                      <w:sz w:val="21"/>
                      <w:szCs w:val="21"/>
                    </w:rPr>
                  </w:pPr>
                </w:p>
              </w:tc>
              <w:tc>
                <w:tcPr>
                  <w:tcW w:w="907" w:type="pct"/>
                  <w:tcBorders>
                    <w:tl2br w:val="nil"/>
                    <w:tr2bl w:val="nil"/>
                  </w:tcBorders>
                  <w:noWrap w:val="0"/>
                  <w:vAlign w:val="center"/>
                </w:tcPr>
                <w:p w14:paraId="6512E6EA">
                  <w:pPr>
                    <w:adjustRightInd w:val="0"/>
                    <w:snapToGrid w:val="0"/>
                    <w:spacing w:line="240" w:lineRule="auto"/>
                    <w:ind w:firstLine="0" w:firstLineChars="0"/>
                    <w:jc w:val="center"/>
                    <w:rPr>
                      <w:rFonts w:cs="宋体"/>
                      <w:color w:val="000000"/>
                      <w:kern w:val="0"/>
                      <w:sz w:val="21"/>
                      <w:szCs w:val="21"/>
                    </w:rPr>
                  </w:pPr>
                  <w:r>
                    <w:rPr>
                      <w:rFonts w:hint="eastAsia" w:cs="宋体"/>
                      <w:color w:val="000000"/>
                      <w:kern w:val="0"/>
                      <w:sz w:val="21"/>
                      <w:szCs w:val="21"/>
                    </w:rPr>
                    <w:t>昼间</w:t>
                  </w:r>
                </w:p>
              </w:tc>
              <w:tc>
                <w:tcPr>
                  <w:tcW w:w="908" w:type="pct"/>
                  <w:tcBorders>
                    <w:tl2br w:val="nil"/>
                    <w:tr2bl w:val="nil"/>
                  </w:tcBorders>
                  <w:noWrap w:val="0"/>
                  <w:vAlign w:val="center"/>
                </w:tcPr>
                <w:p w14:paraId="0E272C69">
                  <w:pPr>
                    <w:adjustRightInd w:val="0"/>
                    <w:snapToGrid w:val="0"/>
                    <w:spacing w:line="240" w:lineRule="auto"/>
                    <w:ind w:firstLine="0" w:firstLineChars="0"/>
                    <w:jc w:val="center"/>
                    <w:rPr>
                      <w:rFonts w:cs="宋体"/>
                      <w:color w:val="000000"/>
                      <w:kern w:val="0"/>
                      <w:sz w:val="21"/>
                      <w:szCs w:val="21"/>
                    </w:rPr>
                  </w:pPr>
                  <w:r>
                    <w:rPr>
                      <w:rFonts w:hint="eastAsia" w:cs="宋体"/>
                      <w:color w:val="000000"/>
                      <w:kern w:val="0"/>
                      <w:sz w:val="21"/>
                      <w:szCs w:val="21"/>
                    </w:rPr>
                    <w:t>夜间</w:t>
                  </w:r>
                </w:p>
              </w:tc>
              <w:tc>
                <w:tcPr>
                  <w:tcW w:w="2441" w:type="pct"/>
                  <w:vMerge w:val="continue"/>
                  <w:tcBorders>
                    <w:tl2br w:val="nil"/>
                    <w:tr2bl w:val="nil"/>
                  </w:tcBorders>
                  <w:noWrap w:val="0"/>
                  <w:vAlign w:val="center"/>
                </w:tcPr>
                <w:p w14:paraId="37CC0D23">
                  <w:pPr>
                    <w:adjustRightInd w:val="0"/>
                    <w:snapToGrid w:val="0"/>
                    <w:spacing w:line="240" w:lineRule="auto"/>
                    <w:ind w:firstLine="0" w:firstLineChars="0"/>
                    <w:jc w:val="center"/>
                    <w:rPr>
                      <w:rFonts w:cs="宋体"/>
                      <w:color w:val="000000"/>
                      <w:kern w:val="0"/>
                      <w:sz w:val="21"/>
                      <w:szCs w:val="21"/>
                    </w:rPr>
                  </w:pPr>
                </w:p>
              </w:tc>
            </w:tr>
            <w:tr w14:paraId="1B255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742" w:type="pct"/>
                  <w:tcBorders>
                    <w:tl2br w:val="nil"/>
                    <w:tr2bl w:val="nil"/>
                  </w:tcBorders>
                  <w:noWrap w:val="0"/>
                  <w:vAlign w:val="center"/>
                </w:tcPr>
                <w:p w14:paraId="44469375">
                  <w:pPr>
                    <w:adjustRightInd w:val="0"/>
                    <w:snapToGrid w:val="0"/>
                    <w:spacing w:line="240" w:lineRule="auto"/>
                    <w:ind w:firstLine="0" w:firstLineChars="0"/>
                    <w:jc w:val="center"/>
                    <w:rPr>
                      <w:color w:val="000000"/>
                      <w:kern w:val="0"/>
                      <w:sz w:val="21"/>
                      <w:szCs w:val="21"/>
                    </w:rPr>
                  </w:pPr>
                  <w:r>
                    <w:rPr>
                      <w:rFonts w:hint="eastAsia"/>
                      <w:color w:val="000000"/>
                      <w:kern w:val="0"/>
                      <w:sz w:val="21"/>
                      <w:szCs w:val="21"/>
                    </w:rPr>
                    <w:t>施工期</w:t>
                  </w:r>
                </w:p>
              </w:tc>
              <w:tc>
                <w:tcPr>
                  <w:tcW w:w="907" w:type="pct"/>
                  <w:tcBorders>
                    <w:tl2br w:val="nil"/>
                    <w:tr2bl w:val="nil"/>
                  </w:tcBorders>
                  <w:noWrap w:val="0"/>
                  <w:vAlign w:val="center"/>
                </w:tcPr>
                <w:p w14:paraId="6913FF3F">
                  <w:pPr>
                    <w:adjustRightInd w:val="0"/>
                    <w:snapToGrid w:val="0"/>
                    <w:spacing w:line="240" w:lineRule="auto"/>
                    <w:ind w:firstLine="0" w:firstLineChars="0"/>
                    <w:jc w:val="center"/>
                    <w:rPr>
                      <w:color w:val="000000"/>
                      <w:kern w:val="0"/>
                      <w:sz w:val="21"/>
                      <w:szCs w:val="21"/>
                    </w:rPr>
                  </w:pPr>
                  <w:r>
                    <w:rPr>
                      <w:rFonts w:hint="eastAsia"/>
                      <w:color w:val="000000"/>
                      <w:kern w:val="0"/>
                      <w:sz w:val="21"/>
                      <w:szCs w:val="21"/>
                    </w:rPr>
                    <w:t>7</w:t>
                  </w:r>
                  <w:r>
                    <w:rPr>
                      <w:color w:val="000000"/>
                      <w:kern w:val="0"/>
                      <w:sz w:val="21"/>
                      <w:szCs w:val="21"/>
                    </w:rPr>
                    <w:t>0</w:t>
                  </w:r>
                </w:p>
              </w:tc>
              <w:tc>
                <w:tcPr>
                  <w:tcW w:w="908" w:type="pct"/>
                  <w:tcBorders>
                    <w:tl2br w:val="nil"/>
                    <w:tr2bl w:val="nil"/>
                  </w:tcBorders>
                  <w:noWrap w:val="0"/>
                  <w:vAlign w:val="center"/>
                </w:tcPr>
                <w:p w14:paraId="28901217">
                  <w:pPr>
                    <w:adjustRightInd w:val="0"/>
                    <w:snapToGrid w:val="0"/>
                    <w:spacing w:line="240" w:lineRule="auto"/>
                    <w:ind w:firstLine="0" w:firstLineChars="0"/>
                    <w:jc w:val="center"/>
                    <w:rPr>
                      <w:color w:val="000000"/>
                      <w:kern w:val="0"/>
                      <w:sz w:val="21"/>
                      <w:szCs w:val="21"/>
                    </w:rPr>
                  </w:pPr>
                  <w:r>
                    <w:rPr>
                      <w:rFonts w:hint="eastAsia"/>
                      <w:color w:val="000000"/>
                      <w:kern w:val="0"/>
                      <w:sz w:val="21"/>
                      <w:szCs w:val="21"/>
                    </w:rPr>
                    <w:t>5</w:t>
                  </w:r>
                  <w:r>
                    <w:rPr>
                      <w:color w:val="000000"/>
                      <w:kern w:val="0"/>
                      <w:sz w:val="21"/>
                      <w:szCs w:val="21"/>
                    </w:rPr>
                    <w:t>5</w:t>
                  </w:r>
                </w:p>
              </w:tc>
              <w:tc>
                <w:tcPr>
                  <w:tcW w:w="2441" w:type="pct"/>
                  <w:tcBorders>
                    <w:tl2br w:val="nil"/>
                    <w:tr2bl w:val="nil"/>
                  </w:tcBorders>
                  <w:noWrap w:val="0"/>
                  <w:vAlign w:val="center"/>
                </w:tcPr>
                <w:p w14:paraId="23FDA1AE">
                  <w:pPr>
                    <w:adjustRightInd w:val="0"/>
                    <w:snapToGrid w:val="0"/>
                    <w:spacing w:line="240" w:lineRule="auto"/>
                    <w:ind w:firstLine="0" w:firstLineChars="0"/>
                    <w:jc w:val="center"/>
                    <w:rPr>
                      <w:color w:val="000000"/>
                      <w:kern w:val="0"/>
                      <w:sz w:val="21"/>
                      <w:szCs w:val="21"/>
                    </w:rPr>
                  </w:pPr>
                  <w:r>
                    <w:rPr>
                      <w:rFonts w:hint="eastAsia"/>
                      <w:color w:val="000000"/>
                      <w:kern w:val="0"/>
                      <w:sz w:val="21"/>
                      <w:szCs w:val="21"/>
                    </w:rPr>
                    <w:t>《建筑施工场界环境噪声排放标准》（GB12523-2011）</w:t>
                  </w:r>
                </w:p>
              </w:tc>
            </w:tr>
            <w:tr w14:paraId="5D084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742" w:type="pct"/>
                  <w:tcBorders>
                    <w:tl2br w:val="nil"/>
                    <w:tr2bl w:val="nil"/>
                  </w:tcBorders>
                  <w:noWrap w:val="0"/>
                  <w:vAlign w:val="center"/>
                </w:tcPr>
                <w:p w14:paraId="454E8A22">
                  <w:pPr>
                    <w:adjustRightInd w:val="0"/>
                    <w:snapToGrid w:val="0"/>
                    <w:spacing w:line="240" w:lineRule="auto"/>
                    <w:ind w:firstLine="0" w:firstLineChars="0"/>
                    <w:jc w:val="center"/>
                    <w:rPr>
                      <w:color w:val="000000"/>
                      <w:kern w:val="0"/>
                      <w:sz w:val="21"/>
                      <w:szCs w:val="21"/>
                    </w:rPr>
                  </w:pPr>
                  <w:r>
                    <w:rPr>
                      <w:rFonts w:hint="eastAsia"/>
                      <w:color w:val="000000"/>
                      <w:kern w:val="0"/>
                      <w:sz w:val="21"/>
                      <w:szCs w:val="21"/>
                    </w:rPr>
                    <w:t>运营期</w:t>
                  </w:r>
                </w:p>
              </w:tc>
              <w:tc>
                <w:tcPr>
                  <w:tcW w:w="907" w:type="pct"/>
                  <w:tcBorders>
                    <w:tl2br w:val="nil"/>
                    <w:tr2bl w:val="nil"/>
                  </w:tcBorders>
                  <w:noWrap w:val="0"/>
                  <w:vAlign w:val="center"/>
                </w:tcPr>
                <w:p w14:paraId="446802A2">
                  <w:pPr>
                    <w:adjustRightInd w:val="0"/>
                    <w:snapToGrid w:val="0"/>
                    <w:spacing w:line="240" w:lineRule="auto"/>
                    <w:ind w:firstLine="0" w:firstLineChars="0"/>
                    <w:jc w:val="center"/>
                    <w:rPr>
                      <w:color w:val="000000"/>
                      <w:kern w:val="0"/>
                      <w:sz w:val="21"/>
                      <w:szCs w:val="21"/>
                    </w:rPr>
                  </w:pPr>
                  <w:r>
                    <w:rPr>
                      <w:rFonts w:hint="eastAsia"/>
                      <w:color w:val="000000"/>
                      <w:kern w:val="0"/>
                      <w:sz w:val="21"/>
                      <w:szCs w:val="21"/>
                    </w:rPr>
                    <w:t>65</w:t>
                  </w:r>
                </w:p>
              </w:tc>
              <w:tc>
                <w:tcPr>
                  <w:tcW w:w="908" w:type="pct"/>
                  <w:tcBorders>
                    <w:tl2br w:val="nil"/>
                    <w:tr2bl w:val="nil"/>
                  </w:tcBorders>
                  <w:noWrap w:val="0"/>
                  <w:vAlign w:val="center"/>
                </w:tcPr>
                <w:p w14:paraId="2AE3BF75">
                  <w:pPr>
                    <w:adjustRightInd w:val="0"/>
                    <w:snapToGrid w:val="0"/>
                    <w:spacing w:line="240" w:lineRule="auto"/>
                    <w:ind w:firstLine="0" w:firstLineChars="0"/>
                    <w:jc w:val="center"/>
                    <w:rPr>
                      <w:color w:val="000000"/>
                      <w:kern w:val="0"/>
                      <w:sz w:val="21"/>
                      <w:szCs w:val="21"/>
                    </w:rPr>
                  </w:pPr>
                  <w:r>
                    <w:rPr>
                      <w:rFonts w:hint="eastAsia"/>
                      <w:color w:val="000000"/>
                      <w:kern w:val="0"/>
                      <w:sz w:val="21"/>
                      <w:szCs w:val="21"/>
                    </w:rPr>
                    <w:t>55</w:t>
                  </w:r>
                </w:p>
              </w:tc>
              <w:tc>
                <w:tcPr>
                  <w:tcW w:w="2441" w:type="pct"/>
                  <w:tcBorders>
                    <w:tl2br w:val="nil"/>
                    <w:tr2bl w:val="nil"/>
                  </w:tcBorders>
                  <w:noWrap w:val="0"/>
                  <w:vAlign w:val="center"/>
                </w:tcPr>
                <w:p w14:paraId="2A27850C">
                  <w:pPr>
                    <w:adjustRightInd w:val="0"/>
                    <w:snapToGrid w:val="0"/>
                    <w:spacing w:line="240" w:lineRule="auto"/>
                    <w:ind w:firstLine="0" w:firstLineChars="0"/>
                    <w:jc w:val="center"/>
                    <w:rPr>
                      <w:rFonts w:hint="eastAsia" w:eastAsia="宋体"/>
                      <w:color w:val="000000"/>
                      <w:kern w:val="0"/>
                      <w:sz w:val="21"/>
                      <w:szCs w:val="21"/>
                      <w:lang w:eastAsia="zh-CN"/>
                    </w:rPr>
                  </w:pPr>
                  <w:r>
                    <w:rPr>
                      <w:rFonts w:hint="eastAsia"/>
                      <w:color w:val="000000"/>
                      <w:kern w:val="0"/>
                      <w:sz w:val="21"/>
                      <w:szCs w:val="21"/>
                    </w:rPr>
                    <w:t>《工业企业厂界环境噪声排放标准》</w:t>
                  </w:r>
                  <w:r>
                    <w:rPr>
                      <w:rFonts w:hint="eastAsia"/>
                      <w:color w:val="000000"/>
                      <w:kern w:val="0"/>
                      <w:sz w:val="21"/>
                      <w:szCs w:val="21"/>
                      <w:lang w:eastAsia="zh-CN"/>
                    </w:rPr>
                    <w:t>（</w:t>
                  </w:r>
                  <w:r>
                    <w:rPr>
                      <w:rFonts w:hint="eastAsia"/>
                      <w:color w:val="000000"/>
                      <w:kern w:val="0"/>
                      <w:sz w:val="21"/>
                      <w:szCs w:val="21"/>
                    </w:rPr>
                    <w:t>GB12348-2008</w:t>
                  </w:r>
                  <w:r>
                    <w:rPr>
                      <w:rFonts w:hint="eastAsia"/>
                      <w:color w:val="000000"/>
                      <w:kern w:val="0"/>
                      <w:sz w:val="21"/>
                      <w:szCs w:val="21"/>
                      <w:lang w:eastAsia="zh-CN"/>
                    </w:rPr>
                    <w:t>）中</w:t>
                  </w:r>
                  <w:r>
                    <w:rPr>
                      <w:rFonts w:hint="eastAsia"/>
                      <w:color w:val="000000"/>
                      <w:kern w:val="0"/>
                      <w:sz w:val="21"/>
                      <w:szCs w:val="21"/>
                      <w:lang w:val="en-US" w:eastAsia="zh-CN"/>
                    </w:rPr>
                    <w:t>3</w:t>
                  </w:r>
                  <w:r>
                    <w:rPr>
                      <w:rFonts w:hint="eastAsia"/>
                      <w:color w:val="000000"/>
                      <w:kern w:val="0"/>
                      <w:sz w:val="21"/>
                      <w:szCs w:val="21"/>
                      <w:lang w:eastAsia="zh-CN"/>
                    </w:rPr>
                    <w:t>类标准</w:t>
                  </w:r>
                </w:p>
              </w:tc>
            </w:tr>
          </w:tbl>
          <w:p w14:paraId="2E2A2FE3">
            <w:pPr>
              <w:pStyle w:val="32"/>
              <w:rPr>
                <w:color w:val="auto"/>
              </w:rPr>
            </w:pPr>
            <w:r>
              <w:rPr>
                <w:rFonts w:hint="default" w:ascii="Times New Roman" w:hAnsi="宋体"/>
                <w:bCs/>
                <w:color w:val="000000"/>
                <w:sz w:val="24"/>
                <w:szCs w:val="24"/>
                <w:lang w:val="en-US" w:eastAsia="zh-CN"/>
              </w:rPr>
              <w:t>（</w:t>
            </w:r>
            <w:r>
              <w:rPr>
                <w:rFonts w:hint="eastAsia" w:hAnsi="宋体"/>
                <w:bCs/>
                <w:color w:val="000000"/>
                <w:sz w:val="24"/>
                <w:szCs w:val="24"/>
                <w:lang w:val="en-US" w:eastAsia="zh-CN"/>
              </w:rPr>
              <w:t>4</w:t>
            </w:r>
            <w:r>
              <w:rPr>
                <w:rFonts w:hint="default" w:ascii="Times New Roman" w:hAnsi="宋体"/>
                <w:bCs/>
                <w:color w:val="000000"/>
                <w:sz w:val="24"/>
                <w:szCs w:val="24"/>
                <w:lang w:val="en-US" w:eastAsia="zh-CN"/>
              </w:rPr>
              <w:t>）</w:t>
            </w:r>
            <w:r>
              <w:rPr>
                <w:color w:val="auto"/>
              </w:rPr>
              <w:t>固体废物控制标准</w:t>
            </w:r>
          </w:p>
          <w:p w14:paraId="1C4C062F">
            <w:pPr>
              <w:keepNext w:val="0"/>
              <w:keepLines w:val="0"/>
              <w:pageBreakBefore w:val="0"/>
              <w:widowControl w:val="0"/>
              <w:kinsoku/>
              <w:wordWrap/>
              <w:overflowPunct/>
              <w:topLinePunct w:val="0"/>
              <w:autoSpaceDE/>
              <w:autoSpaceDN/>
              <w:bidi w:val="0"/>
              <w:adjustRightInd w:val="0"/>
              <w:snapToGrid w:val="0"/>
              <w:spacing w:line="460" w:lineRule="exact"/>
              <w:ind w:firstLine="480" w:firstLineChars="200"/>
              <w:jc w:val="both"/>
              <w:textAlignment w:val="auto"/>
              <w:rPr>
                <w:rFonts w:hint="eastAsia" w:ascii="Times New Roman" w:hAnsi="Times New Roman" w:cs="宋体"/>
                <w:color w:val="000000"/>
                <w:kern w:val="0"/>
                <w:sz w:val="24"/>
                <w:szCs w:val="24"/>
                <w:lang w:val="en-US" w:eastAsia="zh-CN"/>
              </w:rPr>
            </w:pPr>
            <w:r>
              <w:rPr>
                <w:rFonts w:hint="eastAsia" w:ascii="Times New Roman" w:hAnsi="Times New Roman" w:cs="宋体"/>
                <w:color w:val="000000"/>
                <w:kern w:val="0"/>
                <w:sz w:val="24"/>
                <w:szCs w:val="24"/>
                <w:lang w:val="en-US" w:eastAsia="zh-CN"/>
              </w:rPr>
              <w:t>一般工业固体废物：厂区内一般工业固废的贮存应满足相应防渗漏、防雨淋、防扬尘等环境保护要求，委托第三方运输、利用、处置工业固体废物时，应当对受托方的主体资格和技术能力进行核实。</w:t>
            </w:r>
          </w:p>
          <w:p w14:paraId="41FE3F3C">
            <w:pPr>
              <w:keepLines w:val="0"/>
              <w:pageBreakBefore w:val="0"/>
              <w:widowControl w:val="0"/>
              <w:kinsoku/>
              <w:wordWrap/>
              <w:topLinePunct w:val="0"/>
              <w:autoSpaceDE/>
              <w:autoSpaceDN/>
              <w:bidi w:val="0"/>
              <w:adjustRightInd/>
              <w:spacing w:line="460" w:lineRule="exact"/>
              <w:ind w:firstLine="480" w:firstLineChars="200"/>
              <w:jc w:val="left"/>
              <w:textAlignment w:val="auto"/>
              <w:rPr>
                <w:color w:val="000000"/>
                <w:sz w:val="24"/>
              </w:rPr>
            </w:pPr>
            <w:r>
              <w:rPr>
                <w:rFonts w:hint="eastAsia" w:ascii="Times New Roman" w:hAnsi="Times New Roman" w:cs="宋体"/>
                <w:color w:val="000000"/>
                <w:kern w:val="0"/>
                <w:sz w:val="24"/>
                <w:szCs w:val="24"/>
                <w:lang w:val="en-US" w:eastAsia="zh-CN"/>
              </w:rPr>
              <w:t>危险废物：</w:t>
            </w:r>
            <w:r>
              <w:rPr>
                <w:color w:val="000000"/>
                <w:sz w:val="24"/>
              </w:rPr>
              <w:t>按《国家危险废物名录》（202</w:t>
            </w:r>
            <w:r>
              <w:rPr>
                <w:rFonts w:hint="eastAsia"/>
                <w:color w:val="000000"/>
                <w:sz w:val="24"/>
                <w:lang w:val="en-US" w:eastAsia="zh-CN"/>
              </w:rPr>
              <w:t>5</w:t>
            </w:r>
            <w:r>
              <w:rPr>
                <w:color w:val="000000"/>
                <w:sz w:val="24"/>
              </w:rPr>
              <w:t>年版）、《危险废物贮存污染控制标准》（GB18597-20</w:t>
            </w:r>
            <w:r>
              <w:rPr>
                <w:rFonts w:hint="eastAsia"/>
                <w:color w:val="000000"/>
                <w:sz w:val="24"/>
              </w:rPr>
              <w:t>23</w:t>
            </w:r>
            <w:r>
              <w:rPr>
                <w:color w:val="000000"/>
                <w:sz w:val="24"/>
              </w:rPr>
              <w:t>）进行识别、贮存和管理。</w:t>
            </w:r>
          </w:p>
          <w:p w14:paraId="4190C82E">
            <w:pPr>
              <w:rPr>
                <w:rFonts w:hint="default" w:ascii="Times New Roman" w:hAnsi="Times New Roman" w:eastAsia="宋体" w:cs="Times New Roman"/>
                <w:sz w:val="24"/>
                <w:szCs w:val="24"/>
              </w:rPr>
            </w:pPr>
          </w:p>
        </w:tc>
      </w:tr>
    </w:tbl>
    <w:p w14:paraId="5DAD8E8B">
      <w:pPr>
        <w:pStyle w:val="11"/>
        <w:rPr>
          <w:rFonts w:hint="eastAsia" w:ascii="宋体" w:hAnsi="宋体" w:eastAsia="宋体" w:cs="宋体"/>
          <w:b/>
          <w:bCs/>
          <w:color w:val="000000"/>
          <w:kern w:val="0"/>
          <w:sz w:val="31"/>
          <w:szCs w:val="31"/>
          <w:lang w:val="en-US" w:eastAsia="zh-CN" w:bidi="ar"/>
        </w:rPr>
      </w:pPr>
    </w:p>
    <w:p w14:paraId="79BAAE74"/>
    <w:tbl>
      <w:tblPr>
        <w:tblStyle w:val="23"/>
        <w:tblpPr w:leftFromText="180" w:rightFromText="180" w:vertAnchor="text" w:horzAnchor="page" w:tblpX="1292" w:tblpY="174"/>
        <w:tblOverlap w:val="never"/>
        <w:tblW w:w="5741" w:type="pct"/>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9785"/>
      </w:tblGrid>
      <w:tr w14:paraId="11FE60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3571" w:hRule="atLeast"/>
        </w:trPr>
        <w:tc>
          <w:tcPr>
            <w:tcW w:w="5000" w:type="pct"/>
            <w:noWrap w:val="0"/>
            <w:vAlign w:val="top"/>
          </w:tcPr>
          <w:p w14:paraId="22A3A75B">
            <w:pPr>
              <w:pStyle w:val="29"/>
              <w:bidi w:val="0"/>
              <w:ind w:left="0" w:leftChars="0" w:firstLine="0" w:firstLineChars="0"/>
              <w:jc w:val="both"/>
              <w:rPr>
                <w:b/>
                <w:bCs/>
                <w:color w:val="000000" w:themeColor="text1"/>
                <w14:textFill>
                  <w14:solidFill>
                    <w14:schemeClr w14:val="tx1"/>
                  </w14:solidFill>
                </w14:textFill>
              </w:rPr>
            </w:pPr>
            <w:r>
              <w:rPr>
                <w:rFonts w:hint="eastAsia"/>
                <w:b/>
                <w:bCs/>
                <w:color w:val="000000" w:themeColor="text1"/>
                <w:lang w:val="en-US" w:eastAsia="zh-CN"/>
                <w14:textFill>
                  <w14:solidFill>
                    <w14:schemeClr w14:val="tx1"/>
                  </w14:solidFill>
                </w14:textFill>
              </w:rPr>
              <w:t>2</w:t>
            </w:r>
            <w:r>
              <w:rPr>
                <w:rFonts w:hint="default"/>
                <w:b/>
                <w:bCs/>
                <w:color w:val="000000" w:themeColor="text1"/>
                <w14:textFill>
                  <w14:solidFill>
                    <w14:schemeClr w14:val="tx1"/>
                  </w14:solidFill>
                </w14:textFill>
              </w:rPr>
              <w:t>.1</w:t>
            </w:r>
            <w:r>
              <w:rPr>
                <w:rFonts w:hint="eastAsia"/>
                <w:b/>
                <w:bCs/>
                <w:color w:val="000000" w:themeColor="text1"/>
                <w:lang w:val="en-US" w:eastAsia="zh-CN"/>
                <w14:textFill>
                  <w14:solidFill>
                    <w14:schemeClr w14:val="tx1"/>
                  </w14:solidFill>
                </w14:textFill>
              </w:rPr>
              <w:t>工程建设内容</w:t>
            </w:r>
          </w:p>
          <w:p w14:paraId="0E5A7FA7">
            <w:pPr>
              <w:jc w:val="both"/>
              <w:rPr>
                <w:rFonts w:hint="eastAsia" w:ascii="Times New Roman" w:hAnsi="Times New Roman" w:eastAsia="宋体" w:cs="Times New Roman"/>
                <w:b/>
                <w:bCs/>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b/>
                <w:bCs/>
                <w:color w:val="000000" w:themeColor="text1"/>
                <w:sz w:val="24"/>
                <w:szCs w:val="24"/>
                <w:lang w:val="en-US" w:eastAsia="zh-CN"/>
                <w14:textFill>
                  <w14:solidFill>
                    <w14:schemeClr w14:val="tx1"/>
                  </w14:solidFill>
                </w14:textFill>
              </w:rPr>
              <w:t>2.1.1 地理位置及平面布置</w:t>
            </w:r>
          </w:p>
          <w:p w14:paraId="2A23B4B5">
            <w:pPr>
              <w:pStyle w:val="29"/>
              <w:numPr>
                <w:ilvl w:val="0"/>
                <w:numId w:val="0"/>
              </w:numPr>
              <w:bidi w:val="0"/>
              <w:ind w:firstLine="480" w:firstLineChars="200"/>
              <w:rPr>
                <w:rFonts w:hint="eastAsia" w:ascii="Times New Roman" w:hAnsi="Times New Roman" w:eastAsia="宋体"/>
                <w:b w:val="0"/>
                <w:bCs w:val="0"/>
                <w:color w:val="000000" w:themeColor="text1"/>
                <w:lang w:val="en-US" w:eastAsia="zh-CN"/>
                <w14:textFill>
                  <w14:solidFill>
                    <w14:schemeClr w14:val="tx1"/>
                  </w14:solidFill>
                </w14:textFill>
              </w:rPr>
            </w:pPr>
            <w:r>
              <w:rPr>
                <w:rFonts w:hint="eastAsia" w:ascii="Times New Roman" w:hAnsi="Times New Roman" w:eastAsia="宋体"/>
                <w:b w:val="0"/>
                <w:bCs w:val="0"/>
                <w:color w:val="000000" w:themeColor="text1"/>
                <w:lang w:val="en-US" w:eastAsia="zh-CN"/>
                <w14:textFill>
                  <w14:solidFill>
                    <w14:schemeClr w14:val="tx1"/>
                  </w14:solidFill>
                </w14:textFill>
              </w:rPr>
              <w:t>（1）地理位置及周边环境敏感目标调查</w:t>
            </w:r>
          </w:p>
          <w:p w14:paraId="5A65E645">
            <w:pPr>
              <w:keepLines w:val="0"/>
              <w:pageBreakBefore w:val="0"/>
              <w:widowControl w:val="0"/>
              <w:kinsoku/>
              <w:wordWrap/>
              <w:topLinePunct w:val="0"/>
              <w:autoSpaceDE/>
              <w:autoSpaceDN/>
              <w:bidi w:val="0"/>
              <w:adjustRightInd/>
              <w:spacing w:line="460" w:lineRule="exact"/>
              <w:ind w:firstLine="480"/>
              <w:jc w:val="both"/>
              <w:textAlignment w:val="auto"/>
              <w:rPr>
                <w:rFonts w:hint="default" w:eastAsia="宋体"/>
                <w:color w:val="000000"/>
                <w:sz w:val="24"/>
                <w:szCs w:val="24"/>
                <w:lang w:val="en-US" w:eastAsia="zh-CN"/>
              </w:rPr>
            </w:pPr>
            <w:r>
              <w:rPr>
                <w:rFonts w:hint="eastAsia"/>
                <w:color w:val="000000"/>
                <w:sz w:val="24"/>
                <w:szCs w:val="24"/>
              </w:rPr>
              <w:t>本项目</w:t>
            </w:r>
            <w:r>
              <w:rPr>
                <w:rFonts w:hint="eastAsia"/>
                <w:color w:val="000000"/>
                <w:sz w:val="24"/>
                <w:szCs w:val="24"/>
                <w:lang w:eastAsia="zh-CN"/>
              </w:rPr>
              <w:t>位于</w:t>
            </w:r>
            <w:r>
              <w:rPr>
                <w:rFonts w:hint="eastAsia" w:ascii="Times New Roman" w:hAnsi="Times New Roman" w:eastAsia="宋体" w:cs="Times New Roman"/>
                <w:bCs/>
                <w:color w:val="000000"/>
                <w:kern w:val="2"/>
                <w:sz w:val="24"/>
                <w:szCs w:val="22"/>
                <w:highlight w:val="none"/>
                <w:lang w:val="en-US" w:eastAsia="zh-CN" w:bidi="ar-SA"/>
              </w:rPr>
              <w:t>万州经济技术开发区</w:t>
            </w:r>
            <w:r>
              <w:rPr>
                <w:rFonts w:hint="eastAsia" w:cs="Times New Roman"/>
                <w:bCs/>
                <w:color w:val="000000"/>
                <w:kern w:val="2"/>
                <w:sz w:val="24"/>
                <w:szCs w:val="22"/>
                <w:highlight w:val="none"/>
                <w:lang w:val="en-US" w:eastAsia="zh-CN" w:bidi="ar-SA"/>
              </w:rPr>
              <w:t>天子</w:t>
            </w:r>
            <w:r>
              <w:rPr>
                <w:rFonts w:hint="eastAsia" w:ascii="Times New Roman" w:hAnsi="Times New Roman" w:eastAsia="宋体" w:cs="Times New Roman"/>
                <w:bCs/>
                <w:color w:val="000000"/>
                <w:kern w:val="2"/>
                <w:sz w:val="24"/>
                <w:szCs w:val="22"/>
                <w:highlight w:val="none"/>
                <w:lang w:val="en-US" w:eastAsia="zh-CN" w:bidi="ar-SA"/>
              </w:rPr>
              <w:t>园</w:t>
            </w:r>
            <w:r>
              <w:rPr>
                <w:rFonts w:hint="eastAsia" w:cs="Times New Roman"/>
                <w:bCs/>
                <w:color w:val="000000"/>
                <w:kern w:val="2"/>
                <w:sz w:val="24"/>
                <w:szCs w:val="22"/>
                <w:highlight w:val="none"/>
                <w:lang w:val="en-US" w:eastAsia="zh-CN" w:bidi="ar-SA"/>
              </w:rPr>
              <w:t>，</w:t>
            </w:r>
            <w:r>
              <w:rPr>
                <w:rFonts w:hint="eastAsia"/>
                <w:color w:val="000000"/>
                <w:lang w:eastAsia="zh-CN"/>
              </w:rPr>
              <w:t>调查评价范围</w:t>
            </w:r>
            <w:r>
              <w:rPr>
                <w:rFonts w:hint="default" w:eastAsia="宋体"/>
                <w:b w:val="0"/>
                <w:bCs w:val="0"/>
                <w:color w:val="000000"/>
                <w:lang w:val="en-US" w:eastAsia="zh-CN"/>
              </w:rPr>
              <w:t>无自然保护区、国家重点文物保护单位、名胜古迹和饮用水源保护区等敏感区域</w:t>
            </w:r>
            <w:r>
              <w:rPr>
                <w:rFonts w:hint="eastAsia"/>
                <w:b w:val="0"/>
                <w:bCs w:val="0"/>
                <w:color w:val="000000"/>
                <w:lang w:val="en-US" w:eastAsia="zh-CN"/>
              </w:rPr>
              <w:t>，不涉及生态保护红线，</w:t>
            </w:r>
            <w:r>
              <w:rPr>
                <w:rFonts w:hint="default" w:eastAsia="宋体"/>
                <w:b w:val="0"/>
                <w:bCs w:val="0"/>
                <w:color w:val="000000"/>
                <w:lang w:val="en-US" w:eastAsia="zh-CN"/>
              </w:rPr>
              <w:t>无珍稀动植物存在，</w:t>
            </w:r>
            <w:r>
              <w:rPr>
                <w:rFonts w:hint="eastAsia"/>
                <w:color w:val="000000"/>
              </w:rPr>
              <w:t>无地下水集中式饮用水水源和热水、矿泉水、温泉等特殊地下水资源</w:t>
            </w:r>
            <w:r>
              <w:rPr>
                <w:rFonts w:hint="eastAsia"/>
                <w:color w:val="000000"/>
                <w:lang w:eastAsia="zh-CN"/>
              </w:rPr>
              <w:t>；厂界外</w:t>
            </w:r>
            <w:r>
              <w:rPr>
                <w:rFonts w:hint="eastAsia"/>
                <w:color w:val="000000"/>
                <w:lang w:val="en-US" w:eastAsia="zh-CN"/>
              </w:rPr>
              <w:t>50m范围内无声环境保护目标；厂界外500m范围内环境保护目标主要为倒班宿舍。</w:t>
            </w:r>
          </w:p>
          <w:p w14:paraId="63B625BC">
            <w:pPr>
              <w:pStyle w:val="29"/>
              <w:bidi w:val="0"/>
              <w:rPr>
                <w:rFonts w:hint="eastAsia" w:ascii="Times New Roman" w:hAnsi="Times New Roman" w:eastAsia="宋体"/>
                <w:b w:val="0"/>
                <w:bCs w:val="0"/>
                <w:color w:val="000000" w:themeColor="text1"/>
                <w:lang w:val="en-US" w:eastAsia="zh-CN"/>
                <w14:textFill>
                  <w14:solidFill>
                    <w14:schemeClr w14:val="tx1"/>
                  </w14:solidFill>
                </w14:textFill>
              </w:rPr>
            </w:pPr>
            <w:r>
              <w:rPr>
                <w:rFonts w:hint="eastAsia" w:ascii="Times New Roman" w:hAnsi="Times New Roman" w:eastAsia="宋体"/>
                <w:b w:val="0"/>
                <w:bCs w:val="0"/>
                <w:color w:val="000000" w:themeColor="text1"/>
                <w:lang w:val="en-US" w:eastAsia="zh-CN"/>
                <w14:textFill>
                  <w14:solidFill>
                    <w14:schemeClr w14:val="tx1"/>
                  </w14:solidFill>
                </w14:textFill>
              </w:rPr>
              <w:t>项目地理位置图详见附图1</w:t>
            </w:r>
          </w:p>
          <w:p w14:paraId="033CA518">
            <w:pPr>
              <w:pStyle w:val="29"/>
              <w:numPr>
                <w:ilvl w:val="0"/>
                <w:numId w:val="4"/>
              </w:numPr>
              <w:bidi w:val="0"/>
              <w:rPr>
                <w:rFonts w:hint="eastAsia" w:ascii="Times New Roman" w:hAnsi="Times New Roman" w:eastAsia="宋体"/>
                <w:b w:val="0"/>
                <w:bCs w:val="0"/>
                <w:color w:val="000000" w:themeColor="text1"/>
                <w:lang w:val="en-US" w:eastAsia="zh-CN"/>
                <w14:textFill>
                  <w14:solidFill>
                    <w14:schemeClr w14:val="tx1"/>
                  </w14:solidFill>
                </w14:textFill>
              </w:rPr>
            </w:pPr>
            <w:r>
              <w:rPr>
                <w:rFonts w:hint="eastAsia" w:ascii="Times New Roman" w:hAnsi="Times New Roman" w:eastAsia="宋体"/>
                <w:b w:val="0"/>
                <w:bCs w:val="0"/>
                <w:color w:val="000000" w:themeColor="text1"/>
                <w:lang w:val="en-US" w:eastAsia="zh-CN"/>
                <w14:textFill>
                  <w14:solidFill>
                    <w14:schemeClr w14:val="tx1"/>
                  </w14:solidFill>
                </w14:textFill>
              </w:rPr>
              <w:t>平面布置</w:t>
            </w:r>
          </w:p>
          <w:p w14:paraId="12570C69">
            <w:pPr>
              <w:keepNext w:val="0"/>
              <w:keepLines w:val="0"/>
              <w:pageBreakBefore w:val="0"/>
              <w:widowControl w:val="0"/>
              <w:kinsoku/>
              <w:wordWrap/>
              <w:overflowPunct/>
              <w:topLinePunct w:val="0"/>
              <w:autoSpaceDE/>
              <w:autoSpaceDN/>
              <w:bidi w:val="0"/>
              <w:adjustRightInd/>
              <w:snapToGrid/>
              <w:spacing w:line="460" w:lineRule="exact"/>
              <w:ind w:firstLine="480"/>
              <w:textAlignment w:val="auto"/>
              <w:rPr>
                <w:rFonts w:hint="default"/>
                <w:color w:val="000000"/>
                <w:sz w:val="24"/>
                <w:szCs w:val="24"/>
                <w:lang w:val="en-US" w:eastAsia="zh-CN"/>
              </w:rPr>
            </w:pPr>
            <w:r>
              <w:rPr>
                <w:rFonts w:hint="eastAsia"/>
                <w:color w:val="000000"/>
                <w:sz w:val="24"/>
                <w:szCs w:val="24"/>
                <w:lang w:eastAsia="zh-CN"/>
              </w:rPr>
              <w:t>本项目共涉及</w:t>
            </w:r>
            <w:r>
              <w:rPr>
                <w:rFonts w:hint="eastAsia"/>
                <w:color w:val="000000"/>
                <w:sz w:val="24"/>
                <w:szCs w:val="24"/>
                <w:lang w:val="en-US" w:eastAsia="zh-CN"/>
              </w:rPr>
              <w:t>2层，其中装卸区位于1F，贮存设施及办公区位于3F，装卸区以及贮存设施之间设置专用电梯进行货物运输。</w:t>
            </w:r>
          </w:p>
          <w:p w14:paraId="340B6BB0">
            <w:pPr>
              <w:keepNext w:val="0"/>
              <w:keepLines w:val="0"/>
              <w:pageBreakBefore w:val="0"/>
              <w:widowControl w:val="0"/>
              <w:kinsoku/>
              <w:wordWrap/>
              <w:overflowPunct/>
              <w:topLinePunct w:val="0"/>
              <w:autoSpaceDE/>
              <w:autoSpaceDN/>
              <w:bidi w:val="0"/>
              <w:adjustRightInd/>
              <w:snapToGrid/>
              <w:spacing w:line="460" w:lineRule="exact"/>
              <w:ind w:firstLine="480"/>
              <w:textAlignment w:val="auto"/>
              <w:rPr>
                <w:rFonts w:hint="default" w:eastAsia="宋体"/>
                <w:color w:val="000000"/>
                <w:sz w:val="24"/>
                <w:szCs w:val="24"/>
                <w:lang w:val="en-US" w:eastAsia="zh-CN"/>
              </w:rPr>
            </w:pPr>
            <w:r>
              <w:rPr>
                <w:rFonts w:hint="eastAsia"/>
                <w:color w:val="000000"/>
                <w:sz w:val="24"/>
                <w:szCs w:val="24"/>
                <w:lang w:eastAsia="zh-CN"/>
              </w:rPr>
              <w:t>贮存设施由贮存一区、贮存二区组成，贮存一区位于贮存设施西北侧，贮存二区位于贮存设施东南侧。专用电梯位于贮存二区东北侧，与贮存一区、贮存二区紧邻。办公区位于贮存设施南侧，设置危废贮存点、应急物资储存室、包装材料仓库、办公室。贮存设施四周建设挡水线形成围堰区，贮存一区东侧以及贮存二区南侧围堰设置落水管（内径</w:t>
            </w:r>
            <w:r>
              <w:rPr>
                <w:rFonts w:hint="eastAsia"/>
                <w:color w:val="000000"/>
                <w:sz w:val="24"/>
                <w:szCs w:val="24"/>
                <w:lang w:val="en-US" w:eastAsia="zh-CN"/>
              </w:rPr>
              <w:t>300mm</w:t>
            </w:r>
            <w:r>
              <w:rPr>
                <w:rFonts w:hint="eastAsia"/>
                <w:color w:val="000000"/>
                <w:sz w:val="24"/>
                <w:szCs w:val="24"/>
                <w:lang w:eastAsia="zh-CN"/>
              </w:rPr>
              <w:t>）与</w:t>
            </w:r>
            <w:r>
              <w:rPr>
                <w:rFonts w:hint="eastAsia"/>
                <w:color w:val="000000"/>
                <w:sz w:val="24"/>
                <w:szCs w:val="24"/>
                <w:lang w:val="en-US" w:eastAsia="zh-CN"/>
              </w:rPr>
              <w:t>1F设置的</w:t>
            </w:r>
            <w:r>
              <w:rPr>
                <w:rFonts w:hint="eastAsia"/>
                <w:color w:val="000000"/>
                <w:sz w:val="24"/>
                <w:szCs w:val="24"/>
                <w:lang w:eastAsia="zh-CN"/>
              </w:rPr>
              <w:t>截流沟</w:t>
            </w:r>
            <w:r>
              <w:rPr>
                <w:rFonts w:hint="eastAsia"/>
                <w:color w:val="000000"/>
                <w:sz w:val="24"/>
                <w:szCs w:val="24"/>
                <w:lang w:val="en-US" w:eastAsia="zh-CN"/>
              </w:rPr>
              <w:t>15</w:t>
            </w:r>
            <w:r>
              <w:rPr>
                <w:rFonts w:hint="eastAsia"/>
                <w:color w:val="000000"/>
                <w:sz w:val="24"/>
                <w:szCs w:val="24"/>
              </w:rPr>
              <w:t>0mm×</w:t>
            </w:r>
            <w:r>
              <w:rPr>
                <w:rFonts w:hint="eastAsia"/>
                <w:color w:val="000000"/>
                <w:sz w:val="24"/>
                <w:szCs w:val="24"/>
                <w:lang w:val="en-US" w:eastAsia="zh-CN"/>
              </w:rPr>
              <w:t>15</w:t>
            </w:r>
            <w:r>
              <w:rPr>
                <w:rFonts w:hint="eastAsia"/>
                <w:color w:val="000000"/>
                <w:sz w:val="24"/>
                <w:szCs w:val="24"/>
              </w:rPr>
              <w:t>0mm</w:t>
            </w:r>
            <w:r>
              <w:rPr>
                <w:rFonts w:hint="eastAsia"/>
                <w:color w:val="000000"/>
                <w:sz w:val="24"/>
                <w:szCs w:val="24"/>
                <w:lang w:eastAsia="zh-CN"/>
              </w:rPr>
              <w:t>连通，截流沟与事故应急池连通。办公区位于贮存设施同层的西南侧；装卸区位于贮存设施楼下（</w:t>
            </w:r>
            <w:r>
              <w:rPr>
                <w:rFonts w:hint="eastAsia"/>
                <w:color w:val="000000"/>
                <w:sz w:val="24"/>
                <w:szCs w:val="24"/>
                <w:lang w:val="en-US" w:eastAsia="zh-CN"/>
              </w:rPr>
              <w:t>1F</w:t>
            </w:r>
            <w:r>
              <w:rPr>
                <w:rFonts w:hint="eastAsia"/>
                <w:color w:val="000000"/>
                <w:sz w:val="24"/>
                <w:szCs w:val="24"/>
                <w:lang w:eastAsia="zh-CN"/>
              </w:rPr>
              <w:t>）</w:t>
            </w:r>
            <w:r>
              <w:rPr>
                <w:rFonts w:hint="eastAsia"/>
                <w:color w:val="000000"/>
                <w:sz w:val="24"/>
                <w:szCs w:val="24"/>
                <w:lang w:val="en-US" w:eastAsia="zh-CN"/>
              </w:rPr>
              <w:t>的东南侧，贮存设施四周建设截排水沟并与事故应急池连通。事故应急池设置在装卸区东南侧花坛内，生化池设置在装卸区西南侧花坛内；喷淋塔设置在楼顶（H=13.5m）。装卸区处设置视频监控，贮存设施设置视频监控，视频监控连接于办公区，便于对贮存设施的监管。</w:t>
            </w:r>
          </w:p>
          <w:p w14:paraId="4926F8FC">
            <w:pPr>
              <w:keepNext w:val="0"/>
              <w:keepLines w:val="0"/>
              <w:pageBreakBefore w:val="0"/>
              <w:widowControl w:val="0"/>
              <w:kinsoku/>
              <w:wordWrap/>
              <w:overflowPunct/>
              <w:topLinePunct w:val="0"/>
              <w:autoSpaceDE/>
              <w:autoSpaceDN/>
              <w:bidi w:val="0"/>
              <w:adjustRightInd/>
              <w:snapToGrid/>
              <w:spacing w:line="460" w:lineRule="exact"/>
              <w:ind w:firstLine="480"/>
              <w:textAlignment w:val="auto"/>
              <w:rPr>
                <w:rFonts w:hint="eastAsia"/>
                <w:color w:val="000000"/>
                <w:sz w:val="24"/>
                <w:szCs w:val="24"/>
                <w:lang w:eastAsia="zh-CN"/>
              </w:rPr>
            </w:pPr>
            <w:r>
              <w:rPr>
                <w:rFonts w:hint="eastAsia"/>
                <w:color w:val="000000"/>
                <w:sz w:val="24"/>
                <w:szCs w:val="24"/>
                <w:lang w:eastAsia="zh-CN"/>
              </w:rPr>
              <w:t>本项目与园区道路相连，交通运输方便快捷，平面布置合理。</w:t>
            </w:r>
          </w:p>
          <w:p w14:paraId="60EB50DE">
            <w:pPr>
              <w:pStyle w:val="29"/>
              <w:numPr>
                <w:ilvl w:val="0"/>
                <w:numId w:val="0"/>
              </w:numPr>
              <w:bidi w:val="0"/>
              <w:ind w:firstLine="480" w:firstLineChars="200"/>
              <w:rPr>
                <w:rFonts w:hint="default" w:ascii="Times New Roman" w:hAnsi="Times New Roman" w:eastAsia="宋体"/>
                <w:b w:val="0"/>
                <w:bCs w:val="0"/>
                <w:color w:val="000000" w:themeColor="text1"/>
                <w:lang w:val="en-US" w:eastAsia="zh-CN"/>
                <w14:textFill>
                  <w14:solidFill>
                    <w14:schemeClr w14:val="tx1"/>
                  </w14:solidFill>
                </w14:textFill>
              </w:rPr>
            </w:pPr>
            <w:r>
              <w:rPr>
                <w:rFonts w:hint="default" w:ascii="Times New Roman" w:hAnsi="Times New Roman" w:eastAsia="宋体"/>
                <w:b w:val="0"/>
                <w:bCs w:val="0"/>
                <w:color w:val="000000" w:themeColor="text1"/>
                <w:lang w:val="en-US" w:eastAsia="zh-CN"/>
                <w14:textFill>
                  <w14:solidFill>
                    <w14:schemeClr w14:val="tx1"/>
                  </w14:solidFill>
                </w14:textFill>
              </w:rPr>
              <w:t>2.1.2 项目建设内容</w:t>
            </w:r>
          </w:p>
          <w:p w14:paraId="17B761A3">
            <w:pPr>
              <w:pStyle w:val="29"/>
              <w:ind w:left="0" w:leftChars="0" w:firstLine="480" w:firstLineChars="200"/>
              <w:rPr>
                <w:b w:val="0"/>
                <w:bCs w:val="0"/>
                <w:color w:val="000000" w:themeColor="text1"/>
                <w14:textFill>
                  <w14:solidFill>
                    <w14:schemeClr w14:val="tx1"/>
                  </w14:solidFill>
                </w14:textFill>
              </w:rPr>
            </w:pPr>
            <w:r>
              <w:rPr>
                <w:b w:val="0"/>
                <w:bCs w:val="0"/>
                <w:color w:val="000000" w:themeColor="text1"/>
                <w14:textFill>
                  <w14:solidFill>
                    <w14:schemeClr w14:val="tx1"/>
                  </w14:solidFill>
                </w14:textFill>
              </w:rPr>
              <w:t>项目主要建设内容如下：</w:t>
            </w:r>
          </w:p>
          <w:p w14:paraId="676A13AB">
            <w:pPr>
              <w:pStyle w:val="31"/>
              <w:rPr>
                <w:color w:val="000000" w:themeColor="text1"/>
                <w14:textFill>
                  <w14:solidFill>
                    <w14:schemeClr w14:val="tx1"/>
                  </w14:solidFill>
                </w14:textFill>
              </w:rPr>
            </w:pPr>
            <w:r>
              <w:rPr>
                <w:color w:val="000000" w:themeColor="text1"/>
                <w14:textFill>
                  <w14:solidFill>
                    <w14:schemeClr w14:val="tx1"/>
                  </w14:solidFill>
                </w14:textFill>
              </w:rPr>
              <w:t>项目内容一览表</w:t>
            </w:r>
          </w:p>
          <w:tbl>
            <w:tblPr>
              <w:tblStyle w:val="23"/>
              <w:tblW w:w="4998"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89"/>
              <w:gridCol w:w="891"/>
              <w:gridCol w:w="5997"/>
              <w:gridCol w:w="989"/>
              <w:gridCol w:w="989"/>
            </w:tblGrid>
            <w:tr w14:paraId="139719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8" w:hRule="atLeast"/>
                <w:jc w:val="center"/>
              </w:trPr>
              <w:tc>
                <w:tcPr>
                  <w:tcW w:w="361" w:type="pct"/>
                  <w:tcBorders>
                    <w:tl2br w:val="nil"/>
                    <w:tr2bl w:val="nil"/>
                  </w:tcBorders>
                  <w:noWrap w:val="0"/>
                  <w:vAlign w:val="center"/>
                </w:tcPr>
                <w:p w14:paraId="640D5273">
                  <w:pPr>
                    <w:spacing w:line="240" w:lineRule="auto"/>
                    <w:ind w:firstLine="0" w:firstLineChars="0"/>
                    <w:jc w:val="center"/>
                    <w:rPr>
                      <w:color w:val="000000"/>
                      <w:sz w:val="21"/>
                      <w:szCs w:val="21"/>
                    </w:rPr>
                  </w:pPr>
                  <w:r>
                    <w:rPr>
                      <w:color w:val="000000"/>
                      <w:sz w:val="21"/>
                      <w:szCs w:val="21"/>
                    </w:rPr>
                    <w:t>名称</w:t>
                  </w:r>
                </w:p>
              </w:tc>
              <w:tc>
                <w:tcPr>
                  <w:tcW w:w="466" w:type="pct"/>
                  <w:tcBorders>
                    <w:tl2br w:val="nil"/>
                    <w:tr2bl w:val="nil"/>
                  </w:tcBorders>
                  <w:noWrap w:val="0"/>
                  <w:vAlign w:val="center"/>
                </w:tcPr>
                <w:p w14:paraId="4148A080">
                  <w:pPr>
                    <w:spacing w:line="240" w:lineRule="auto"/>
                    <w:ind w:firstLine="0" w:firstLineChars="0"/>
                    <w:jc w:val="center"/>
                    <w:rPr>
                      <w:color w:val="000000"/>
                      <w:sz w:val="21"/>
                      <w:szCs w:val="21"/>
                    </w:rPr>
                  </w:pPr>
                  <w:r>
                    <w:rPr>
                      <w:color w:val="000000"/>
                      <w:sz w:val="21"/>
                      <w:szCs w:val="21"/>
                    </w:rPr>
                    <w:t>项目</w:t>
                  </w:r>
                </w:p>
              </w:tc>
              <w:tc>
                <w:tcPr>
                  <w:tcW w:w="3136" w:type="pct"/>
                  <w:tcBorders>
                    <w:tl2br w:val="nil"/>
                    <w:tr2bl w:val="nil"/>
                  </w:tcBorders>
                  <w:noWrap w:val="0"/>
                  <w:vAlign w:val="center"/>
                </w:tcPr>
                <w:p w14:paraId="20564A54">
                  <w:pPr>
                    <w:spacing w:line="240" w:lineRule="auto"/>
                    <w:ind w:firstLine="0" w:firstLineChars="0"/>
                    <w:jc w:val="center"/>
                    <w:rPr>
                      <w:color w:val="000000"/>
                      <w:sz w:val="21"/>
                      <w:szCs w:val="21"/>
                    </w:rPr>
                  </w:pPr>
                  <w:r>
                    <w:rPr>
                      <w:color w:val="000000"/>
                      <w:sz w:val="21"/>
                      <w:szCs w:val="21"/>
                    </w:rPr>
                    <w:t>规模</w:t>
                  </w:r>
                </w:p>
              </w:tc>
              <w:tc>
                <w:tcPr>
                  <w:tcW w:w="517" w:type="pct"/>
                  <w:tcBorders>
                    <w:tl2br w:val="nil"/>
                    <w:tr2bl w:val="nil"/>
                  </w:tcBorders>
                  <w:noWrap w:val="0"/>
                  <w:vAlign w:val="center"/>
                </w:tcPr>
                <w:p w14:paraId="2691403C">
                  <w:pPr>
                    <w:spacing w:line="240" w:lineRule="auto"/>
                    <w:ind w:firstLine="0" w:firstLineChars="0"/>
                    <w:jc w:val="center"/>
                    <w:rPr>
                      <w:color w:val="000000"/>
                      <w:sz w:val="21"/>
                      <w:szCs w:val="21"/>
                    </w:rPr>
                  </w:pPr>
                  <w:r>
                    <w:rPr>
                      <w:rFonts w:hint="eastAsia"/>
                      <w:color w:val="000000"/>
                      <w:sz w:val="21"/>
                      <w:szCs w:val="21"/>
                    </w:rPr>
                    <w:t>备注</w:t>
                  </w:r>
                </w:p>
              </w:tc>
              <w:tc>
                <w:tcPr>
                  <w:tcW w:w="517" w:type="pct"/>
                  <w:tcBorders>
                    <w:tl2br w:val="nil"/>
                    <w:tr2bl w:val="nil"/>
                  </w:tcBorders>
                  <w:noWrap w:val="0"/>
                  <w:vAlign w:val="center"/>
                </w:tcPr>
                <w:p w14:paraId="5CAC87CE">
                  <w:pPr>
                    <w:spacing w:line="240" w:lineRule="auto"/>
                    <w:ind w:firstLine="0" w:firstLineChars="0"/>
                    <w:jc w:val="center"/>
                    <w:rPr>
                      <w:rFonts w:hint="default" w:eastAsiaTheme="minorEastAsia"/>
                      <w:color w:val="000000"/>
                      <w:sz w:val="21"/>
                      <w:szCs w:val="21"/>
                      <w:lang w:val="en-US" w:eastAsia="zh-CN"/>
                    </w:rPr>
                  </w:pPr>
                  <w:r>
                    <w:rPr>
                      <w:rFonts w:hint="eastAsia"/>
                      <w:color w:val="000000"/>
                      <w:sz w:val="21"/>
                      <w:szCs w:val="21"/>
                      <w:lang w:val="en-US" w:eastAsia="zh-CN"/>
                    </w:rPr>
                    <w:t>与环评对比</w:t>
                  </w:r>
                </w:p>
              </w:tc>
            </w:tr>
            <w:tr w14:paraId="7F4234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56" w:hRule="atLeast"/>
                <w:jc w:val="center"/>
              </w:trPr>
              <w:tc>
                <w:tcPr>
                  <w:tcW w:w="361" w:type="pct"/>
                  <w:vMerge w:val="restart"/>
                  <w:tcBorders>
                    <w:tl2br w:val="nil"/>
                    <w:tr2bl w:val="nil"/>
                  </w:tcBorders>
                  <w:noWrap w:val="0"/>
                  <w:vAlign w:val="center"/>
                </w:tcPr>
                <w:p w14:paraId="1DD3A7BC">
                  <w:pPr>
                    <w:spacing w:line="240" w:lineRule="auto"/>
                    <w:ind w:firstLine="0" w:firstLineChars="0"/>
                    <w:jc w:val="center"/>
                    <w:rPr>
                      <w:color w:val="000000"/>
                      <w:sz w:val="21"/>
                      <w:szCs w:val="21"/>
                    </w:rPr>
                  </w:pPr>
                  <w:r>
                    <w:rPr>
                      <w:color w:val="000000"/>
                      <w:sz w:val="21"/>
                      <w:szCs w:val="21"/>
                    </w:rPr>
                    <w:t>主体</w:t>
                  </w:r>
                </w:p>
                <w:p w14:paraId="1EE408E6">
                  <w:pPr>
                    <w:spacing w:line="240" w:lineRule="auto"/>
                    <w:ind w:firstLine="0" w:firstLineChars="0"/>
                    <w:jc w:val="center"/>
                    <w:rPr>
                      <w:color w:val="000000"/>
                      <w:sz w:val="21"/>
                      <w:szCs w:val="21"/>
                    </w:rPr>
                  </w:pPr>
                  <w:r>
                    <w:rPr>
                      <w:color w:val="000000"/>
                      <w:sz w:val="21"/>
                      <w:szCs w:val="21"/>
                    </w:rPr>
                    <w:t>工程</w:t>
                  </w:r>
                </w:p>
              </w:tc>
              <w:tc>
                <w:tcPr>
                  <w:tcW w:w="466" w:type="pct"/>
                  <w:tcBorders>
                    <w:tl2br w:val="nil"/>
                    <w:tr2bl w:val="nil"/>
                  </w:tcBorders>
                  <w:noWrap w:val="0"/>
                  <w:vAlign w:val="center"/>
                </w:tcPr>
                <w:p w14:paraId="1940EF13">
                  <w:pPr>
                    <w:spacing w:line="240" w:lineRule="auto"/>
                    <w:ind w:firstLine="0" w:firstLineChars="0"/>
                    <w:jc w:val="center"/>
                    <w:rPr>
                      <w:rFonts w:hint="default" w:eastAsia="宋体"/>
                      <w:color w:val="000000"/>
                      <w:sz w:val="21"/>
                      <w:szCs w:val="21"/>
                      <w:lang w:val="en-US" w:eastAsia="zh-CN"/>
                    </w:rPr>
                  </w:pPr>
                  <w:r>
                    <w:rPr>
                      <w:rFonts w:hint="eastAsia"/>
                      <w:color w:val="000000"/>
                      <w:sz w:val="21"/>
                      <w:szCs w:val="21"/>
                      <w:lang w:val="en-US" w:eastAsia="zh-CN"/>
                    </w:rPr>
                    <w:t>贮存一区</w:t>
                  </w:r>
                </w:p>
              </w:tc>
              <w:tc>
                <w:tcPr>
                  <w:tcW w:w="3136" w:type="pct"/>
                  <w:tcBorders>
                    <w:tl2br w:val="nil"/>
                    <w:tr2bl w:val="nil"/>
                  </w:tcBorders>
                  <w:noWrap w:val="0"/>
                  <w:vAlign w:val="center"/>
                </w:tcPr>
                <w:p w14:paraId="529EBBE3">
                  <w:pPr>
                    <w:spacing w:line="240" w:lineRule="auto"/>
                    <w:ind w:firstLine="0" w:firstLineChars="0"/>
                    <w:jc w:val="both"/>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位于厂房3F，为不规则的矩形区域，面积</w:t>
                  </w:r>
                  <w:r>
                    <w:rPr>
                      <w:rFonts w:hint="eastAsia" w:ascii="Times New Roman" w:hAnsi="Times New Roman" w:cs="Times New Roman"/>
                      <w:color w:val="000000"/>
                      <w:sz w:val="21"/>
                      <w:szCs w:val="21"/>
                      <w:lang w:val="en-US" w:eastAsia="zh-CN"/>
                    </w:rPr>
                    <w:t>514.8</w:t>
                  </w:r>
                  <w:r>
                    <w:rPr>
                      <w:rFonts w:hint="default" w:ascii="Times New Roman" w:hAnsi="Times New Roman" w:cs="Times New Roman"/>
                      <w:color w:val="000000"/>
                      <w:sz w:val="21"/>
                      <w:szCs w:val="21"/>
                      <w:lang w:val="en-US" w:eastAsia="zh-CN"/>
                    </w:rPr>
                    <w:t>m</w:t>
                  </w:r>
                  <w:r>
                    <w:rPr>
                      <w:rFonts w:hint="default" w:ascii="Times New Roman" w:hAnsi="Times New Roman" w:cs="Times New Roman"/>
                      <w:color w:val="000000"/>
                      <w:sz w:val="21"/>
                      <w:szCs w:val="21"/>
                      <w:vertAlign w:val="superscript"/>
                      <w:lang w:val="en-US" w:eastAsia="zh-CN"/>
                    </w:rPr>
                    <w:t>2</w:t>
                  </w:r>
                  <w:r>
                    <w:rPr>
                      <w:rFonts w:hint="default" w:ascii="Times New Roman" w:hAnsi="Times New Roman" w:cs="Times New Roman"/>
                      <w:color w:val="000000"/>
                      <w:sz w:val="21"/>
                      <w:szCs w:val="21"/>
                      <w:lang w:val="en-US" w:eastAsia="zh-CN"/>
                    </w:rPr>
                    <w:t>，主要贮存HW31废铅蓄电池。贮存区建设0.1m高挡水线形成一个围堰区，</w:t>
                  </w:r>
                  <w:r>
                    <w:rPr>
                      <w:rFonts w:hint="eastAsia" w:cs="Times New Roman"/>
                      <w:color w:val="000000"/>
                      <w:sz w:val="21"/>
                      <w:szCs w:val="21"/>
                      <w:lang w:val="en-US" w:eastAsia="zh-CN"/>
                    </w:rPr>
                    <w:t>围堰东侧建设落水管与1F</w:t>
                  </w:r>
                  <w:r>
                    <w:rPr>
                      <w:rFonts w:hint="default" w:ascii="Times New Roman" w:hAnsi="Times New Roman" w:cs="Times New Roman"/>
                      <w:color w:val="000000"/>
                      <w:sz w:val="21"/>
                      <w:szCs w:val="21"/>
                      <w:lang w:val="en-US" w:eastAsia="zh-CN"/>
                    </w:rPr>
                    <w:t>截流沟</w:t>
                  </w:r>
                  <w:r>
                    <w:rPr>
                      <w:rFonts w:hint="eastAsia" w:cs="Times New Roman"/>
                      <w:color w:val="000000"/>
                      <w:sz w:val="21"/>
                      <w:szCs w:val="21"/>
                      <w:lang w:val="en-US" w:eastAsia="zh-CN"/>
                    </w:rPr>
                    <w:t>、</w:t>
                  </w:r>
                  <w:r>
                    <w:rPr>
                      <w:rFonts w:hint="default" w:ascii="Times New Roman" w:hAnsi="Times New Roman" w:cs="Times New Roman"/>
                      <w:color w:val="000000"/>
                      <w:sz w:val="21"/>
                      <w:szCs w:val="21"/>
                      <w:lang w:val="en-US" w:eastAsia="zh-CN"/>
                    </w:rPr>
                    <w:t>事故应急池连通。</w:t>
                  </w:r>
                  <w:r>
                    <w:rPr>
                      <w:rFonts w:hint="default" w:ascii="Times New Roman" w:hAnsi="Times New Roman" w:cs="Times New Roman"/>
                      <w:color w:val="000000"/>
                      <w:sz w:val="21"/>
                      <w:szCs w:val="21"/>
                      <w:lang w:eastAsia="zh-CN"/>
                    </w:rPr>
                    <w:t>贮存区地面及裙角（</w:t>
                  </w:r>
                  <w:r>
                    <w:rPr>
                      <w:rFonts w:hint="default" w:ascii="Times New Roman" w:hAnsi="Times New Roman" w:cs="Times New Roman"/>
                      <w:color w:val="000000"/>
                      <w:sz w:val="21"/>
                      <w:szCs w:val="21"/>
                      <w:lang w:val="en-US" w:eastAsia="zh-CN"/>
                    </w:rPr>
                    <w:t>0.5m高</w:t>
                  </w:r>
                  <w:r>
                    <w:rPr>
                      <w:rFonts w:hint="default" w:ascii="Times New Roman" w:hAnsi="Times New Roman" w:cs="Times New Roman"/>
                      <w:color w:val="000000"/>
                      <w:sz w:val="21"/>
                      <w:szCs w:val="21"/>
                      <w:lang w:eastAsia="zh-CN"/>
                    </w:rPr>
                    <w:t>）、截流沟、挡水线、事故应急池进行重点防渗。</w:t>
                  </w:r>
                </w:p>
              </w:tc>
              <w:tc>
                <w:tcPr>
                  <w:tcW w:w="517" w:type="pct"/>
                  <w:vMerge w:val="restart"/>
                  <w:tcBorders>
                    <w:tl2br w:val="nil"/>
                    <w:tr2bl w:val="nil"/>
                  </w:tcBorders>
                  <w:noWrap w:val="0"/>
                  <w:vAlign w:val="center"/>
                </w:tcPr>
                <w:p w14:paraId="06A1CC80">
                  <w:pPr>
                    <w:spacing w:line="240" w:lineRule="auto"/>
                    <w:ind w:firstLine="0" w:firstLineChars="0"/>
                    <w:jc w:val="center"/>
                    <w:rPr>
                      <w:rFonts w:hint="eastAsia" w:eastAsia="宋体"/>
                      <w:color w:val="000000"/>
                      <w:sz w:val="21"/>
                      <w:szCs w:val="21"/>
                      <w:lang w:eastAsia="zh-CN"/>
                    </w:rPr>
                  </w:pPr>
                  <w:r>
                    <w:rPr>
                      <w:rFonts w:hint="eastAsia"/>
                      <w:color w:val="000000"/>
                      <w:sz w:val="21"/>
                      <w:szCs w:val="21"/>
                      <w:lang w:eastAsia="zh-CN"/>
                    </w:rPr>
                    <w:t>厂房依托，设施新建</w:t>
                  </w:r>
                </w:p>
              </w:tc>
              <w:tc>
                <w:tcPr>
                  <w:tcW w:w="517" w:type="pct"/>
                  <w:tcBorders>
                    <w:tl2br w:val="nil"/>
                    <w:tr2bl w:val="nil"/>
                  </w:tcBorders>
                  <w:noWrap w:val="0"/>
                  <w:vAlign w:val="center"/>
                </w:tcPr>
                <w:p w14:paraId="2A681BF9">
                  <w:pPr>
                    <w:spacing w:line="240" w:lineRule="auto"/>
                    <w:ind w:firstLine="0" w:firstLineChars="0"/>
                    <w:jc w:val="center"/>
                    <w:rPr>
                      <w:rFonts w:hint="default"/>
                      <w:color w:val="000000"/>
                      <w:sz w:val="21"/>
                      <w:szCs w:val="21"/>
                      <w:lang w:val="en-US" w:eastAsia="zh-CN"/>
                    </w:rPr>
                  </w:pPr>
                  <w:r>
                    <w:rPr>
                      <w:rFonts w:hint="eastAsia"/>
                      <w:color w:val="000000"/>
                      <w:sz w:val="21"/>
                      <w:szCs w:val="21"/>
                      <w:lang w:val="en-US" w:eastAsia="zh-CN"/>
                    </w:rPr>
                    <w:t>无变动</w:t>
                  </w:r>
                </w:p>
              </w:tc>
            </w:tr>
            <w:tr w14:paraId="75F518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73" w:hRule="atLeast"/>
                <w:jc w:val="center"/>
              </w:trPr>
              <w:tc>
                <w:tcPr>
                  <w:tcW w:w="361" w:type="pct"/>
                  <w:vMerge w:val="continue"/>
                  <w:tcBorders>
                    <w:tl2br w:val="nil"/>
                    <w:tr2bl w:val="nil"/>
                  </w:tcBorders>
                  <w:noWrap w:val="0"/>
                  <w:vAlign w:val="center"/>
                </w:tcPr>
                <w:p w14:paraId="3323F603">
                  <w:pPr>
                    <w:spacing w:line="240" w:lineRule="auto"/>
                    <w:ind w:firstLine="0" w:firstLineChars="0"/>
                    <w:jc w:val="center"/>
                    <w:rPr>
                      <w:color w:val="000000"/>
                      <w:sz w:val="21"/>
                      <w:szCs w:val="21"/>
                    </w:rPr>
                  </w:pPr>
                </w:p>
              </w:tc>
              <w:tc>
                <w:tcPr>
                  <w:tcW w:w="466" w:type="pct"/>
                  <w:tcBorders>
                    <w:tl2br w:val="nil"/>
                    <w:tr2bl w:val="nil"/>
                  </w:tcBorders>
                  <w:noWrap w:val="0"/>
                  <w:vAlign w:val="center"/>
                </w:tcPr>
                <w:p w14:paraId="4EA38D84">
                  <w:pPr>
                    <w:spacing w:line="240" w:lineRule="auto"/>
                    <w:ind w:firstLine="0" w:firstLineChars="0"/>
                    <w:jc w:val="center"/>
                    <w:rPr>
                      <w:rFonts w:hint="eastAsia"/>
                      <w:color w:val="000000"/>
                      <w:sz w:val="21"/>
                      <w:szCs w:val="21"/>
                      <w:lang w:val="en-US" w:eastAsia="zh-CN"/>
                    </w:rPr>
                  </w:pPr>
                  <w:r>
                    <w:rPr>
                      <w:rFonts w:hint="eastAsia"/>
                      <w:color w:val="000000"/>
                      <w:sz w:val="21"/>
                      <w:szCs w:val="21"/>
                      <w:lang w:val="en-US" w:eastAsia="zh-CN"/>
                    </w:rPr>
                    <w:t>贮存二区</w:t>
                  </w:r>
                </w:p>
              </w:tc>
              <w:tc>
                <w:tcPr>
                  <w:tcW w:w="3136" w:type="pct"/>
                  <w:tcBorders>
                    <w:tl2br w:val="nil"/>
                    <w:tr2bl w:val="nil"/>
                  </w:tcBorders>
                  <w:noWrap w:val="0"/>
                  <w:vAlign w:val="center"/>
                </w:tcPr>
                <w:p w14:paraId="089EC400">
                  <w:pPr>
                    <w:pStyle w:val="51"/>
                    <w:jc w:val="both"/>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位于厂房3F，为长4.2m宽3.85m的类矩形密闭室（独立），面积16.17m</w:t>
                  </w:r>
                  <w:r>
                    <w:rPr>
                      <w:rFonts w:hint="default" w:ascii="Times New Roman" w:hAnsi="Times New Roman" w:cs="Times New Roman"/>
                      <w:color w:val="000000"/>
                      <w:sz w:val="21"/>
                      <w:szCs w:val="21"/>
                      <w:vertAlign w:val="superscript"/>
                      <w:lang w:val="en-US" w:eastAsia="zh-CN"/>
                    </w:rPr>
                    <w:t>2</w:t>
                  </w:r>
                  <w:r>
                    <w:rPr>
                      <w:rFonts w:hint="default" w:ascii="Times New Roman" w:hAnsi="Times New Roman" w:cs="Times New Roman"/>
                      <w:color w:val="000000"/>
                      <w:sz w:val="21"/>
                      <w:szCs w:val="21"/>
                      <w:lang w:val="en-US" w:eastAsia="zh-CN"/>
                    </w:rPr>
                    <w:t>，主要贮存HW31废铅蓄电池（破损后重新包装）。贮存区建设0.1m高挡水线形成一个围堰区</w:t>
                  </w:r>
                  <w:r>
                    <w:rPr>
                      <w:rFonts w:hint="eastAsia" w:ascii="Times New Roman" w:cs="Times New Roman"/>
                      <w:color w:val="000000"/>
                      <w:sz w:val="21"/>
                      <w:szCs w:val="21"/>
                      <w:lang w:val="en-US" w:eastAsia="zh-CN"/>
                    </w:rPr>
                    <w:t>，围堰南侧</w:t>
                  </w:r>
                  <w:r>
                    <w:rPr>
                      <w:rFonts w:hint="default" w:ascii="Times New Roman" w:hAnsi="Times New Roman" w:cs="Times New Roman"/>
                      <w:color w:val="000000"/>
                      <w:sz w:val="21"/>
                      <w:szCs w:val="21"/>
                      <w:lang w:val="en-US" w:eastAsia="zh-CN"/>
                    </w:rPr>
                    <w:t>建设</w:t>
                  </w:r>
                  <w:r>
                    <w:rPr>
                      <w:rFonts w:hint="eastAsia" w:ascii="Times New Roman" w:cs="Times New Roman"/>
                      <w:color w:val="000000"/>
                      <w:sz w:val="21"/>
                      <w:szCs w:val="21"/>
                      <w:lang w:val="en-US" w:eastAsia="zh-CN"/>
                    </w:rPr>
                    <w:t>落水管与1F的</w:t>
                  </w:r>
                  <w:r>
                    <w:rPr>
                      <w:rFonts w:hint="default" w:ascii="Times New Roman" w:hAnsi="Times New Roman" w:cs="Times New Roman"/>
                      <w:color w:val="000000"/>
                      <w:sz w:val="21"/>
                      <w:szCs w:val="21"/>
                      <w:lang w:val="en-US" w:eastAsia="zh-CN"/>
                    </w:rPr>
                    <w:t>截流沟</w:t>
                  </w:r>
                  <w:r>
                    <w:rPr>
                      <w:rFonts w:hint="eastAsia" w:ascii="Times New Roman" w:cs="Times New Roman"/>
                      <w:color w:val="000000"/>
                      <w:sz w:val="21"/>
                      <w:szCs w:val="21"/>
                      <w:lang w:val="en-US" w:eastAsia="zh-CN"/>
                    </w:rPr>
                    <w:t>、</w:t>
                  </w:r>
                  <w:r>
                    <w:rPr>
                      <w:rFonts w:hint="default" w:ascii="Times New Roman" w:hAnsi="Times New Roman" w:cs="Times New Roman"/>
                      <w:color w:val="000000"/>
                      <w:sz w:val="21"/>
                      <w:szCs w:val="21"/>
                      <w:lang w:val="en-US" w:eastAsia="zh-CN"/>
                    </w:rPr>
                    <w:t>事故应急池连通。贮存2区内贮存危险废物均设置在托盘内贮存。</w:t>
                  </w:r>
                  <w:r>
                    <w:rPr>
                      <w:rFonts w:hint="default" w:ascii="Times New Roman" w:hAnsi="Times New Roman" w:cs="Times New Roman"/>
                      <w:color w:val="000000"/>
                      <w:sz w:val="21"/>
                      <w:szCs w:val="21"/>
                      <w:lang w:eastAsia="zh-CN"/>
                    </w:rPr>
                    <w:t>贮存区地面及裙角（</w:t>
                  </w:r>
                  <w:r>
                    <w:rPr>
                      <w:rFonts w:hint="default" w:ascii="Times New Roman" w:hAnsi="Times New Roman" w:cs="Times New Roman"/>
                      <w:color w:val="000000"/>
                      <w:sz w:val="21"/>
                      <w:szCs w:val="21"/>
                      <w:lang w:val="en-US" w:eastAsia="zh-CN"/>
                    </w:rPr>
                    <w:t>0.5m高</w:t>
                  </w:r>
                  <w:r>
                    <w:rPr>
                      <w:rFonts w:hint="default" w:ascii="Times New Roman" w:hAnsi="Times New Roman" w:cs="Times New Roman"/>
                      <w:color w:val="000000"/>
                      <w:sz w:val="21"/>
                      <w:szCs w:val="21"/>
                      <w:lang w:eastAsia="zh-CN"/>
                    </w:rPr>
                    <w:t>）、截流沟、挡水线、事故应急池进行重点防渗。</w:t>
                  </w:r>
                </w:p>
              </w:tc>
              <w:tc>
                <w:tcPr>
                  <w:tcW w:w="517" w:type="pct"/>
                  <w:vMerge w:val="continue"/>
                  <w:tcBorders>
                    <w:tl2br w:val="nil"/>
                    <w:tr2bl w:val="nil"/>
                  </w:tcBorders>
                  <w:noWrap w:val="0"/>
                  <w:vAlign w:val="center"/>
                </w:tcPr>
                <w:p w14:paraId="2B6E8354">
                  <w:pPr>
                    <w:spacing w:line="240" w:lineRule="auto"/>
                    <w:ind w:firstLine="0" w:firstLineChars="0"/>
                    <w:jc w:val="center"/>
                    <w:rPr>
                      <w:rFonts w:hint="eastAsia"/>
                      <w:color w:val="000000"/>
                      <w:sz w:val="21"/>
                      <w:szCs w:val="21"/>
                      <w:lang w:eastAsia="zh-CN"/>
                    </w:rPr>
                  </w:pPr>
                </w:p>
              </w:tc>
              <w:tc>
                <w:tcPr>
                  <w:tcW w:w="517" w:type="pct"/>
                  <w:tcBorders>
                    <w:tl2br w:val="nil"/>
                    <w:tr2bl w:val="nil"/>
                  </w:tcBorders>
                  <w:noWrap w:val="0"/>
                  <w:vAlign w:val="center"/>
                </w:tcPr>
                <w:p w14:paraId="7A7E8E07">
                  <w:pPr>
                    <w:spacing w:line="240" w:lineRule="auto"/>
                    <w:ind w:firstLine="0" w:firstLineChars="0"/>
                    <w:jc w:val="center"/>
                    <w:rPr>
                      <w:rFonts w:hint="eastAsia"/>
                      <w:color w:val="000000"/>
                      <w:sz w:val="21"/>
                      <w:szCs w:val="21"/>
                      <w:lang w:eastAsia="zh-CN"/>
                    </w:rPr>
                  </w:pPr>
                  <w:r>
                    <w:rPr>
                      <w:rFonts w:hint="eastAsia"/>
                      <w:color w:val="000000"/>
                      <w:sz w:val="21"/>
                      <w:szCs w:val="21"/>
                      <w:lang w:val="en-US" w:eastAsia="zh-CN"/>
                    </w:rPr>
                    <w:t>无变动</w:t>
                  </w:r>
                </w:p>
              </w:tc>
            </w:tr>
            <w:tr w14:paraId="6DC9AB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361" w:type="pct"/>
                  <w:vMerge w:val="restart"/>
                  <w:tcBorders>
                    <w:tl2br w:val="nil"/>
                    <w:tr2bl w:val="nil"/>
                  </w:tcBorders>
                  <w:noWrap w:val="0"/>
                  <w:vAlign w:val="center"/>
                </w:tcPr>
                <w:p w14:paraId="2DBFA3D8">
                  <w:pPr>
                    <w:spacing w:line="240" w:lineRule="auto"/>
                    <w:ind w:firstLine="0" w:firstLineChars="0"/>
                    <w:jc w:val="center"/>
                    <w:rPr>
                      <w:rFonts w:hint="eastAsia" w:eastAsia="宋体"/>
                      <w:color w:val="000000"/>
                      <w:sz w:val="21"/>
                      <w:szCs w:val="21"/>
                      <w:lang w:eastAsia="zh-CN"/>
                    </w:rPr>
                  </w:pPr>
                  <w:r>
                    <w:rPr>
                      <w:rFonts w:hint="eastAsia"/>
                      <w:color w:val="000000"/>
                      <w:sz w:val="21"/>
                      <w:szCs w:val="21"/>
                      <w:lang w:eastAsia="zh-CN"/>
                    </w:rPr>
                    <w:t>辅助工程</w:t>
                  </w:r>
                </w:p>
              </w:tc>
              <w:tc>
                <w:tcPr>
                  <w:tcW w:w="466" w:type="pct"/>
                  <w:tcBorders>
                    <w:tl2br w:val="nil"/>
                    <w:tr2bl w:val="nil"/>
                  </w:tcBorders>
                  <w:noWrap w:val="0"/>
                  <w:vAlign w:val="center"/>
                </w:tcPr>
                <w:p w14:paraId="05E5B4BC">
                  <w:pPr>
                    <w:spacing w:line="240" w:lineRule="auto"/>
                    <w:ind w:firstLine="0" w:firstLineChars="0"/>
                    <w:jc w:val="center"/>
                    <w:rPr>
                      <w:rFonts w:hint="eastAsia" w:ascii="Times New Roman" w:hAnsi="Times New Roman" w:eastAsia="宋体" w:cs="Times New Roman"/>
                      <w:color w:val="000000"/>
                      <w:kern w:val="2"/>
                      <w:sz w:val="21"/>
                      <w:szCs w:val="21"/>
                      <w:lang w:val="en-US" w:eastAsia="zh-CN" w:bidi="ar-SA"/>
                    </w:rPr>
                  </w:pPr>
                  <w:r>
                    <w:rPr>
                      <w:rFonts w:hint="eastAsia"/>
                      <w:color w:val="000000"/>
                      <w:sz w:val="21"/>
                      <w:szCs w:val="21"/>
                    </w:rPr>
                    <w:t>办公</w:t>
                  </w:r>
                  <w:r>
                    <w:rPr>
                      <w:rFonts w:hint="eastAsia"/>
                      <w:color w:val="000000"/>
                      <w:sz w:val="21"/>
                      <w:szCs w:val="21"/>
                      <w:lang w:eastAsia="zh-CN"/>
                    </w:rPr>
                    <w:t>区</w:t>
                  </w:r>
                </w:p>
              </w:tc>
              <w:tc>
                <w:tcPr>
                  <w:tcW w:w="3136" w:type="pct"/>
                  <w:tcBorders>
                    <w:tl2br w:val="nil"/>
                    <w:tr2bl w:val="nil"/>
                  </w:tcBorders>
                  <w:noWrap w:val="0"/>
                  <w:vAlign w:val="center"/>
                </w:tcPr>
                <w:p w14:paraId="7CEBD1E7">
                  <w:pPr>
                    <w:spacing w:line="240" w:lineRule="auto"/>
                    <w:ind w:firstLine="0" w:firstLineChars="0"/>
                    <w:rPr>
                      <w:rFonts w:hint="default" w:ascii="Times New Roman" w:hAnsi="Times New Roman" w:eastAsia="宋体" w:cs="Times New Roman"/>
                      <w:color w:val="000000"/>
                      <w:kern w:val="2"/>
                      <w:sz w:val="21"/>
                      <w:szCs w:val="21"/>
                      <w:lang w:val="en-US" w:eastAsia="zh-CN" w:bidi="ar-SA"/>
                    </w:rPr>
                  </w:pPr>
                  <w:r>
                    <w:rPr>
                      <w:rFonts w:hint="eastAsia" w:ascii="Times New Roman" w:cs="Times New Roman"/>
                      <w:color w:val="000000"/>
                      <w:sz w:val="21"/>
                      <w:szCs w:val="21"/>
                      <w:lang w:val="en-US" w:eastAsia="zh-CN"/>
                    </w:rPr>
                    <w:t>位于厂房3F，</w:t>
                  </w:r>
                  <w:r>
                    <w:rPr>
                      <w:rFonts w:hint="eastAsia"/>
                      <w:color w:val="000000"/>
                      <w:sz w:val="21"/>
                      <w:szCs w:val="21"/>
                      <w:lang w:eastAsia="zh-CN"/>
                    </w:rPr>
                    <w:t>贮存设施西南侧，建筑面积约</w:t>
                  </w:r>
                  <w:r>
                    <w:rPr>
                      <w:rFonts w:hint="eastAsia"/>
                      <w:color w:val="000000"/>
                      <w:sz w:val="21"/>
                      <w:szCs w:val="21"/>
                      <w:lang w:val="en-US" w:eastAsia="zh-CN"/>
                    </w:rPr>
                    <w:t>42.7m</w:t>
                  </w:r>
                  <w:r>
                    <w:rPr>
                      <w:rFonts w:hint="eastAsia"/>
                      <w:color w:val="000000"/>
                      <w:sz w:val="21"/>
                      <w:szCs w:val="21"/>
                      <w:vertAlign w:val="superscript"/>
                      <w:lang w:val="en-US" w:eastAsia="zh-CN"/>
                    </w:rPr>
                    <w:t>2</w:t>
                  </w:r>
                  <w:r>
                    <w:rPr>
                      <w:rFonts w:hint="eastAsia"/>
                      <w:color w:val="000000"/>
                      <w:sz w:val="21"/>
                      <w:szCs w:val="21"/>
                      <w:lang w:val="en-US" w:eastAsia="zh-CN"/>
                    </w:rPr>
                    <w:t>，设置应急物资储存室、包装材料仓库、办公室、危废贮存点等。</w:t>
                  </w:r>
                </w:p>
              </w:tc>
              <w:tc>
                <w:tcPr>
                  <w:tcW w:w="517" w:type="pct"/>
                  <w:vMerge w:val="restart"/>
                  <w:tcBorders>
                    <w:tl2br w:val="nil"/>
                    <w:tr2bl w:val="nil"/>
                  </w:tcBorders>
                  <w:noWrap w:val="0"/>
                  <w:vAlign w:val="center"/>
                </w:tcPr>
                <w:p w14:paraId="481C37AB">
                  <w:pPr>
                    <w:spacing w:line="240" w:lineRule="auto"/>
                    <w:ind w:firstLine="0" w:firstLineChars="0"/>
                    <w:jc w:val="center"/>
                    <w:rPr>
                      <w:rFonts w:hint="eastAsia"/>
                      <w:color w:val="000000"/>
                      <w:sz w:val="21"/>
                      <w:szCs w:val="21"/>
                    </w:rPr>
                  </w:pPr>
                  <w:r>
                    <w:rPr>
                      <w:rFonts w:hint="eastAsia"/>
                      <w:color w:val="000000"/>
                      <w:sz w:val="21"/>
                      <w:szCs w:val="21"/>
                    </w:rPr>
                    <w:t>厂房租用</w:t>
                  </w:r>
                  <w:r>
                    <w:rPr>
                      <w:rFonts w:hint="eastAsia"/>
                      <w:color w:val="000000"/>
                      <w:sz w:val="21"/>
                      <w:szCs w:val="21"/>
                      <w:lang w:eastAsia="zh-CN"/>
                    </w:rPr>
                    <w:t>，设施新建</w:t>
                  </w:r>
                </w:p>
              </w:tc>
              <w:tc>
                <w:tcPr>
                  <w:tcW w:w="517" w:type="pct"/>
                  <w:tcBorders>
                    <w:tl2br w:val="nil"/>
                    <w:tr2bl w:val="nil"/>
                  </w:tcBorders>
                  <w:noWrap w:val="0"/>
                  <w:vAlign w:val="center"/>
                </w:tcPr>
                <w:p w14:paraId="6CC18ED7">
                  <w:pPr>
                    <w:spacing w:line="240" w:lineRule="auto"/>
                    <w:ind w:firstLine="0" w:firstLineChars="0"/>
                    <w:jc w:val="center"/>
                    <w:rPr>
                      <w:rFonts w:hint="eastAsia"/>
                      <w:color w:val="000000"/>
                      <w:sz w:val="21"/>
                      <w:szCs w:val="21"/>
                    </w:rPr>
                  </w:pPr>
                  <w:r>
                    <w:rPr>
                      <w:rFonts w:hint="eastAsia"/>
                      <w:color w:val="000000"/>
                      <w:sz w:val="21"/>
                      <w:szCs w:val="21"/>
                      <w:lang w:val="en-US" w:eastAsia="zh-CN"/>
                    </w:rPr>
                    <w:t>无变动</w:t>
                  </w:r>
                </w:p>
              </w:tc>
            </w:tr>
            <w:tr w14:paraId="0B4220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361" w:type="pct"/>
                  <w:vMerge w:val="continue"/>
                  <w:tcBorders>
                    <w:tl2br w:val="nil"/>
                    <w:tr2bl w:val="nil"/>
                  </w:tcBorders>
                  <w:noWrap w:val="0"/>
                  <w:vAlign w:val="center"/>
                </w:tcPr>
                <w:p w14:paraId="5CE98519">
                  <w:pPr>
                    <w:spacing w:line="240" w:lineRule="auto"/>
                    <w:ind w:firstLine="0" w:firstLineChars="0"/>
                    <w:jc w:val="center"/>
                    <w:rPr>
                      <w:rFonts w:hint="eastAsia"/>
                      <w:color w:val="000000"/>
                      <w:sz w:val="21"/>
                      <w:szCs w:val="21"/>
                      <w:lang w:eastAsia="zh-CN"/>
                    </w:rPr>
                  </w:pPr>
                </w:p>
              </w:tc>
              <w:tc>
                <w:tcPr>
                  <w:tcW w:w="466" w:type="pct"/>
                  <w:tcBorders>
                    <w:tl2br w:val="nil"/>
                    <w:tr2bl w:val="nil"/>
                  </w:tcBorders>
                  <w:noWrap w:val="0"/>
                  <w:vAlign w:val="center"/>
                </w:tcPr>
                <w:p w14:paraId="740193A5">
                  <w:pPr>
                    <w:spacing w:line="240" w:lineRule="auto"/>
                    <w:ind w:firstLine="0" w:firstLineChars="0"/>
                    <w:jc w:val="center"/>
                    <w:rPr>
                      <w:rFonts w:hint="eastAsia"/>
                      <w:color w:val="000000"/>
                      <w:sz w:val="21"/>
                      <w:szCs w:val="21"/>
                      <w:lang w:eastAsia="zh-CN"/>
                    </w:rPr>
                  </w:pPr>
                  <w:r>
                    <w:rPr>
                      <w:rFonts w:hint="eastAsia"/>
                      <w:color w:val="000000"/>
                      <w:sz w:val="21"/>
                      <w:szCs w:val="21"/>
                      <w:lang w:eastAsia="zh-CN"/>
                    </w:rPr>
                    <w:t>专用</w:t>
                  </w:r>
                </w:p>
                <w:p w14:paraId="0873CA2D">
                  <w:pPr>
                    <w:spacing w:line="240" w:lineRule="auto"/>
                    <w:ind w:firstLine="0" w:firstLineChars="0"/>
                    <w:jc w:val="center"/>
                    <w:rPr>
                      <w:rFonts w:hint="eastAsia" w:ascii="Times New Roman" w:hAnsi="Times New Roman" w:eastAsia="宋体" w:cs="Times New Roman"/>
                      <w:color w:val="000000"/>
                      <w:kern w:val="2"/>
                      <w:sz w:val="21"/>
                      <w:szCs w:val="21"/>
                      <w:lang w:val="en-US" w:eastAsia="zh-CN" w:bidi="ar-SA"/>
                    </w:rPr>
                  </w:pPr>
                  <w:r>
                    <w:rPr>
                      <w:rFonts w:hint="eastAsia"/>
                      <w:color w:val="000000"/>
                      <w:sz w:val="21"/>
                      <w:szCs w:val="21"/>
                      <w:lang w:eastAsia="zh-CN"/>
                    </w:rPr>
                    <w:t>电梯</w:t>
                  </w:r>
                </w:p>
              </w:tc>
              <w:tc>
                <w:tcPr>
                  <w:tcW w:w="3136" w:type="pct"/>
                  <w:tcBorders>
                    <w:tl2br w:val="nil"/>
                    <w:tr2bl w:val="nil"/>
                  </w:tcBorders>
                  <w:noWrap w:val="0"/>
                  <w:vAlign w:val="center"/>
                </w:tcPr>
                <w:p w14:paraId="7F56040B">
                  <w:pPr>
                    <w:spacing w:line="240" w:lineRule="auto"/>
                    <w:ind w:firstLine="0" w:firstLineChars="0"/>
                    <w:rPr>
                      <w:rFonts w:hint="eastAsia" w:ascii="Times New Roman" w:hAnsi="Times New Roman" w:eastAsia="宋体" w:cs="Times New Roman"/>
                      <w:color w:val="000000"/>
                      <w:kern w:val="2"/>
                      <w:sz w:val="21"/>
                      <w:szCs w:val="21"/>
                      <w:lang w:val="en-US" w:eastAsia="zh-CN" w:bidi="ar-SA"/>
                    </w:rPr>
                  </w:pPr>
                  <w:r>
                    <w:rPr>
                      <w:rFonts w:hint="eastAsia"/>
                      <w:color w:val="000000"/>
                      <w:sz w:val="21"/>
                      <w:szCs w:val="21"/>
                      <w:lang w:eastAsia="zh-CN"/>
                    </w:rPr>
                    <w:t>位于贮存设施内</w:t>
                  </w:r>
                  <w:r>
                    <w:rPr>
                      <w:rFonts w:hint="eastAsia"/>
                      <w:color w:val="000000"/>
                      <w:sz w:val="21"/>
                      <w:szCs w:val="21"/>
                      <w:lang w:val="en-US" w:eastAsia="zh-CN"/>
                    </w:rPr>
                    <w:t>西南侧，专用于本项目危险废物从1F装卸区与3F贮存设施之间运输</w:t>
                  </w:r>
                  <w:r>
                    <w:rPr>
                      <w:rFonts w:hint="eastAsia"/>
                      <w:color w:val="000000"/>
                      <w:sz w:val="21"/>
                      <w:szCs w:val="21"/>
                      <w:lang w:eastAsia="zh-CN"/>
                    </w:rPr>
                    <w:t>。</w:t>
                  </w:r>
                </w:p>
              </w:tc>
              <w:tc>
                <w:tcPr>
                  <w:tcW w:w="517" w:type="pct"/>
                  <w:vMerge w:val="continue"/>
                  <w:tcBorders>
                    <w:tl2br w:val="nil"/>
                    <w:tr2bl w:val="nil"/>
                  </w:tcBorders>
                  <w:noWrap w:val="0"/>
                  <w:vAlign w:val="center"/>
                </w:tcPr>
                <w:p w14:paraId="1C97B967">
                  <w:pPr>
                    <w:spacing w:line="240" w:lineRule="auto"/>
                    <w:ind w:firstLine="0" w:firstLineChars="0"/>
                    <w:jc w:val="center"/>
                    <w:rPr>
                      <w:rFonts w:hint="eastAsia"/>
                      <w:color w:val="000000"/>
                      <w:sz w:val="21"/>
                      <w:szCs w:val="21"/>
                    </w:rPr>
                  </w:pPr>
                </w:p>
              </w:tc>
              <w:tc>
                <w:tcPr>
                  <w:tcW w:w="517" w:type="pct"/>
                  <w:tcBorders>
                    <w:tl2br w:val="nil"/>
                    <w:tr2bl w:val="nil"/>
                  </w:tcBorders>
                  <w:noWrap w:val="0"/>
                  <w:vAlign w:val="center"/>
                </w:tcPr>
                <w:p w14:paraId="0D6B6D05">
                  <w:pPr>
                    <w:spacing w:line="240" w:lineRule="auto"/>
                    <w:ind w:firstLine="0" w:firstLineChars="0"/>
                    <w:jc w:val="center"/>
                    <w:rPr>
                      <w:rFonts w:hint="eastAsia"/>
                      <w:color w:val="000000"/>
                      <w:sz w:val="21"/>
                      <w:szCs w:val="21"/>
                    </w:rPr>
                  </w:pPr>
                  <w:r>
                    <w:rPr>
                      <w:rFonts w:hint="eastAsia"/>
                      <w:color w:val="000000"/>
                      <w:sz w:val="21"/>
                      <w:szCs w:val="21"/>
                      <w:lang w:val="en-US" w:eastAsia="zh-CN"/>
                    </w:rPr>
                    <w:t>无变动</w:t>
                  </w:r>
                </w:p>
              </w:tc>
            </w:tr>
            <w:tr w14:paraId="5285BE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361" w:type="pct"/>
                  <w:vMerge w:val="continue"/>
                  <w:tcBorders>
                    <w:tl2br w:val="nil"/>
                    <w:tr2bl w:val="nil"/>
                  </w:tcBorders>
                  <w:noWrap w:val="0"/>
                  <w:vAlign w:val="center"/>
                </w:tcPr>
                <w:p w14:paraId="1178D892">
                  <w:pPr>
                    <w:spacing w:line="240" w:lineRule="auto"/>
                    <w:ind w:firstLine="0" w:firstLineChars="0"/>
                    <w:jc w:val="center"/>
                    <w:rPr>
                      <w:rFonts w:hint="eastAsia"/>
                      <w:color w:val="000000"/>
                      <w:sz w:val="21"/>
                      <w:szCs w:val="21"/>
                      <w:lang w:eastAsia="zh-CN"/>
                    </w:rPr>
                  </w:pPr>
                </w:p>
              </w:tc>
              <w:tc>
                <w:tcPr>
                  <w:tcW w:w="466" w:type="pct"/>
                  <w:tcBorders>
                    <w:tl2br w:val="nil"/>
                    <w:tr2bl w:val="nil"/>
                  </w:tcBorders>
                  <w:noWrap w:val="0"/>
                  <w:vAlign w:val="center"/>
                </w:tcPr>
                <w:p w14:paraId="231F4836">
                  <w:pPr>
                    <w:spacing w:line="240" w:lineRule="auto"/>
                    <w:ind w:firstLine="0" w:firstLineChars="0"/>
                    <w:jc w:val="center"/>
                    <w:rPr>
                      <w:rFonts w:hint="eastAsia" w:ascii="Times New Roman" w:hAnsi="Times New Roman" w:eastAsia="宋体" w:cs="Times New Roman"/>
                      <w:color w:val="000000"/>
                      <w:kern w:val="2"/>
                      <w:sz w:val="21"/>
                      <w:szCs w:val="21"/>
                      <w:lang w:val="en-US" w:eastAsia="zh-CN" w:bidi="ar-SA"/>
                    </w:rPr>
                  </w:pPr>
                  <w:r>
                    <w:rPr>
                      <w:rFonts w:hint="eastAsia"/>
                      <w:color w:val="000000"/>
                      <w:sz w:val="21"/>
                      <w:szCs w:val="21"/>
                      <w:lang w:eastAsia="zh-CN"/>
                    </w:rPr>
                    <w:t>装卸区</w:t>
                  </w:r>
                </w:p>
              </w:tc>
              <w:tc>
                <w:tcPr>
                  <w:tcW w:w="3136" w:type="pct"/>
                  <w:tcBorders>
                    <w:tl2br w:val="nil"/>
                    <w:tr2bl w:val="nil"/>
                  </w:tcBorders>
                  <w:noWrap w:val="0"/>
                  <w:vAlign w:val="center"/>
                </w:tcPr>
                <w:p w14:paraId="302C084F">
                  <w:pPr>
                    <w:spacing w:line="240" w:lineRule="auto"/>
                    <w:ind w:firstLine="0" w:firstLineChars="0"/>
                    <w:rPr>
                      <w:rFonts w:hint="eastAsia" w:ascii="Times New Roman" w:hAnsi="Times New Roman" w:eastAsia="宋体" w:cs="Times New Roman"/>
                      <w:color w:val="000000"/>
                      <w:kern w:val="2"/>
                      <w:sz w:val="21"/>
                      <w:szCs w:val="21"/>
                      <w:lang w:val="en-US" w:eastAsia="zh-CN" w:bidi="ar-SA"/>
                    </w:rPr>
                  </w:pPr>
                  <w:r>
                    <w:rPr>
                      <w:rFonts w:hint="eastAsia" w:ascii="Times New Roman" w:cs="Times New Roman"/>
                      <w:color w:val="000000"/>
                      <w:sz w:val="21"/>
                      <w:szCs w:val="21"/>
                      <w:lang w:val="en-US" w:eastAsia="zh-CN"/>
                    </w:rPr>
                    <w:t>位于厂房</w:t>
                  </w:r>
                  <w:r>
                    <w:rPr>
                      <w:rFonts w:hint="eastAsia" w:cs="Times New Roman"/>
                      <w:color w:val="000000"/>
                      <w:sz w:val="21"/>
                      <w:szCs w:val="21"/>
                      <w:lang w:val="en-US" w:eastAsia="zh-CN"/>
                    </w:rPr>
                    <w:t>外东南侧（1F），专用电梯口处。顶部搭建彩钢棚防雨，占地面积约10m</w:t>
                  </w:r>
                  <w:r>
                    <w:rPr>
                      <w:rFonts w:hint="eastAsia" w:cs="Times New Roman"/>
                      <w:color w:val="000000"/>
                      <w:sz w:val="21"/>
                      <w:szCs w:val="21"/>
                      <w:vertAlign w:val="superscript"/>
                      <w:lang w:val="en-US" w:eastAsia="zh-CN"/>
                    </w:rPr>
                    <w:t>2</w:t>
                  </w:r>
                  <w:r>
                    <w:rPr>
                      <w:rFonts w:hint="eastAsia" w:cs="Times New Roman"/>
                      <w:color w:val="000000"/>
                      <w:sz w:val="21"/>
                      <w:szCs w:val="21"/>
                      <w:lang w:val="en-US" w:eastAsia="zh-CN"/>
                    </w:rPr>
                    <w:t>。装卸区四周建设截流沟与事故应急池连通，</w:t>
                  </w:r>
                  <w:r>
                    <w:rPr>
                      <w:rFonts w:hint="eastAsia"/>
                      <w:color w:val="000000"/>
                      <w:sz w:val="21"/>
                      <w:szCs w:val="21"/>
                      <w:lang w:val="en-US" w:eastAsia="zh-CN"/>
                    </w:rPr>
                    <w:t>装卸区贮存区地面进行重点防渗，防渗层</w:t>
                  </w:r>
                  <w:r>
                    <w:rPr>
                      <w:rFonts w:hint="eastAsia" w:cs="Times New Roman"/>
                      <w:color w:val="000000"/>
                      <w:sz w:val="21"/>
                      <w:szCs w:val="21"/>
                      <w:lang w:eastAsia="zh-CN"/>
                    </w:rPr>
                    <w:t>为</w:t>
                  </w:r>
                  <w:r>
                    <w:rPr>
                      <w:rFonts w:hint="default" w:ascii="Times New Roman" w:hAnsi="Times New Roman" w:cs="Times New Roman"/>
                      <w:color w:val="000000"/>
                      <w:sz w:val="21"/>
                      <w:szCs w:val="21"/>
                      <w:lang w:eastAsia="zh-CN"/>
                    </w:rPr>
                    <w:t>“黏土</w:t>
                  </w:r>
                  <w:r>
                    <w:rPr>
                      <w:rFonts w:hint="default" w:ascii="Times New Roman" w:hAnsi="Times New Roman" w:cs="Times New Roman"/>
                      <w:color w:val="000000"/>
                      <w:sz w:val="21"/>
                      <w:szCs w:val="21"/>
                      <w:lang w:val="en-US" w:eastAsia="zh-CN"/>
                    </w:rPr>
                    <w:t>+20cm抗渗混凝土+2mm厚HDPE土工膜+7cm抗渗混凝土</w:t>
                  </w:r>
                  <w:r>
                    <w:rPr>
                      <w:rFonts w:hint="default" w:ascii="Times New Roman" w:hAnsi="Times New Roman" w:cs="Times New Roman"/>
                      <w:color w:val="000000"/>
                      <w:sz w:val="21"/>
                      <w:szCs w:val="21"/>
                      <w:lang w:eastAsia="zh-CN"/>
                    </w:rPr>
                    <w:t>”</w:t>
                  </w:r>
                  <w:r>
                    <w:rPr>
                      <w:rFonts w:hint="eastAsia" w:cs="Times New Roman"/>
                      <w:b w:val="0"/>
                      <w:bCs w:val="0"/>
                      <w:color w:val="000000"/>
                      <w:sz w:val="21"/>
                      <w:szCs w:val="21"/>
                      <w:vertAlign w:val="baseline"/>
                      <w:lang w:eastAsia="zh-CN"/>
                    </w:rPr>
                    <w:t>。</w:t>
                  </w:r>
                </w:p>
              </w:tc>
              <w:tc>
                <w:tcPr>
                  <w:tcW w:w="517" w:type="pct"/>
                  <w:tcBorders>
                    <w:tl2br w:val="nil"/>
                    <w:tr2bl w:val="nil"/>
                  </w:tcBorders>
                  <w:noWrap w:val="0"/>
                  <w:vAlign w:val="center"/>
                </w:tcPr>
                <w:p w14:paraId="27B243B9">
                  <w:pPr>
                    <w:spacing w:line="240" w:lineRule="auto"/>
                    <w:ind w:firstLine="0" w:firstLineChars="0"/>
                    <w:jc w:val="center"/>
                    <w:rPr>
                      <w:rFonts w:hint="eastAsia" w:eastAsia="宋体"/>
                      <w:color w:val="000000"/>
                      <w:sz w:val="21"/>
                      <w:szCs w:val="21"/>
                      <w:lang w:eastAsia="zh-CN"/>
                    </w:rPr>
                  </w:pPr>
                  <w:r>
                    <w:rPr>
                      <w:rFonts w:hint="eastAsia"/>
                      <w:color w:val="000000"/>
                      <w:sz w:val="21"/>
                      <w:szCs w:val="21"/>
                      <w:lang w:eastAsia="zh-CN"/>
                    </w:rPr>
                    <w:t>新建</w:t>
                  </w:r>
                </w:p>
              </w:tc>
              <w:tc>
                <w:tcPr>
                  <w:tcW w:w="517" w:type="pct"/>
                  <w:tcBorders>
                    <w:tl2br w:val="nil"/>
                    <w:tr2bl w:val="nil"/>
                  </w:tcBorders>
                  <w:noWrap w:val="0"/>
                  <w:vAlign w:val="center"/>
                </w:tcPr>
                <w:p w14:paraId="70126DE0">
                  <w:pPr>
                    <w:spacing w:line="240" w:lineRule="auto"/>
                    <w:ind w:firstLine="0" w:firstLineChars="0"/>
                    <w:jc w:val="center"/>
                    <w:rPr>
                      <w:rFonts w:hint="eastAsia"/>
                      <w:color w:val="000000"/>
                      <w:sz w:val="21"/>
                      <w:szCs w:val="21"/>
                      <w:lang w:eastAsia="zh-CN"/>
                    </w:rPr>
                  </w:pPr>
                  <w:r>
                    <w:rPr>
                      <w:rFonts w:hint="eastAsia"/>
                      <w:color w:val="000000"/>
                      <w:sz w:val="21"/>
                      <w:szCs w:val="21"/>
                      <w:lang w:val="en-US" w:eastAsia="zh-CN"/>
                    </w:rPr>
                    <w:t>无变动</w:t>
                  </w:r>
                </w:p>
              </w:tc>
            </w:tr>
            <w:tr w14:paraId="027FC1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9" w:hRule="atLeast"/>
                <w:jc w:val="center"/>
              </w:trPr>
              <w:tc>
                <w:tcPr>
                  <w:tcW w:w="361" w:type="pct"/>
                  <w:vMerge w:val="continue"/>
                  <w:tcBorders>
                    <w:tl2br w:val="nil"/>
                    <w:tr2bl w:val="nil"/>
                  </w:tcBorders>
                  <w:noWrap w:val="0"/>
                  <w:vAlign w:val="center"/>
                </w:tcPr>
                <w:p w14:paraId="688680B4">
                  <w:pPr>
                    <w:spacing w:line="240" w:lineRule="auto"/>
                    <w:ind w:firstLine="0" w:firstLineChars="0"/>
                    <w:jc w:val="center"/>
                    <w:rPr>
                      <w:rFonts w:hint="eastAsia"/>
                      <w:color w:val="000000"/>
                      <w:sz w:val="21"/>
                      <w:szCs w:val="21"/>
                      <w:lang w:eastAsia="zh-CN"/>
                    </w:rPr>
                  </w:pPr>
                </w:p>
              </w:tc>
              <w:tc>
                <w:tcPr>
                  <w:tcW w:w="466" w:type="pct"/>
                  <w:tcBorders>
                    <w:tl2br w:val="nil"/>
                    <w:tr2bl w:val="nil"/>
                  </w:tcBorders>
                  <w:noWrap w:val="0"/>
                  <w:vAlign w:val="center"/>
                </w:tcPr>
                <w:p w14:paraId="463C72F3">
                  <w:pPr>
                    <w:spacing w:line="240" w:lineRule="auto"/>
                    <w:ind w:firstLine="0" w:firstLineChars="0"/>
                    <w:jc w:val="center"/>
                    <w:rPr>
                      <w:rFonts w:hint="eastAsia"/>
                      <w:color w:val="000000"/>
                      <w:sz w:val="21"/>
                      <w:szCs w:val="21"/>
                      <w:lang w:eastAsia="zh-CN"/>
                    </w:rPr>
                  </w:pPr>
                  <w:r>
                    <w:rPr>
                      <w:rFonts w:hint="eastAsia"/>
                      <w:color w:val="000000"/>
                      <w:sz w:val="21"/>
                      <w:szCs w:val="21"/>
                      <w:lang w:eastAsia="zh-CN"/>
                    </w:rPr>
                    <w:t>运输</w:t>
                  </w:r>
                </w:p>
                <w:p w14:paraId="2CF90ED9">
                  <w:pPr>
                    <w:spacing w:line="240" w:lineRule="auto"/>
                    <w:ind w:firstLine="0" w:firstLineChars="0"/>
                    <w:jc w:val="center"/>
                    <w:rPr>
                      <w:rFonts w:hint="eastAsia"/>
                      <w:color w:val="000000"/>
                      <w:sz w:val="21"/>
                      <w:szCs w:val="21"/>
                      <w:lang w:eastAsia="zh-CN"/>
                    </w:rPr>
                  </w:pPr>
                  <w:r>
                    <w:rPr>
                      <w:rFonts w:hint="eastAsia"/>
                      <w:color w:val="000000"/>
                      <w:sz w:val="21"/>
                      <w:szCs w:val="21"/>
                      <w:lang w:eastAsia="zh-CN"/>
                    </w:rPr>
                    <w:t>道路</w:t>
                  </w:r>
                </w:p>
              </w:tc>
              <w:tc>
                <w:tcPr>
                  <w:tcW w:w="3136" w:type="pct"/>
                  <w:tcBorders>
                    <w:tl2br w:val="nil"/>
                    <w:tr2bl w:val="nil"/>
                  </w:tcBorders>
                  <w:noWrap w:val="0"/>
                  <w:vAlign w:val="center"/>
                </w:tcPr>
                <w:p w14:paraId="376BE743">
                  <w:pPr>
                    <w:spacing w:line="240" w:lineRule="auto"/>
                    <w:ind w:firstLine="0" w:firstLineChars="0"/>
                    <w:rPr>
                      <w:rFonts w:hint="default"/>
                      <w:color w:val="000000"/>
                      <w:sz w:val="21"/>
                      <w:szCs w:val="21"/>
                      <w:lang w:val="en-US" w:eastAsia="zh-CN"/>
                    </w:rPr>
                  </w:pPr>
                  <w:r>
                    <w:rPr>
                      <w:rFonts w:hint="eastAsia"/>
                      <w:color w:val="000000"/>
                      <w:sz w:val="21"/>
                      <w:szCs w:val="21"/>
                      <w:lang w:val="en-US" w:eastAsia="zh-CN"/>
                    </w:rPr>
                    <w:t>出入厂区依托现有厂区内道路。卸货区设置在专用电梯口处，不设置运输道路。贮存设施内部运输采用地牛运输</w:t>
                  </w:r>
                  <w:r>
                    <w:rPr>
                      <w:rFonts w:hint="eastAsia"/>
                      <w:color w:val="000000"/>
                      <w:sz w:val="21"/>
                      <w:szCs w:val="21"/>
                      <w:lang w:eastAsia="zh-CN"/>
                    </w:rPr>
                    <w:t>。</w:t>
                  </w:r>
                </w:p>
              </w:tc>
              <w:tc>
                <w:tcPr>
                  <w:tcW w:w="517" w:type="pct"/>
                  <w:tcBorders>
                    <w:tl2br w:val="nil"/>
                    <w:tr2bl w:val="nil"/>
                  </w:tcBorders>
                  <w:noWrap w:val="0"/>
                  <w:vAlign w:val="center"/>
                </w:tcPr>
                <w:p w14:paraId="5C822D83">
                  <w:pPr>
                    <w:spacing w:line="240" w:lineRule="auto"/>
                    <w:ind w:firstLine="0" w:firstLineChars="0"/>
                    <w:jc w:val="center"/>
                    <w:rPr>
                      <w:rFonts w:hint="eastAsia" w:eastAsia="宋体"/>
                      <w:color w:val="000000"/>
                      <w:sz w:val="21"/>
                      <w:szCs w:val="21"/>
                      <w:lang w:eastAsia="zh-CN"/>
                    </w:rPr>
                  </w:pPr>
                  <w:r>
                    <w:rPr>
                      <w:rFonts w:hint="eastAsia"/>
                      <w:color w:val="000000"/>
                      <w:sz w:val="21"/>
                      <w:szCs w:val="21"/>
                      <w:lang w:eastAsia="zh-CN"/>
                    </w:rPr>
                    <w:t>依托</w:t>
                  </w:r>
                </w:p>
              </w:tc>
              <w:tc>
                <w:tcPr>
                  <w:tcW w:w="517" w:type="pct"/>
                  <w:tcBorders>
                    <w:tl2br w:val="nil"/>
                    <w:tr2bl w:val="nil"/>
                  </w:tcBorders>
                  <w:noWrap w:val="0"/>
                  <w:vAlign w:val="center"/>
                </w:tcPr>
                <w:p w14:paraId="7F404D04">
                  <w:pPr>
                    <w:spacing w:line="240" w:lineRule="auto"/>
                    <w:ind w:firstLine="0" w:firstLineChars="0"/>
                    <w:jc w:val="center"/>
                    <w:rPr>
                      <w:rFonts w:hint="eastAsia"/>
                      <w:color w:val="000000"/>
                      <w:sz w:val="21"/>
                      <w:szCs w:val="21"/>
                      <w:lang w:eastAsia="zh-CN"/>
                    </w:rPr>
                  </w:pPr>
                  <w:r>
                    <w:rPr>
                      <w:rFonts w:hint="eastAsia"/>
                      <w:color w:val="000000"/>
                      <w:sz w:val="21"/>
                      <w:szCs w:val="21"/>
                      <w:lang w:val="en-US" w:eastAsia="zh-CN"/>
                    </w:rPr>
                    <w:t>无变动</w:t>
                  </w:r>
                </w:p>
              </w:tc>
            </w:tr>
            <w:tr w14:paraId="277F32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1" w:hRule="atLeast"/>
                <w:jc w:val="center"/>
              </w:trPr>
              <w:tc>
                <w:tcPr>
                  <w:tcW w:w="361" w:type="pct"/>
                  <w:vMerge w:val="restart"/>
                  <w:tcBorders>
                    <w:tl2br w:val="nil"/>
                    <w:tr2bl w:val="nil"/>
                  </w:tcBorders>
                  <w:noWrap w:val="0"/>
                  <w:vAlign w:val="center"/>
                </w:tcPr>
                <w:p w14:paraId="25F94E9B">
                  <w:pPr>
                    <w:spacing w:line="240" w:lineRule="auto"/>
                    <w:ind w:firstLine="0" w:firstLineChars="0"/>
                    <w:jc w:val="center"/>
                    <w:rPr>
                      <w:color w:val="000000"/>
                      <w:sz w:val="21"/>
                      <w:szCs w:val="21"/>
                    </w:rPr>
                  </w:pPr>
                  <w:r>
                    <w:rPr>
                      <w:color w:val="000000"/>
                      <w:sz w:val="21"/>
                      <w:szCs w:val="21"/>
                    </w:rPr>
                    <w:t>公用</w:t>
                  </w:r>
                </w:p>
                <w:p w14:paraId="0189A284">
                  <w:pPr>
                    <w:spacing w:line="240" w:lineRule="auto"/>
                    <w:ind w:firstLine="0" w:firstLineChars="0"/>
                    <w:jc w:val="center"/>
                    <w:rPr>
                      <w:color w:val="000000"/>
                      <w:sz w:val="21"/>
                      <w:szCs w:val="21"/>
                    </w:rPr>
                  </w:pPr>
                  <w:r>
                    <w:rPr>
                      <w:color w:val="000000"/>
                      <w:sz w:val="21"/>
                      <w:szCs w:val="21"/>
                    </w:rPr>
                    <w:t>工程</w:t>
                  </w:r>
                </w:p>
              </w:tc>
              <w:tc>
                <w:tcPr>
                  <w:tcW w:w="466" w:type="pct"/>
                  <w:tcBorders>
                    <w:tl2br w:val="nil"/>
                    <w:tr2bl w:val="nil"/>
                  </w:tcBorders>
                  <w:noWrap w:val="0"/>
                  <w:vAlign w:val="center"/>
                </w:tcPr>
                <w:p w14:paraId="70AE2BD2">
                  <w:pPr>
                    <w:spacing w:line="240" w:lineRule="auto"/>
                    <w:ind w:firstLine="0" w:firstLineChars="0"/>
                    <w:jc w:val="center"/>
                    <w:rPr>
                      <w:color w:val="000000"/>
                      <w:sz w:val="21"/>
                      <w:szCs w:val="21"/>
                    </w:rPr>
                  </w:pPr>
                  <w:r>
                    <w:rPr>
                      <w:color w:val="000000"/>
                      <w:sz w:val="21"/>
                      <w:szCs w:val="21"/>
                    </w:rPr>
                    <w:t>供电</w:t>
                  </w:r>
                </w:p>
              </w:tc>
              <w:tc>
                <w:tcPr>
                  <w:tcW w:w="3136" w:type="pct"/>
                  <w:tcBorders>
                    <w:tl2br w:val="nil"/>
                    <w:tr2bl w:val="nil"/>
                  </w:tcBorders>
                  <w:noWrap w:val="0"/>
                  <w:vAlign w:val="center"/>
                </w:tcPr>
                <w:p w14:paraId="4DB42877">
                  <w:pPr>
                    <w:spacing w:line="240" w:lineRule="auto"/>
                    <w:ind w:firstLine="0" w:firstLineChars="0"/>
                    <w:rPr>
                      <w:rFonts w:hint="eastAsia" w:eastAsia="宋体"/>
                      <w:color w:val="000000"/>
                      <w:sz w:val="21"/>
                      <w:szCs w:val="21"/>
                      <w:lang w:eastAsia="zh-CN"/>
                    </w:rPr>
                  </w:pPr>
                  <w:r>
                    <w:rPr>
                      <w:rFonts w:hint="eastAsia"/>
                      <w:color w:val="000000"/>
                      <w:sz w:val="21"/>
                      <w:szCs w:val="21"/>
                    </w:rPr>
                    <w:t>由</w:t>
                  </w:r>
                  <w:r>
                    <w:rPr>
                      <w:rFonts w:hint="eastAsia"/>
                      <w:color w:val="000000"/>
                      <w:sz w:val="21"/>
                      <w:szCs w:val="21"/>
                      <w:lang w:eastAsia="zh-CN"/>
                    </w:rPr>
                    <w:t>园区供电管网供给。</w:t>
                  </w:r>
                </w:p>
              </w:tc>
              <w:tc>
                <w:tcPr>
                  <w:tcW w:w="517" w:type="pct"/>
                  <w:tcBorders>
                    <w:tl2br w:val="nil"/>
                    <w:tr2bl w:val="nil"/>
                  </w:tcBorders>
                  <w:noWrap w:val="0"/>
                  <w:vAlign w:val="center"/>
                </w:tcPr>
                <w:p w14:paraId="04C1D944">
                  <w:pPr>
                    <w:spacing w:line="240" w:lineRule="auto"/>
                    <w:ind w:firstLine="0" w:firstLineChars="0"/>
                    <w:jc w:val="center"/>
                    <w:rPr>
                      <w:color w:val="000000"/>
                      <w:sz w:val="21"/>
                      <w:szCs w:val="21"/>
                    </w:rPr>
                  </w:pPr>
                  <w:r>
                    <w:rPr>
                      <w:rFonts w:hint="eastAsia"/>
                      <w:color w:val="000000"/>
                      <w:sz w:val="21"/>
                      <w:szCs w:val="21"/>
                    </w:rPr>
                    <w:t>依托</w:t>
                  </w:r>
                </w:p>
              </w:tc>
              <w:tc>
                <w:tcPr>
                  <w:tcW w:w="517" w:type="pct"/>
                  <w:tcBorders>
                    <w:tl2br w:val="nil"/>
                    <w:tr2bl w:val="nil"/>
                  </w:tcBorders>
                  <w:noWrap w:val="0"/>
                  <w:vAlign w:val="center"/>
                </w:tcPr>
                <w:p w14:paraId="2E76B790">
                  <w:pPr>
                    <w:spacing w:line="240" w:lineRule="auto"/>
                    <w:ind w:firstLine="0" w:firstLineChars="0"/>
                    <w:jc w:val="center"/>
                    <w:rPr>
                      <w:rFonts w:hint="eastAsia"/>
                      <w:color w:val="000000"/>
                      <w:sz w:val="21"/>
                      <w:szCs w:val="21"/>
                    </w:rPr>
                  </w:pPr>
                  <w:r>
                    <w:rPr>
                      <w:rFonts w:hint="eastAsia"/>
                      <w:color w:val="000000"/>
                      <w:sz w:val="21"/>
                      <w:szCs w:val="21"/>
                      <w:lang w:val="en-US" w:eastAsia="zh-CN"/>
                    </w:rPr>
                    <w:t>无变动</w:t>
                  </w:r>
                </w:p>
              </w:tc>
            </w:tr>
            <w:tr w14:paraId="036115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8" w:hRule="atLeast"/>
                <w:jc w:val="center"/>
              </w:trPr>
              <w:tc>
                <w:tcPr>
                  <w:tcW w:w="361" w:type="pct"/>
                  <w:vMerge w:val="continue"/>
                  <w:tcBorders>
                    <w:tl2br w:val="nil"/>
                    <w:tr2bl w:val="nil"/>
                  </w:tcBorders>
                  <w:noWrap w:val="0"/>
                  <w:vAlign w:val="center"/>
                </w:tcPr>
                <w:p w14:paraId="1F590B75">
                  <w:pPr>
                    <w:spacing w:line="240" w:lineRule="auto"/>
                    <w:ind w:firstLine="0" w:firstLineChars="0"/>
                    <w:jc w:val="center"/>
                    <w:rPr>
                      <w:color w:val="000000"/>
                      <w:sz w:val="21"/>
                      <w:szCs w:val="21"/>
                    </w:rPr>
                  </w:pPr>
                </w:p>
              </w:tc>
              <w:tc>
                <w:tcPr>
                  <w:tcW w:w="466" w:type="pct"/>
                  <w:tcBorders>
                    <w:tl2br w:val="nil"/>
                    <w:tr2bl w:val="nil"/>
                  </w:tcBorders>
                  <w:noWrap w:val="0"/>
                  <w:vAlign w:val="center"/>
                </w:tcPr>
                <w:p w14:paraId="19AB9BF0">
                  <w:pPr>
                    <w:spacing w:line="240" w:lineRule="auto"/>
                    <w:ind w:firstLine="0" w:firstLineChars="0"/>
                    <w:jc w:val="center"/>
                    <w:rPr>
                      <w:color w:val="000000"/>
                      <w:sz w:val="21"/>
                      <w:szCs w:val="21"/>
                    </w:rPr>
                  </w:pPr>
                  <w:r>
                    <w:rPr>
                      <w:rFonts w:hint="eastAsia"/>
                      <w:color w:val="000000"/>
                      <w:sz w:val="21"/>
                      <w:szCs w:val="21"/>
                    </w:rPr>
                    <w:t>供水</w:t>
                  </w:r>
                </w:p>
              </w:tc>
              <w:tc>
                <w:tcPr>
                  <w:tcW w:w="3136" w:type="pct"/>
                  <w:tcBorders>
                    <w:tl2br w:val="nil"/>
                    <w:tr2bl w:val="nil"/>
                  </w:tcBorders>
                  <w:noWrap w:val="0"/>
                  <w:vAlign w:val="center"/>
                </w:tcPr>
                <w:p w14:paraId="3FEE644E">
                  <w:pPr>
                    <w:spacing w:line="240" w:lineRule="auto"/>
                    <w:ind w:firstLine="0" w:firstLineChars="0"/>
                    <w:rPr>
                      <w:rFonts w:hint="eastAsia" w:eastAsia="宋体"/>
                      <w:color w:val="000000"/>
                      <w:sz w:val="21"/>
                      <w:szCs w:val="21"/>
                      <w:lang w:eastAsia="zh-CN"/>
                    </w:rPr>
                  </w:pPr>
                  <w:r>
                    <w:rPr>
                      <w:rFonts w:hint="eastAsia"/>
                      <w:color w:val="000000"/>
                      <w:sz w:val="21"/>
                      <w:szCs w:val="21"/>
                      <w:lang w:eastAsia="zh-CN"/>
                    </w:rPr>
                    <w:t>由园区供水管网供给。</w:t>
                  </w:r>
                </w:p>
              </w:tc>
              <w:tc>
                <w:tcPr>
                  <w:tcW w:w="517" w:type="pct"/>
                  <w:tcBorders>
                    <w:tl2br w:val="nil"/>
                    <w:tr2bl w:val="nil"/>
                  </w:tcBorders>
                  <w:noWrap w:val="0"/>
                  <w:vAlign w:val="center"/>
                </w:tcPr>
                <w:p w14:paraId="523FEEA8">
                  <w:pPr>
                    <w:spacing w:line="240" w:lineRule="auto"/>
                    <w:ind w:firstLine="0" w:firstLineChars="0"/>
                    <w:jc w:val="center"/>
                    <w:rPr>
                      <w:color w:val="000000"/>
                      <w:sz w:val="21"/>
                      <w:szCs w:val="21"/>
                    </w:rPr>
                  </w:pPr>
                  <w:r>
                    <w:rPr>
                      <w:rFonts w:hint="eastAsia"/>
                      <w:color w:val="000000"/>
                      <w:sz w:val="21"/>
                      <w:szCs w:val="21"/>
                    </w:rPr>
                    <w:t>依托</w:t>
                  </w:r>
                </w:p>
              </w:tc>
              <w:tc>
                <w:tcPr>
                  <w:tcW w:w="517" w:type="pct"/>
                  <w:tcBorders>
                    <w:tl2br w:val="nil"/>
                    <w:tr2bl w:val="nil"/>
                  </w:tcBorders>
                  <w:noWrap w:val="0"/>
                  <w:vAlign w:val="center"/>
                </w:tcPr>
                <w:p w14:paraId="49595691">
                  <w:pPr>
                    <w:spacing w:line="240" w:lineRule="auto"/>
                    <w:ind w:firstLine="0" w:firstLineChars="0"/>
                    <w:jc w:val="center"/>
                    <w:rPr>
                      <w:rFonts w:hint="eastAsia"/>
                      <w:color w:val="000000"/>
                      <w:sz w:val="21"/>
                      <w:szCs w:val="21"/>
                    </w:rPr>
                  </w:pPr>
                  <w:r>
                    <w:rPr>
                      <w:rFonts w:hint="eastAsia"/>
                      <w:color w:val="000000"/>
                      <w:sz w:val="21"/>
                      <w:szCs w:val="21"/>
                      <w:lang w:val="en-US" w:eastAsia="zh-CN"/>
                    </w:rPr>
                    <w:t>无变动</w:t>
                  </w:r>
                </w:p>
              </w:tc>
            </w:tr>
            <w:tr w14:paraId="249178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4" w:hRule="atLeast"/>
                <w:jc w:val="center"/>
              </w:trPr>
              <w:tc>
                <w:tcPr>
                  <w:tcW w:w="361" w:type="pct"/>
                  <w:vMerge w:val="continue"/>
                  <w:tcBorders>
                    <w:tl2br w:val="nil"/>
                    <w:tr2bl w:val="nil"/>
                  </w:tcBorders>
                  <w:noWrap w:val="0"/>
                  <w:vAlign w:val="center"/>
                </w:tcPr>
                <w:p w14:paraId="3C00A5CA">
                  <w:pPr>
                    <w:spacing w:line="240" w:lineRule="auto"/>
                    <w:ind w:firstLine="0" w:firstLineChars="0"/>
                    <w:jc w:val="center"/>
                    <w:rPr>
                      <w:color w:val="000000"/>
                      <w:sz w:val="21"/>
                      <w:szCs w:val="21"/>
                    </w:rPr>
                  </w:pPr>
                </w:p>
              </w:tc>
              <w:tc>
                <w:tcPr>
                  <w:tcW w:w="466" w:type="pct"/>
                  <w:tcBorders>
                    <w:tl2br w:val="nil"/>
                    <w:tr2bl w:val="nil"/>
                  </w:tcBorders>
                  <w:noWrap w:val="0"/>
                  <w:vAlign w:val="center"/>
                </w:tcPr>
                <w:p w14:paraId="6648DB4F">
                  <w:pPr>
                    <w:spacing w:line="240" w:lineRule="auto"/>
                    <w:ind w:firstLine="0" w:firstLineChars="0"/>
                    <w:jc w:val="center"/>
                    <w:rPr>
                      <w:color w:val="000000"/>
                      <w:sz w:val="21"/>
                      <w:szCs w:val="21"/>
                    </w:rPr>
                  </w:pPr>
                  <w:r>
                    <w:rPr>
                      <w:rFonts w:hint="eastAsia"/>
                      <w:color w:val="000000"/>
                      <w:sz w:val="21"/>
                      <w:szCs w:val="21"/>
                    </w:rPr>
                    <w:t>排水</w:t>
                  </w:r>
                </w:p>
              </w:tc>
              <w:tc>
                <w:tcPr>
                  <w:tcW w:w="3136" w:type="pct"/>
                  <w:tcBorders>
                    <w:tl2br w:val="nil"/>
                    <w:tr2bl w:val="nil"/>
                  </w:tcBorders>
                  <w:noWrap w:val="0"/>
                  <w:vAlign w:val="center"/>
                </w:tcPr>
                <w:p w14:paraId="5E8959D2">
                  <w:pPr>
                    <w:spacing w:line="240" w:lineRule="auto"/>
                    <w:ind w:firstLine="0" w:firstLineChars="0"/>
                    <w:rPr>
                      <w:rFonts w:hint="eastAsia" w:eastAsia="宋体"/>
                      <w:color w:val="000000"/>
                      <w:sz w:val="21"/>
                      <w:szCs w:val="21"/>
                      <w:lang w:eastAsia="zh-CN"/>
                    </w:rPr>
                  </w:pPr>
                  <w:r>
                    <w:rPr>
                      <w:rFonts w:hint="eastAsia"/>
                      <w:color w:val="000000"/>
                      <w:sz w:val="21"/>
                      <w:szCs w:val="21"/>
                    </w:rPr>
                    <w:t>生活废水</w:t>
                  </w:r>
                  <w:r>
                    <w:rPr>
                      <w:rFonts w:hint="eastAsia"/>
                      <w:color w:val="000000"/>
                      <w:sz w:val="21"/>
                      <w:szCs w:val="21"/>
                      <w:lang w:eastAsia="zh-CN"/>
                    </w:rPr>
                    <w:t>经</w:t>
                  </w:r>
                  <w:r>
                    <w:rPr>
                      <w:rFonts w:hint="eastAsia"/>
                      <w:color w:val="000000"/>
                      <w:sz w:val="21"/>
                      <w:szCs w:val="21"/>
                      <w:lang w:val="en-US" w:eastAsia="zh-CN"/>
                    </w:rPr>
                    <w:t>5m</w:t>
                  </w:r>
                  <w:r>
                    <w:rPr>
                      <w:rFonts w:hint="eastAsia"/>
                      <w:color w:val="000000"/>
                      <w:sz w:val="21"/>
                      <w:szCs w:val="21"/>
                      <w:vertAlign w:val="superscript"/>
                      <w:lang w:val="en-US" w:eastAsia="zh-CN"/>
                    </w:rPr>
                    <w:t>3</w:t>
                  </w:r>
                  <w:r>
                    <w:rPr>
                      <w:rFonts w:hint="eastAsia"/>
                      <w:color w:val="000000"/>
                      <w:sz w:val="21"/>
                      <w:szCs w:val="21"/>
                      <w:lang w:val="en-US" w:eastAsia="zh-CN"/>
                    </w:rPr>
                    <w:t>/d</w:t>
                  </w:r>
                  <w:r>
                    <w:rPr>
                      <w:rFonts w:hint="eastAsia"/>
                      <w:color w:val="000000"/>
                      <w:sz w:val="21"/>
                      <w:szCs w:val="21"/>
                      <w:lang w:eastAsia="zh-CN"/>
                    </w:rPr>
                    <w:t>生化池处理后排入园区污水管网。</w:t>
                  </w:r>
                </w:p>
              </w:tc>
              <w:tc>
                <w:tcPr>
                  <w:tcW w:w="517" w:type="pct"/>
                  <w:tcBorders>
                    <w:tl2br w:val="nil"/>
                    <w:tr2bl w:val="nil"/>
                  </w:tcBorders>
                  <w:noWrap w:val="0"/>
                  <w:vAlign w:val="center"/>
                </w:tcPr>
                <w:p w14:paraId="40CE790B">
                  <w:pPr>
                    <w:spacing w:line="240" w:lineRule="auto"/>
                    <w:ind w:firstLine="0" w:firstLineChars="0"/>
                    <w:jc w:val="center"/>
                    <w:rPr>
                      <w:rFonts w:hint="eastAsia" w:eastAsia="宋体"/>
                      <w:color w:val="000000"/>
                      <w:sz w:val="21"/>
                      <w:szCs w:val="21"/>
                      <w:lang w:eastAsia="zh-CN"/>
                    </w:rPr>
                  </w:pPr>
                  <w:r>
                    <w:rPr>
                      <w:rFonts w:hint="eastAsia"/>
                      <w:color w:val="000000"/>
                      <w:sz w:val="21"/>
                      <w:szCs w:val="21"/>
                      <w:lang w:eastAsia="zh-CN"/>
                    </w:rPr>
                    <w:t>新建</w:t>
                  </w:r>
                </w:p>
              </w:tc>
              <w:tc>
                <w:tcPr>
                  <w:tcW w:w="517" w:type="pct"/>
                  <w:tcBorders>
                    <w:tl2br w:val="nil"/>
                    <w:tr2bl w:val="nil"/>
                  </w:tcBorders>
                  <w:noWrap w:val="0"/>
                  <w:vAlign w:val="center"/>
                </w:tcPr>
                <w:p w14:paraId="017875FA">
                  <w:pPr>
                    <w:spacing w:line="240" w:lineRule="auto"/>
                    <w:ind w:firstLine="0" w:firstLineChars="0"/>
                    <w:jc w:val="center"/>
                    <w:rPr>
                      <w:rFonts w:hint="eastAsia"/>
                      <w:color w:val="000000"/>
                      <w:sz w:val="21"/>
                      <w:szCs w:val="21"/>
                      <w:lang w:eastAsia="zh-CN"/>
                    </w:rPr>
                  </w:pPr>
                  <w:r>
                    <w:rPr>
                      <w:rFonts w:hint="eastAsia"/>
                      <w:color w:val="000000"/>
                      <w:sz w:val="21"/>
                      <w:szCs w:val="21"/>
                      <w:lang w:val="en-US" w:eastAsia="zh-CN"/>
                    </w:rPr>
                    <w:t>无变动</w:t>
                  </w:r>
                </w:p>
              </w:tc>
            </w:tr>
            <w:tr w14:paraId="694CCB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361" w:type="pct"/>
                  <w:vMerge w:val="continue"/>
                  <w:tcBorders>
                    <w:tl2br w:val="nil"/>
                    <w:tr2bl w:val="nil"/>
                  </w:tcBorders>
                  <w:noWrap w:val="0"/>
                  <w:vAlign w:val="center"/>
                </w:tcPr>
                <w:p w14:paraId="213F0ABA">
                  <w:pPr>
                    <w:spacing w:line="240" w:lineRule="auto"/>
                    <w:ind w:firstLine="0" w:firstLineChars="0"/>
                    <w:jc w:val="center"/>
                    <w:rPr>
                      <w:color w:val="000000"/>
                      <w:sz w:val="21"/>
                      <w:szCs w:val="21"/>
                    </w:rPr>
                  </w:pPr>
                </w:p>
              </w:tc>
              <w:tc>
                <w:tcPr>
                  <w:tcW w:w="466" w:type="pct"/>
                  <w:tcBorders>
                    <w:tl2br w:val="nil"/>
                    <w:tr2bl w:val="nil"/>
                  </w:tcBorders>
                  <w:noWrap w:val="0"/>
                  <w:vAlign w:val="center"/>
                </w:tcPr>
                <w:p w14:paraId="44AD6713">
                  <w:pPr>
                    <w:spacing w:line="240" w:lineRule="auto"/>
                    <w:ind w:firstLine="0" w:firstLineChars="0"/>
                    <w:jc w:val="center"/>
                    <w:rPr>
                      <w:color w:val="000000"/>
                      <w:sz w:val="21"/>
                      <w:szCs w:val="21"/>
                    </w:rPr>
                  </w:pPr>
                  <w:r>
                    <w:rPr>
                      <w:rFonts w:hint="eastAsia"/>
                      <w:color w:val="000000"/>
                      <w:sz w:val="21"/>
                      <w:szCs w:val="21"/>
                    </w:rPr>
                    <w:t>消防</w:t>
                  </w:r>
                </w:p>
              </w:tc>
              <w:tc>
                <w:tcPr>
                  <w:tcW w:w="3136" w:type="pct"/>
                  <w:tcBorders>
                    <w:tl2br w:val="nil"/>
                    <w:tr2bl w:val="nil"/>
                  </w:tcBorders>
                  <w:noWrap w:val="0"/>
                  <w:vAlign w:val="center"/>
                </w:tcPr>
                <w:p w14:paraId="7D928D2A">
                  <w:pPr>
                    <w:spacing w:line="240" w:lineRule="auto"/>
                    <w:ind w:firstLine="0" w:firstLineChars="0"/>
                    <w:rPr>
                      <w:color w:val="000000"/>
                      <w:sz w:val="21"/>
                      <w:szCs w:val="21"/>
                    </w:rPr>
                  </w:pPr>
                  <w:r>
                    <w:rPr>
                      <w:rFonts w:hint="eastAsia"/>
                      <w:color w:val="000000"/>
                      <w:sz w:val="21"/>
                      <w:szCs w:val="21"/>
                    </w:rPr>
                    <w:t>本项目依托</w:t>
                  </w:r>
                  <w:r>
                    <w:rPr>
                      <w:rFonts w:hint="eastAsia"/>
                      <w:color w:val="000000"/>
                      <w:sz w:val="21"/>
                      <w:szCs w:val="21"/>
                      <w:lang w:eastAsia="zh-CN"/>
                    </w:rPr>
                    <w:t>租用的闲置厂房内现有</w:t>
                  </w:r>
                  <w:r>
                    <w:rPr>
                      <w:rFonts w:hint="eastAsia"/>
                      <w:color w:val="000000"/>
                      <w:sz w:val="21"/>
                      <w:szCs w:val="21"/>
                    </w:rPr>
                    <w:t>消防栓</w:t>
                  </w:r>
                  <w:r>
                    <w:rPr>
                      <w:rFonts w:hint="eastAsia"/>
                      <w:color w:val="000000"/>
                      <w:sz w:val="21"/>
                      <w:szCs w:val="21"/>
                      <w:lang w:eastAsia="zh-CN"/>
                    </w:rPr>
                    <w:t>、消防管等消防设施，本项目再按照</w:t>
                  </w:r>
                  <w:r>
                    <w:rPr>
                      <w:rFonts w:hint="eastAsia"/>
                      <w:color w:val="000000"/>
                      <w:sz w:val="21"/>
                      <w:szCs w:val="21"/>
                    </w:rPr>
                    <w:t>消防相关规范标准及消防主管部门的要求</w:t>
                  </w:r>
                  <w:r>
                    <w:rPr>
                      <w:rFonts w:hint="eastAsia"/>
                      <w:color w:val="000000"/>
                      <w:sz w:val="21"/>
                      <w:szCs w:val="21"/>
                      <w:lang w:eastAsia="zh-CN"/>
                    </w:rPr>
                    <w:t>完善消防</w:t>
                  </w:r>
                  <w:r>
                    <w:rPr>
                      <w:rFonts w:hint="eastAsia"/>
                      <w:color w:val="000000"/>
                      <w:sz w:val="21"/>
                      <w:szCs w:val="21"/>
                    </w:rPr>
                    <w:t>设施。</w:t>
                  </w:r>
                </w:p>
              </w:tc>
              <w:tc>
                <w:tcPr>
                  <w:tcW w:w="517" w:type="pct"/>
                  <w:tcBorders>
                    <w:tl2br w:val="nil"/>
                    <w:tr2bl w:val="nil"/>
                  </w:tcBorders>
                  <w:noWrap w:val="0"/>
                  <w:vAlign w:val="center"/>
                </w:tcPr>
                <w:p w14:paraId="09C9F568">
                  <w:pPr>
                    <w:spacing w:line="240" w:lineRule="auto"/>
                    <w:ind w:firstLine="0" w:firstLineChars="0"/>
                    <w:jc w:val="center"/>
                    <w:rPr>
                      <w:color w:val="000000"/>
                      <w:sz w:val="21"/>
                      <w:szCs w:val="21"/>
                    </w:rPr>
                  </w:pPr>
                  <w:r>
                    <w:rPr>
                      <w:rFonts w:hint="eastAsia"/>
                      <w:color w:val="000000"/>
                      <w:sz w:val="21"/>
                      <w:szCs w:val="21"/>
                    </w:rPr>
                    <w:t>依托+新建</w:t>
                  </w:r>
                </w:p>
              </w:tc>
              <w:tc>
                <w:tcPr>
                  <w:tcW w:w="517" w:type="pct"/>
                  <w:tcBorders>
                    <w:tl2br w:val="nil"/>
                    <w:tr2bl w:val="nil"/>
                  </w:tcBorders>
                  <w:noWrap w:val="0"/>
                  <w:vAlign w:val="center"/>
                </w:tcPr>
                <w:p w14:paraId="0C301C0E">
                  <w:pPr>
                    <w:spacing w:line="240" w:lineRule="auto"/>
                    <w:ind w:firstLine="0" w:firstLineChars="0"/>
                    <w:jc w:val="center"/>
                    <w:rPr>
                      <w:rFonts w:hint="eastAsia"/>
                      <w:color w:val="000000"/>
                      <w:sz w:val="21"/>
                      <w:szCs w:val="21"/>
                    </w:rPr>
                  </w:pPr>
                  <w:r>
                    <w:rPr>
                      <w:rFonts w:hint="eastAsia"/>
                      <w:color w:val="000000"/>
                      <w:sz w:val="21"/>
                      <w:szCs w:val="21"/>
                      <w:lang w:val="en-US" w:eastAsia="zh-CN"/>
                    </w:rPr>
                    <w:t>无变动</w:t>
                  </w:r>
                </w:p>
              </w:tc>
            </w:tr>
            <w:tr w14:paraId="02DBBC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5" w:hRule="atLeast"/>
                <w:jc w:val="center"/>
              </w:trPr>
              <w:tc>
                <w:tcPr>
                  <w:tcW w:w="361" w:type="pct"/>
                  <w:vMerge w:val="continue"/>
                  <w:tcBorders>
                    <w:tl2br w:val="nil"/>
                    <w:tr2bl w:val="nil"/>
                  </w:tcBorders>
                  <w:noWrap w:val="0"/>
                  <w:vAlign w:val="center"/>
                </w:tcPr>
                <w:p w14:paraId="4EBDF79D">
                  <w:pPr>
                    <w:spacing w:line="240" w:lineRule="auto"/>
                    <w:ind w:firstLine="0" w:firstLineChars="0"/>
                    <w:jc w:val="center"/>
                    <w:rPr>
                      <w:color w:val="000000"/>
                      <w:sz w:val="21"/>
                      <w:szCs w:val="21"/>
                    </w:rPr>
                  </w:pPr>
                </w:p>
              </w:tc>
              <w:tc>
                <w:tcPr>
                  <w:tcW w:w="466" w:type="pct"/>
                  <w:tcBorders>
                    <w:tl2br w:val="nil"/>
                    <w:tr2bl w:val="nil"/>
                  </w:tcBorders>
                  <w:noWrap w:val="0"/>
                  <w:vAlign w:val="center"/>
                </w:tcPr>
                <w:p w14:paraId="283230D8">
                  <w:pPr>
                    <w:spacing w:line="240" w:lineRule="auto"/>
                    <w:ind w:firstLine="0" w:firstLineChars="0"/>
                    <w:jc w:val="center"/>
                    <w:rPr>
                      <w:rFonts w:hint="eastAsia" w:eastAsia="宋体"/>
                      <w:color w:val="000000"/>
                      <w:sz w:val="21"/>
                      <w:szCs w:val="21"/>
                      <w:lang w:val="en-US" w:eastAsia="zh-CN"/>
                    </w:rPr>
                  </w:pPr>
                  <w:r>
                    <w:rPr>
                      <w:rFonts w:hint="eastAsia"/>
                      <w:color w:val="000000"/>
                      <w:sz w:val="21"/>
                      <w:szCs w:val="21"/>
                    </w:rPr>
                    <w:t>运输</w:t>
                  </w:r>
                  <w:r>
                    <w:rPr>
                      <w:rFonts w:hint="eastAsia"/>
                      <w:color w:val="000000"/>
                      <w:sz w:val="21"/>
                      <w:szCs w:val="21"/>
                      <w:lang w:val="en-US" w:eastAsia="zh-CN"/>
                    </w:rPr>
                    <w:t>系统</w:t>
                  </w:r>
                </w:p>
              </w:tc>
              <w:tc>
                <w:tcPr>
                  <w:tcW w:w="3136" w:type="pct"/>
                  <w:tcBorders>
                    <w:tl2br w:val="nil"/>
                    <w:tr2bl w:val="nil"/>
                  </w:tcBorders>
                  <w:noWrap w:val="0"/>
                  <w:vAlign w:val="center"/>
                </w:tcPr>
                <w:p w14:paraId="0FA31FCE">
                  <w:pPr>
                    <w:spacing w:line="240" w:lineRule="auto"/>
                    <w:ind w:firstLine="0" w:firstLineChars="0"/>
                    <w:rPr>
                      <w:rFonts w:hint="eastAsia" w:eastAsia="宋体"/>
                      <w:color w:val="000000"/>
                      <w:sz w:val="21"/>
                      <w:szCs w:val="21"/>
                      <w:lang w:eastAsia="zh-CN"/>
                    </w:rPr>
                  </w:pPr>
                  <w:r>
                    <w:rPr>
                      <w:rFonts w:hint="eastAsia"/>
                      <w:color w:val="000000"/>
                      <w:sz w:val="21"/>
                      <w:szCs w:val="21"/>
                      <w:lang w:eastAsia="zh-CN"/>
                    </w:rPr>
                    <w:t>厂外运输</w:t>
                  </w:r>
                  <w:r>
                    <w:rPr>
                      <w:rFonts w:hint="eastAsia" w:eastAsia="宋体"/>
                      <w:color w:val="000000"/>
                      <w:sz w:val="21"/>
                      <w:szCs w:val="21"/>
                      <w:lang w:eastAsia="zh-CN"/>
                    </w:rPr>
                    <w:t>委托</w:t>
                  </w:r>
                  <w:r>
                    <w:rPr>
                      <w:rFonts w:hint="eastAsia"/>
                      <w:color w:val="000000"/>
                      <w:sz w:val="21"/>
                      <w:szCs w:val="21"/>
                      <w:lang w:eastAsia="zh-CN"/>
                    </w:rPr>
                    <w:t>有资质单位运输</w:t>
                  </w:r>
                  <w:r>
                    <w:rPr>
                      <w:rFonts w:hint="eastAsia" w:eastAsia="宋体"/>
                      <w:color w:val="000000"/>
                      <w:sz w:val="21"/>
                      <w:szCs w:val="21"/>
                      <w:lang w:eastAsia="zh-CN"/>
                    </w:rPr>
                    <w:t>；暂存危险废物的处置由</w:t>
                  </w:r>
                  <w:r>
                    <w:rPr>
                      <w:rFonts w:hint="eastAsia"/>
                      <w:color w:val="000000"/>
                      <w:sz w:val="21"/>
                      <w:szCs w:val="21"/>
                      <w:lang w:eastAsia="zh-CN"/>
                    </w:rPr>
                    <w:t>贵州麒臻实业集团有限公司</w:t>
                  </w:r>
                  <w:r>
                    <w:rPr>
                      <w:rFonts w:hint="eastAsia" w:eastAsia="宋体"/>
                      <w:color w:val="000000"/>
                      <w:sz w:val="21"/>
                      <w:szCs w:val="21"/>
                      <w:lang w:eastAsia="zh-CN"/>
                    </w:rPr>
                    <w:t>负责。本项目</w:t>
                  </w:r>
                  <w:r>
                    <w:rPr>
                      <w:rFonts w:hint="eastAsia"/>
                      <w:color w:val="000000"/>
                      <w:sz w:val="21"/>
                      <w:szCs w:val="21"/>
                      <w:lang w:eastAsia="zh-CN"/>
                    </w:rPr>
                    <w:t>建设单位</w:t>
                  </w:r>
                  <w:r>
                    <w:rPr>
                      <w:rFonts w:hint="eastAsia" w:eastAsia="宋体"/>
                      <w:color w:val="000000"/>
                      <w:sz w:val="21"/>
                      <w:szCs w:val="21"/>
                      <w:lang w:eastAsia="zh-CN"/>
                    </w:rPr>
                    <w:t>不配备危险废物运输车辆，仅配备</w:t>
                  </w:r>
                  <w:r>
                    <w:rPr>
                      <w:rFonts w:hint="eastAsia"/>
                      <w:color w:val="000000"/>
                      <w:sz w:val="21"/>
                      <w:szCs w:val="21"/>
                      <w:lang w:eastAsia="zh-CN"/>
                    </w:rPr>
                    <w:t>地牛作为危险废物搬运工具。</w:t>
                  </w:r>
                </w:p>
              </w:tc>
              <w:tc>
                <w:tcPr>
                  <w:tcW w:w="517" w:type="pct"/>
                  <w:tcBorders>
                    <w:tl2br w:val="nil"/>
                    <w:tr2bl w:val="nil"/>
                  </w:tcBorders>
                  <w:noWrap w:val="0"/>
                  <w:vAlign w:val="center"/>
                </w:tcPr>
                <w:p w14:paraId="6B194012">
                  <w:pPr>
                    <w:spacing w:line="240" w:lineRule="auto"/>
                    <w:ind w:firstLine="0" w:firstLineChars="0"/>
                    <w:jc w:val="center"/>
                    <w:rPr>
                      <w:color w:val="000000"/>
                      <w:sz w:val="21"/>
                      <w:szCs w:val="21"/>
                    </w:rPr>
                  </w:pPr>
                  <w:r>
                    <w:rPr>
                      <w:rFonts w:hint="eastAsia"/>
                      <w:color w:val="000000"/>
                      <w:sz w:val="21"/>
                      <w:szCs w:val="21"/>
                    </w:rPr>
                    <w:t>依托</w:t>
                  </w:r>
                </w:p>
              </w:tc>
              <w:tc>
                <w:tcPr>
                  <w:tcW w:w="517" w:type="pct"/>
                  <w:tcBorders>
                    <w:tl2br w:val="nil"/>
                    <w:tr2bl w:val="nil"/>
                  </w:tcBorders>
                  <w:noWrap w:val="0"/>
                  <w:vAlign w:val="center"/>
                </w:tcPr>
                <w:p w14:paraId="611924E2">
                  <w:pPr>
                    <w:spacing w:line="240" w:lineRule="auto"/>
                    <w:ind w:firstLine="0" w:firstLineChars="0"/>
                    <w:jc w:val="center"/>
                    <w:rPr>
                      <w:rFonts w:hint="eastAsia"/>
                      <w:color w:val="000000"/>
                      <w:sz w:val="21"/>
                      <w:szCs w:val="21"/>
                    </w:rPr>
                  </w:pPr>
                  <w:r>
                    <w:rPr>
                      <w:rFonts w:hint="eastAsia"/>
                      <w:color w:val="000000"/>
                      <w:sz w:val="21"/>
                      <w:szCs w:val="21"/>
                      <w:lang w:val="en-US" w:eastAsia="zh-CN"/>
                    </w:rPr>
                    <w:t>无变动</w:t>
                  </w:r>
                </w:p>
              </w:tc>
            </w:tr>
            <w:tr w14:paraId="6410CC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4" w:hRule="atLeast"/>
                <w:jc w:val="center"/>
              </w:trPr>
              <w:tc>
                <w:tcPr>
                  <w:tcW w:w="361" w:type="pct"/>
                  <w:vMerge w:val="restart"/>
                  <w:tcBorders>
                    <w:tl2br w:val="nil"/>
                    <w:tr2bl w:val="nil"/>
                  </w:tcBorders>
                  <w:noWrap w:val="0"/>
                  <w:vAlign w:val="center"/>
                </w:tcPr>
                <w:p w14:paraId="48442526">
                  <w:pPr>
                    <w:spacing w:line="240" w:lineRule="auto"/>
                    <w:ind w:firstLine="0" w:firstLineChars="0"/>
                    <w:jc w:val="center"/>
                    <w:rPr>
                      <w:color w:val="000000"/>
                      <w:sz w:val="21"/>
                      <w:szCs w:val="21"/>
                    </w:rPr>
                  </w:pPr>
                  <w:r>
                    <w:rPr>
                      <w:color w:val="000000"/>
                      <w:sz w:val="21"/>
                      <w:szCs w:val="21"/>
                    </w:rPr>
                    <w:t>环保</w:t>
                  </w:r>
                </w:p>
                <w:p w14:paraId="3F059F72">
                  <w:pPr>
                    <w:spacing w:line="240" w:lineRule="auto"/>
                    <w:ind w:firstLine="0" w:firstLineChars="0"/>
                    <w:jc w:val="center"/>
                    <w:rPr>
                      <w:color w:val="000000"/>
                      <w:sz w:val="21"/>
                      <w:szCs w:val="21"/>
                    </w:rPr>
                  </w:pPr>
                  <w:r>
                    <w:rPr>
                      <w:color w:val="000000"/>
                      <w:sz w:val="21"/>
                      <w:szCs w:val="21"/>
                    </w:rPr>
                    <w:t>工程</w:t>
                  </w:r>
                </w:p>
              </w:tc>
              <w:tc>
                <w:tcPr>
                  <w:tcW w:w="466" w:type="pct"/>
                  <w:tcBorders>
                    <w:tl2br w:val="nil"/>
                    <w:tr2bl w:val="nil"/>
                  </w:tcBorders>
                  <w:noWrap w:val="0"/>
                  <w:vAlign w:val="center"/>
                </w:tcPr>
                <w:p w14:paraId="2E0D29A2">
                  <w:pPr>
                    <w:spacing w:line="240" w:lineRule="auto"/>
                    <w:ind w:firstLine="0" w:firstLineChars="0"/>
                    <w:jc w:val="center"/>
                    <w:rPr>
                      <w:color w:val="000000"/>
                      <w:sz w:val="21"/>
                      <w:szCs w:val="21"/>
                    </w:rPr>
                  </w:pPr>
                  <w:r>
                    <w:rPr>
                      <w:color w:val="000000"/>
                      <w:sz w:val="21"/>
                      <w:szCs w:val="21"/>
                    </w:rPr>
                    <w:t>废气</w:t>
                  </w:r>
                </w:p>
              </w:tc>
              <w:tc>
                <w:tcPr>
                  <w:tcW w:w="3136" w:type="pct"/>
                  <w:tcBorders>
                    <w:tl2br w:val="nil"/>
                    <w:tr2bl w:val="nil"/>
                  </w:tcBorders>
                  <w:noWrap w:val="0"/>
                  <w:vAlign w:val="center"/>
                </w:tcPr>
                <w:p w14:paraId="01D52A69">
                  <w:pPr>
                    <w:spacing w:line="240" w:lineRule="auto"/>
                    <w:ind w:firstLine="0" w:firstLineChars="0"/>
                    <w:rPr>
                      <w:rFonts w:hint="default" w:eastAsia="宋体"/>
                      <w:color w:val="000000"/>
                      <w:sz w:val="21"/>
                      <w:szCs w:val="21"/>
                      <w:lang w:val="en-US" w:eastAsia="zh-CN"/>
                    </w:rPr>
                  </w:pPr>
                  <w:r>
                    <w:rPr>
                      <w:rFonts w:hint="eastAsia"/>
                      <w:color w:val="000000"/>
                      <w:sz w:val="21"/>
                      <w:szCs w:val="21"/>
                      <w:lang w:val="en-US" w:eastAsia="zh-CN"/>
                    </w:rPr>
                    <w:t>贮存二区设置为密闭间，设置抽风系统收集破损废铅蓄电池产生的硫酸雾，废气引入1套喷淋塔中处理后由15m高排气筒排放。少量未收集硫酸雾以及异味气体自然扩散，无组织排放。</w:t>
                  </w:r>
                </w:p>
              </w:tc>
              <w:tc>
                <w:tcPr>
                  <w:tcW w:w="517" w:type="pct"/>
                  <w:tcBorders>
                    <w:tl2br w:val="nil"/>
                    <w:tr2bl w:val="nil"/>
                  </w:tcBorders>
                  <w:noWrap w:val="0"/>
                  <w:vAlign w:val="center"/>
                </w:tcPr>
                <w:p w14:paraId="1F75C689">
                  <w:pPr>
                    <w:spacing w:line="240" w:lineRule="auto"/>
                    <w:ind w:firstLine="0" w:firstLineChars="0"/>
                    <w:jc w:val="center"/>
                    <w:rPr>
                      <w:color w:val="000000"/>
                      <w:sz w:val="21"/>
                      <w:szCs w:val="21"/>
                    </w:rPr>
                  </w:pPr>
                  <w:r>
                    <w:rPr>
                      <w:rFonts w:hint="eastAsia"/>
                      <w:color w:val="000000"/>
                      <w:sz w:val="21"/>
                      <w:szCs w:val="21"/>
                    </w:rPr>
                    <w:t>新建</w:t>
                  </w:r>
                </w:p>
              </w:tc>
              <w:tc>
                <w:tcPr>
                  <w:tcW w:w="517" w:type="pct"/>
                  <w:tcBorders>
                    <w:tl2br w:val="nil"/>
                    <w:tr2bl w:val="nil"/>
                  </w:tcBorders>
                  <w:noWrap w:val="0"/>
                  <w:vAlign w:val="center"/>
                </w:tcPr>
                <w:p w14:paraId="54D38C74">
                  <w:pPr>
                    <w:spacing w:line="240" w:lineRule="auto"/>
                    <w:ind w:firstLine="0" w:firstLineChars="0"/>
                    <w:jc w:val="center"/>
                    <w:rPr>
                      <w:rFonts w:hint="eastAsia"/>
                      <w:color w:val="000000"/>
                      <w:sz w:val="21"/>
                      <w:szCs w:val="21"/>
                    </w:rPr>
                  </w:pPr>
                  <w:r>
                    <w:rPr>
                      <w:rFonts w:hint="eastAsia"/>
                      <w:color w:val="000000"/>
                      <w:sz w:val="21"/>
                      <w:szCs w:val="21"/>
                      <w:lang w:val="en-US" w:eastAsia="zh-CN"/>
                    </w:rPr>
                    <w:t>无变动</w:t>
                  </w:r>
                </w:p>
              </w:tc>
            </w:tr>
            <w:tr w14:paraId="6BBD57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6" w:hRule="atLeast"/>
                <w:jc w:val="center"/>
              </w:trPr>
              <w:tc>
                <w:tcPr>
                  <w:tcW w:w="361" w:type="pct"/>
                  <w:vMerge w:val="continue"/>
                  <w:tcBorders>
                    <w:tl2br w:val="nil"/>
                    <w:tr2bl w:val="nil"/>
                  </w:tcBorders>
                  <w:noWrap w:val="0"/>
                  <w:vAlign w:val="center"/>
                </w:tcPr>
                <w:p w14:paraId="60D16695">
                  <w:pPr>
                    <w:spacing w:line="240" w:lineRule="auto"/>
                    <w:ind w:firstLine="0" w:firstLineChars="0"/>
                    <w:jc w:val="center"/>
                    <w:rPr>
                      <w:color w:val="000000"/>
                      <w:sz w:val="21"/>
                      <w:szCs w:val="21"/>
                      <w:highlight w:val="yellow"/>
                    </w:rPr>
                  </w:pPr>
                </w:p>
              </w:tc>
              <w:tc>
                <w:tcPr>
                  <w:tcW w:w="466" w:type="pct"/>
                  <w:tcBorders>
                    <w:tl2br w:val="nil"/>
                    <w:tr2bl w:val="nil"/>
                  </w:tcBorders>
                  <w:noWrap w:val="0"/>
                  <w:vAlign w:val="center"/>
                </w:tcPr>
                <w:p w14:paraId="7EA9205B">
                  <w:pPr>
                    <w:spacing w:line="240" w:lineRule="auto"/>
                    <w:ind w:firstLine="0" w:firstLineChars="0"/>
                    <w:jc w:val="center"/>
                    <w:rPr>
                      <w:color w:val="000000"/>
                      <w:sz w:val="21"/>
                      <w:szCs w:val="21"/>
                    </w:rPr>
                  </w:pPr>
                  <w:r>
                    <w:rPr>
                      <w:color w:val="000000"/>
                      <w:sz w:val="21"/>
                      <w:szCs w:val="21"/>
                    </w:rPr>
                    <w:t>废水</w:t>
                  </w:r>
                </w:p>
              </w:tc>
              <w:tc>
                <w:tcPr>
                  <w:tcW w:w="3136" w:type="pct"/>
                  <w:tcBorders>
                    <w:tl2br w:val="nil"/>
                    <w:tr2bl w:val="nil"/>
                  </w:tcBorders>
                  <w:noWrap w:val="0"/>
                  <w:vAlign w:val="center"/>
                </w:tcPr>
                <w:p w14:paraId="5FA3DDDF">
                  <w:pPr>
                    <w:spacing w:line="240" w:lineRule="auto"/>
                    <w:ind w:firstLine="0" w:firstLineChars="0"/>
                    <w:rPr>
                      <w:rFonts w:hint="default"/>
                      <w:color w:val="000000"/>
                      <w:sz w:val="21"/>
                      <w:szCs w:val="21"/>
                      <w:lang w:val="en-US"/>
                    </w:rPr>
                  </w:pPr>
                  <w:r>
                    <w:rPr>
                      <w:rFonts w:hint="eastAsia" w:cs="宋体"/>
                      <w:color w:val="000000"/>
                      <w:kern w:val="0"/>
                      <w:sz w:val="21"/>
                      <w:szCs w:val="21"/>
                      <w:lang w:val="en-US" w:eastAsia="zh-CN"/>
                    </w:rPr>
                    <w:t>设置专用的拖布清洗桶，容积约0.05m</w:t>
                  </w:r>
                  <w:r>
                    <w:rPr>
                      <w:rFonts w:hint="eastAsia" w:cs="宋体"/>
                      <w:color w:val="000000"/>
                      <w:kern w:val="0"/>
                      <w:sz w:val="21"/>
                      <w:szCs w:val="21"/>
                      <w:vertAlign w:val="superscript"/>
                      <w:lang w:val="en-US" w:eastAsia="zh-CN"/>
                    </w:rPr>
                    <w:t>3</w:t>
                  </w:r>
                  <w:r>
                    <w:rPr>
                      <w:rFonts w:hint="eastAsia" w:cs="宋体"/>
                      <w:color w:val="000000"/>
                      <w:kern w:val="0"/>
                      <w:sz w:val="21"/>
                      <w:szCs w:val="21"/>
                      <w:lang w:val="en-US" w:eastAsia="zh-CN"/>
                    </w:rPr>
                    <w:t>，地面及拖布清洗废水收集于清洗桶内，交具有危废处置资质的单位处置。生活污水经</w:t>
                  </w:r>
                  <w:r>
                    <w:rPr>
                      <w:rFonts w:hint="eastAsia"/>
                      <w:color w:val="000000"/>
                      <w:sz w:val="21"/>
                      <w:szCs w:val="21"/>
                      <w:lang w:val="en-US" w:eastAsia="zh-CN"/>
                    </w:rPr>
                    <w:t>5m</w:t>
                  </w:r>
                  <w:r>
                    <w:rPr>
                      <w:rFonts w:hint="eastAsia"/>
                      <w:color w:val="000000"/>
                      <w:sz w:val="21"/>
                      <w:szCs w:val="21"/>
                      <w:vertAlign w:val="superscript"/>
                      <w:lang w:val="en-US" w:eastAsia="zh-CN"/>
                    </w:rPr>
                    <w:t>3</w:t>
                  </w:r>
                  <w:r>
                    <w:rPr>
                      <w:rFonts w:hint="eastAsia"/>
                      <w:color w:val="000000"/>
                      <w:sz w:val="21"/>
                      <w:szCs w:val="21"/>
                      <w:lang w:val="en-US" w:eastAsia="zh-CN"/>
                    </w:rPr>
                    <w:t>/d</w:t>
                  </w:r>
                  <w:r>
                    <w:rPr>
                      <w:rFonts w:hint="eastAsia" w:cs="宋体"/>
                      <w:color w:val="000000"/>
                      <w:kern w:val="0"/>
                      <w:sz w:val="21"/>
                      <w:szCs w:val="21"/>
                      <w:lang w:val="en-US" w:eastAsia="zh-CN"/>
                    </w:rPr>
                    <w:t>生化池处理后排入申明坝污水处理厂。</w:t>
                  </w:r>
                </w:p>
              </w:tc>
              <w:tc>
                <w:tcPr>
                  <w:tcW w:w="517" w:type="pct"/>
                  <w:tcBorders>
                    <w:tl2br w:val="nil"/>
                    <w:tr2bl w:val="nil"/>
                  </w:tcBorders>
                  <w:noWrap w:val="0"/>
                  <w:vAlign w:val="center"/>
                </w:tcPr>
                <w:p w14:paraId="7C3E2997">
                  <w:pPr>
                    <w:spacing w:line="240" w:lineRule="auto"/>
                    <w:ind w:firstLine="0" w:firstLineChars="0"/>
                    <w:jc w:val="center"/>
                    <w:rPr>
                      <w:color w:val="000000"/>
                      <w:sz w:val="21"/>
                      <w:szCs w:val="21"/>
                    </w:rPr>
                  </w:pPr>
                  <w:r>
                    <w:rPr>
                      <w:rFonts w:hint="eastAsia"/>
                      <w:color w:val="000000"/>
                      <w:sz w:val="21"/>
                      <w:szCs w:val="21"/>
                    </w:rPr>
                    <w:t>依托</w:t>
                  </w:r>
                </w:p>
              </w:tc>
              <w:tc>
                <w:tcPr>
                  <w:tcW w:w="517" w:type="pct"/>
                  <w:tcBorders>
                    <w:tl2br w:val="nil"/>
                    <w:tr2bl w:val="nil"/>
                  </w:tcBorders>
                  <w:noWrap w:val="0"/>
                  <w:vAlign w:val="center"/>
                </w:tcPr>
                <w:p w14:paraId="2012C830">
                  <w:pPr>
                    <w:spacing w:line="240" w:lineRule="auto"/>
                    <w:ind w:firstLine="0" w:firstLineChars="0"/>
                    <w:jc w:val="center"/>
                    <w:rPr>
                      <w:rFonts w:hint="eastAsia"/>
                      <w:color w:val="000000"/>
                      <w:sz w:val="21"/>
                      <w:szCs w:val="21"/>
                    </w:rPr>
                  </w:pPr>
                  <w:r>
                    <w:rPr>
                      <w:rFonts w:hint="eastAsia"/>
                      <w:color w:val="000000"/>
                      <w:sz w:val="21"/>
                      <w:szCs w:val="21"/>
                      <w:lang w:val="en-US" w:eastAsia="zh-CN"/>
                    </w:rPr>
                    <w:t>无变动</w:t>
                  </w:r>
                </w:p>
              </w:tc>
            </w:tr>
            <w:tr w14:paraId="6AFB71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8" w:hRule="atLeast"/>
                <w:jc w:val="center"/>
              </w:trPr>
              <w:tc>
                <w:tcPr>
                  <w:tcW w:w="361" w:type="pct"/>
                  <w:vMerge w:val="continue"/>
                  <w:tcBorders>
                    <w:tl2br w:val="nil"/>
                    <w:tr2bl w:val="nil"/>
                  </w:tcBorders>
                  <w:noWrap w:val="0"/>
                  <w:vAlign w:val="center"/>
                </w:tcPr>
                <w:p w14:paraId="7536F2F2">
                  <w:pPr>
                    <w:spacing w:line="240" w:lineRule="auto"/>
                    <w:ind w:firstLine="0" w:firstLineChars="0"/>
                    <w:jc w:val="center"/>
                    <w:rPr>
                      <w:color w:val="000000"/>
                      <w:sz w:val="21"/>
                      <w:szCs w:val="21"/>
                      <w:highlight w:val="yellow"/>
                    </w:rPr>
                  </w:pPr>
                </w:p>
              </w:tc>
              <w:tc>
                <w:tcPr>
                  <w:tcW w:w="466" w:type="pct"/>
                  <w:tcBorders>
                    <w:tl2br w:val="nil"/>
                    <w:tr2bl w:val="nil"/>
                  </w:tcBorders>
                  <w:noWrap w:val="0"/>
                  <w:vAlign w:val="center"/>
                </w:tcPr>
                <w:p w14:paraId="20118F15">
                  <w:pPr>
                    <w:spacing w:line="240" w:lineRule="auto"/>
                    <w:ind w:firstLine="0" w:firstLineChars="0"/>
                    <w:jc w:val="center"/>
                    <w:rPr>
                      <w:color w:val="000000"/>
                      <w:sz w:val="21"/>
                      <w:szCs w:val="21"/>
                    </w:rPr>
                  </w:pPr>
                  <w:r>
                    <w:rPr>
                      <w:color w:val="000000"/>
                      <w:sz w:val="21"/>
                      <w:szCs w:val="21"/>
                    </w:rPr>
                    <w:t>噪声</w:t>
                  </w:r>
                </w:p>
              </w:tc>
              <w:tc>
                <w:tcPr>
                  <w:tcW w:w="3136" w:type="pct"/>
                  <w:tcBorders>
                    <w:tl2br w:val="nil"/>
                    <w:tr2bl w:val="nil"/>
                  </w:tcBorders>
                  <w:noWrap w:val="0"/>
                  <w:vAlign w:val="center"/>
                </w:tcPr>
                <w:p w14:paraId="7A707436">
                  <w:pPr>
                    <w:spacing w:line="240" w:lineRule="auto"/>
                    <w:ind w:firstLine="0" w:firstLineChars="0"/>
                    <w:rPr>
                      <w:rFonts w:hint="eastAsia" w:eastAsia="宋体"/>
                      <w:color w:val="000000"/>
                      <w:sz w:val="21"/>
                      <w:szCs w:val="21"/>
                      <w:lang w:eastAsia="zh-CN"/>
                    </w:rPr>
                  </w:pPr>
                  <w:r>
                    <w:rPr>
                      <w:rFonts w:hint="eastAsia"/>
                      <w:color w:val="000000"/>
                      <w:sz w:val="21"/>
                      <w:szCs w:val="21"/>
                      <w:lang w:eastAsia="zh-CN"/>
                    </w:rPr>
                    <w:t>加强声源设备维修保养，</w:t>
                  </w:r>
                  <w:r>
                    <w:rPr>
                      <w:color w:val="000000"/>
                      <w:sz w:val="21"/>
                      <w:szCs w:val="21"/>
                    </w:rPr>
                    <w:t>采取基础减振等措施</w:t>
                  </w:r>
                  <w:r>
                    <w:rPr>
                      <w:rFonts w:hint="eastAsia"/>
                      <w:color w:val="000000"/>
                      <w:sz w:val="21"/>
                      <w:szCs w:val="21"/>
                      <w:lang w:eastAsia="zh-CN"/>
                    </w:rPr>
                    <w:t>进行降噪。</w:t>
                  </w:r>
                </w:p>
              </w:tc>
              <w:tc>
                <w:tcPr>
                  <w:tcW w:w="517" w:type="pct"/>
                  <w:tcBorders>
                    <w:tl2br w:val="nil"/>
                    <w:tr2bl w:val="nil"/>
                  </w:tcBorders>
                  <w:noWrap w:val="0"/>
                  <w:vAlign w:val="center"/>
                </w:tcPr>
                <w:p w14:paraId="15317949">
                  <w:pPr>
                    <w:spacing w:line="240" w:lineRule="auto"/>
                    <w:ind w:firstLine="0" w:firstLineChars="0"/>
                    <w:jc w:val="center"/>
                    <w:rPr>
                      <w:color w:val="000000"/>
                      <w:sz w:val="21"/>
                      <w:szCs w:val="21"/>
                    </w:rPr>
                  </w:pPr>
                  <w:r>
                    <w:rPr>
                      <w:rFonts w:hint="eastAsia"/>
                      <w:color w:val="000000"/>
                      <w:sz w:val="21"/>
                      <w:szCs w:val="21"/>
                    </w:rPr>
                    <w:t>新建</w:t>
                  </w:r>
                </w:p>
              </w:tc>
              <w:tc>
                <w:tcPr>
                  <w:tcW w:w="517" w:type="pct"/>
                  <w:tcBorders>
                    <w:tl2br w:val="nil"/>
                    <w:tr2bl w:val="nil"/>
                  </w:tcBorders>
                  <w:noWrap w:val="0"/>
                  <w:vAlign w:val="center"/>
                </w:tcPr>
                <w:p w14:paraId="06843EB3">
                  <w:pPr>
                    <w:spacing w:line="240" w:lineRule="auto"/>
                    <w:ind w:firstLine="0" w:firstLineChars="0"/>
                    <w:jc w:val="center"/>
                    <w:rPr>
                      <w:rFonts w:hint="eastAsia"/>
                      <w:color w:val="000000"/>
                      <w:sz w:val="21"/>
                      <w:szCs w:val="21"/>
                    </w:rPr>
                  </w:pPr>
                  <w:r>
                    <w:rPr>
                      <w:rFonts w:hint="eastAsia"/>
                      <w:color w:val="000000"/>
                      <w:sz w:val="21"/>
                      <w:szCs w:val="21"/>
                      <w:lang w:val="en-US" w:eastAsia="zh-CN"/>
                    </w:rPr>
                    <w:t>无变动</w:t>
                  </w:r>
                </w:p>
              </w:tc>
            </w:tr>
            <w:tr w14:paraId="26785B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361" w:type="pct"/>
                  <w:vMerge w:val="continue"/>
                  <w:tcBorders>
                    <w:tl2br w:val="nil"/>
                    <w:tr2bl w:val="nil"/>
                  </w:tcBorders>
                  <w:noWrap w:val="0"/>
                  <w:vAlign w:val="center"/>
                </w:tcPr>
                <w:p w14:paraId="3CB6E24F">
                  <w:pPr>
                    <w:spacing w:line="240" w:lineRule="auto"/>
                    <w:ind w:firstLine="0" w:firstLineChars="0"/>
                    <w:jc w:val="center"/>
                    <w:rPr>
                      <w:color w:val="000000"/>
                      <w:sz w:val="21"/>
                      <w:szCs w:val="21"/>
                      <w:highlight w:val="yellow"/>
                    </w:rPr>
                  </w:pPr>
                </w:p>
              </w:tc>
              <w:tc>
                <w:tcPr>
                  <w:tcW w:w="466" w:type="pct"/>
                  <w:tcBorders>
                    <w:tl2br w:val="nil"/>
                    <w:tr2bl w:val="nil"/>
                  </w:tcBorders>
                  <w:noWrap w:val="0"/>
                  <w:vAlign w:val="center"/>
                </w:tcPr>
                <w:p w14:paraId="7EC96404">
                  <w:pPr>
                    <w:spacing w:line="240" w:lineRule="auto"/>
                    <w:ind w:firstLine="0" w:firstLineChars="0"/>
                    <w:jc w:val="center"/>
                    <w:rPr>
                      <w:rFonts w:hint="eastAsia" w:eastAsia="宋体"/>
                      <w:color w:val="000000"/>
                      <w:sz w:val="21"/>
                      <w:szCs w:val="21"/>
                      <w:lang w:eastAsia="zh-CN"/>
                    </w:rPr>
                  </w:pPr>
                  <w:r>
                    <w:rPr>
                      <w:rFonts w:hint="eastAsia"/>
                      <w:color w:val="000000"/>
                      <w:sz w:val="21"/>
                      <w:szCs w:val="21"/>
                      <w:lang w:eastAsia="zh-CN"/>
                    </w:rPr>
                    <w:t>固体废物</w:t>
                  </w:r>
                </w:p>
              </w:tc>
              <w:tc>
                <w:tcPr>
                  <w:tcW w:w="3136" w:type="pct"/>
                  <w:tcBorders>
                    <w:tl2br w:val="nil"/>
                    <w:tr2bl w:val="nil"/>
                  </w:tcBorders>
                  <w:noWrap w:val="0"/>
                  <w:vAlign w:val="center"/>
                </w:tcPr>
                <w:p w14:paraId="38AC84B7">
                  <w:pPr>
                    <w:spacing w:line="240" w:lineRule="auto"/>
                    <w:ind w:firstLine="0" w:firstLineChars="0"/>
                    <w:rPr>
                      <w:rFonts w:hint="eastAsia" w:eastAsia="宋体"/>
                      <w:color w:val="000000"/>
                      <w:sz w:val="21"/>
                      <w:szCs w:val="21"/>
                      <w:lang w:eastAsia="zh-CN"/>
                    </w:rPr>
                  </w:pPr>
                  <w:r>
                    <w:rPr>
                      <w:rFonts w:hint="eastAsia"/>
                      <w:color w:val="000000"/>
                      <w:sz w:val="21"/>
                      <w:szCs w:val="21"/>
                    </w:rPr>
                    <w:t>生活垃圾收集后</w:t>
                  </w:r>
                  <w:r>
                    <w:rPr>
                      <w:rFonts w:hint="eastAsia" w:ascii="Times New Roman" w:hAnsi="Times New Roman" w:eastAsia="宋体" w:cs="Times New Roman"/>
                      <w:color w:val="000000"/>
                      <w:sz w:val="21"/>
                      <w:szCs w:val="21"/>
                    </w:rPr>
                    <w:t>交由环卫部门统一</w:t>
                  </w:r>
                  <w:r>
                    <w:rPr>
                      <w:rFonts w:hint="eastAsia" w:ascii="Times New Roman" w:hAnsi="Times New Roman" w:eastAsia="宋体" w:cs="Times New Roman"/>
                      <w:color w:val="000000"/>
                      <w:sz w:val="21"/>
                      <w:szCs w:val="21"/>
                      <w:lang w:eastAsia="zh-CN"/>
                    </w:rPr>
                    <w:t>处置；</w:t>
                  </w:r>
                  <w:r>
                    <w:rPr>
                      <w:rFonts w:hint="eastAsia" w:cs="Times New Roman"/>
                      <w:color w:val="000000"/>
                      <w:sz w:val="21"/>
                      <w:szCs w:val="21"/>
                      <w:lang w:eastAsia="zh-CN"/>
                    </w:rPr>
                    <w:t>地面清洁废水、破损包装容器、废拖布及劳保用品、</w:t>
                  </w:r>
                  <w:r>
                    <w:rPr>
                      <w:rFonts w:hint="eastAsia"/>
                      <w:color w:val="000000"/>
                      <w:sz w:val="21"/>
                      <w:szCs w:val="21"/>
                      <w:lang w:eastAsia="zh-CN"/>
                    </w:rPr>
                    <w:t>喷淋沉淀污泥</w:t>
                  </w:r>
                  <w:r>
                    <w:rPr>
                      <w:rFonts w:hint="eastAsia" w:cs="Times New Roman"/>
                      <w:color w:val="000000"/>
                      <w:sz w:val="21"/>
                      <w:szCs w:val="21"/>
                      <w:lang w:eastAsia="zh-CN"/>
                    </w:rPr>
                    <w:t>属危险废物，</w:t>
                  </w:r>
                  <w:r>
                    <w:rPr>
                      <w:rFonts w:hint="eastAsia"/>
                      <w:color w:val="000000"/>
                      <w:sz w:val="21"/>
                      <w:szCs w:val="21"/>
                    </w:rPr>
                    <w:t>收集后</w:t>
                  </w:r>
                  <w:r>
                    <w:rPr>
                      <w:rFonts w:hint="eastAsia"/>
                      <w:color w:val="000000"/>
                      <w:sz w:val="21"/>
                      <w:szCs w:val="21"/>
                      <w:lang w:eastAsia="zh-CN"/>
                    </w:rPr>
                    <w:t>分类存放于危废贮存点内，定期</w:t>
                  </w:r>
                  <w:r>
                    <w:rPr>
                      <w:rFonts w:hint="eastAsia"/>
                      <w:color w:val="000000"/>
                      <w:sz w:val="21"/>
                      <w:szCs w:val="21"/>
                    </w:rPr>
                    <w:t>交有危险废物处理资质的单位</w:t>
                  </w:r>
                  <w:r>
                    <w:rPr>
                      <w:rFonts w:hint="eastAsia"/>
                      <w:color w:val="000000"/>
                      <w:sz w:val="21"/>
                      <w:szCs w:val="21"/>
                      <w:lang w:eastAsia="zh-CN"/>
                    </w:rPr>
                    <w:t>处置</w:t>
                  </w:r>
                  <w:r>
                    <w:rPr>
                      <w:rFonts w:hint="eastAsia"/>
                      <w:color w:val="000000"/>
                      <w:sz w:val="21"/>
                      <w:szCs w:val="21"/>
                    </w:rPr>
                    <w:t>；</w:t>
                  </w:r>
                  <w:r>
                    <w:rPr>
                      <w:rFonts w:hint="eastAsia"/>
                      <w:color w:val="000000"/>
                      <w:sz w:val="21"/>
                      <w:szCs w:val="21"/>
                      <w:lang w:eastAsia="zh-CN"/>
                    </w:rPr>
                    <w:t>本</w:t>
                  </w:r>
                  <w:r>
                    <w:rPr>
                      <w:rFonts w:hint="eastAsia"/>
                      <w:color w:val="000000"/>
                      <w:sz w:val="21"/>
                      <w:szCs w:val="21"/>
                    </w:rPr>
                    <w:t>项目集中收集贮存的危险废物在</w:t>
                  </w:r>
                  <w:r>
                    <w:rPr>
                      <w:rFonts w:hint="eastAsia"/>
                      <w:color w:val="000000"/>
                      <w:sz w:val="21"/>
                      <w:szCs w:val="21"/>
                      <w:lang w:eastAsia="zh-CN"/>
                    </w:rPr>
                    <w:t>贮存设施</w:t>
                  </w:r>
                  <w:r>
                    <w:rPr>
                      <w:rFonts w:hint="eastAsia"/>
                      <w:color w:val="000000"/>
                      <w:sz w:val="21"/>
                      <w:szCs w:val="21"/>
                    </w:rPr>
                    <w:t>内暂存，定期交有危险废物处理资质的单位处理。</w:t>
                  </w:r>
                </w:p>
              </w:tc>
              <w:tc>
                <w:tcPr>
                  <w:tcW w:w="517" w:type="pct"/>
                  <w:tcBorders>
                    <w:tl2br w:val="nil"/>
                    <w:tr2bl w:val="nil"/>
                  </w:tcBorders>
                  <w:noWrap w:val="0"/>
                  <w:vAlign w:val="center"/>
                </w:tcPr>
                <w:p w14:paraId="0249465A">
                  <w:pPr>
                    <w:spacing w:line="240" w:lineRule="auto"/>
                    <w:ind w:firstLine="0" w:firstLineChars="0"/>
                    <w:jc w:val="center"/>
                    <w:rPr>
                      <w:color w:val="000000"/>
                      <w:sz w:val="21"/>
                      <w:szCs w:val="21"/>
                    </w:rPr>
                  </w:pPr>
                  <w:r>
                    <w:rPr>
                      <w:rFonts w:hint="eastAsia"/>
                      <w:color w:val="000000"/>
                      <w:sz w:val="21"/>
                      <w:szCs w:val="21"/>
                    </w:rPr>
                    <w:t>新建</w:t>
                  </w:r>
                </w:p>
              </w:tc>
              <w:tc>
                <w:tcPr>
                  <w:tcW w:w="517" w:type="pct"/>
                  <w:tcBorders>
                    <w:tl2br w:val="nil"/>
                    <w:tr2bl w:val="nil"/>
                  </w:tcBorders>
                  <w:noWrap w:val="0"/>
                  <w:vAlign w:val="center"/>
                </w:tcPr>
                <w:p w14:paraId="29744568">
                  <w:pPr>
                    <w:spacing w:line="240" w:lineRule="auto"/>
                    <w:ind w:firstLine="0" w:firstLineChars="0"/>
                    <w:jc w:val="center"/>
                    <w:rPr>
                      <w:rFonts w:hint="eastAsia"/>
                      <w:color w:val="000000"/>
                      <w:sz w:val="21"/>
                      <w:szCs w:val="21"/>
                    </w:rPr>
                  </w:pPr>
                  <w:r>
                    <w:rPr>
                      <w:rFonts w:hint="eastAsia"/>
                      <w:color w:val="000000"/>
                      <w:sz w:val="21"/>
                      <w:szCs w:val="21"/>
                      <w:lang w:val="en-US" w:eastAsia="zh-CN"/>
                    </w:rPr>
                    <w:t>无变动</w:t>
                  </w:r>
                </w:p>
              </w:tc>
            </w:tr>
            <w:tr w14:paraId="584F2A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361" w:type="pct"/>
                  <w:vMerge w:val="continue"/>
                  <w:tcBorders>
                    <w:tl2br w:val="nil"/>
                    <w:tr2bl w:val="nil"/>
                  </w:tcBorders>
                  <w:noWrap w:val="0"/>
                  <w:vAlign w:val="center"/>
                </w:tcPr>
                <w:p w14:paraId="25DE1947">
                  <w:pPr>
                    <w:spacing w:line="240" w:lineRule="auto"/>
                    <w:ind w:firstLine="0" w:firstLineChars="0"/>
                    <w:jc w:val="center"/>
                    <w:rPr>
                      <w:color w:val="000000"/>
                      <w:sz w:val="21"/>
                      <w:szCs w:val="21"/>
                      <w:highlight w:val="yellow"/>
                    </w:rPr>
                  </w:pPr>
                </w:p>
              </w:tc>
              <w:tc>
                <w:tcPr>
                  <w:tcW w:w="466" w:type="pct"/>
                  <w:tcBorders>
                    <w:tl2br w:val="nil"/>
                    <w:tr2bl w:val="nil"/>
                  </w:tcBorders>
                  <w:noWrap w:val="0"/>
                  <w:vAlign w:val="center"/>
                </w:tcPr>
                <w:p w14:paraId="6CBD0921">
                  <w:pPr>
                    <w:spacing w:line="240" w:lineRule="auto"/>
                    <w:ind w:firstLine="0" w:firstLineChars="0"/>
                    <w:jc w:val="center"/>
                    <w:rPr>
                      <w:rFonts w:hint="eastAsia" w:ascii="Times New Roman" w:hAnsi="Times New Roman" w:eastAsia="宋体" w:cs="Times New Roman"/>
                      <w:color w:val="000000"/>
                      <w:kern w:val="2"/>
                      <w:sz w:val="21"/>
                      <w:szCs w:val="21"/>
                      <w:lang w:val="en-US" w:eastAsia="zh-CN" w:bidi="ar-SA"/>
                    </w:rPr>
                  </w:pPr>
                  <w:r>
                    <w:rPr>
                      <w:rFonts w:hint="eastAsia"/>
                      <w:color w:val="000000"/>
                      <w:sz w:val="21"/>
                      <w:szCs w:val="21"/>
                      <w:lang w:eastAsia="zh-CN"/>
                    </w:rPr>
                    <w:t>环境风险</w:t>
                  </w:r>
                </w:p>
              </w:tc>
              <w:tc>
                <w:tcPr>
                  <w:tcW w:w="3136" w:type="pct"/>
                  <w:tcBorders>
                    <w:tl2br w:val="nil"/>
                    <w:tr2bl w:val="nil"/>
                  </w:tcBorders>
                  <w:noWrap w:val="0"/>
                  <w:vAlign w:val="center"/>
                </w:tcPr>
                <w:p w14:paraId="7215E572">
                  <w:pPr>
                    <w:spacing w:line="240" w:lineRule="auto"/>
                    <w:ind w:firstLine="0" w:firstLineChars="0"/>
                    <w:rPr>
                      <w:rFonts w:hint="default"/>
                      <w:color w:val="000000"/>
                      <w:sz w:val="21"/>
                      <w:szCs w:val="21"/>
                      <w:lang w:val="en-US" w:eastAsia="zh-CN"/>
                    </w:rPr>
                  </w:pPr>
                  <w:r>
                    <w:rPr>
                      <w:rFonts w:hint="eastAsia"/>
                      <w:color w:val="000000"/>
                      <w:sz w:val="21"/>
                      <w:szCs w:val="21"/>
                      <w:lang w:val="en-US" w:eastAsia="zh-CN"/>
                    </w:rPr>
                    <w:t>贮存设施四周新建挡水线（0.1m）形成闭合的围堰区（总面积530.97m</w:t>
                  </w:r>
                  <w:r>
                    <w:rPr>
                      <w:rFonts w:hint="eastAsia"/>
                      <w:color w:val="000000"/>
                      <w:sz w:val="21"/>
                      <w:szCs w:val="21"/>
                      <w:vertAlign w:val="superscript"/>
                      <w:lang w:val="en-US" w:eastAsia="zh-CN"/>
                    </w:rPr>
                    <w:t>2</w:t>
                  </w:r>
                  <w:r>
                    <w:rPr>
                      <w:rFonts w:hint="eastAsia"/>
                      <w:color w:val="000000"/>
                      <w:sz w:val="21"/>
                      <w:szCs w:val="21"/>
                      <w:lang w:val="en-US" w:eastAsia="zh-CN"/>
                    </w:rPr>
                    <w:t>），贮存一区东侧以及贮存二区南侧围堰设置落水管（内径300mm）与1F设置的截流沟150mm×150mm连通，截流沟与事故应急池连通；装卸区四周建设截流沟150mm×150mm与事故应急池连通，截流沟进行“可视化”设计；建设容积约35m</w:t>
                  </w:r>
                  <w:r>
                    <w:rPr>
                      <w:rFonts w:hint="eastAsia"/>
                      <w:color w:val="000000"/>
                      <w:sz w:val="21"/>
                      <w:szCs w:val="21"/>
                      <w:vertAlign w:val="superscript"/>
                      <w:lang w:val="en-US" w:eastAsia="zh-CN"/>
                    </w:rPr>
                    <w:t>3</w:t>
                  </w:r>
                  <w:r>
                    <w:rPr>
                      <w:rFonts w:hint="eastAsia"/>
                      <w:color w:val="000000"/>
                      <w:sz w:val="21"/>
                      <w:szCs w:val="21"/>
                      <w:lang w:val="en-US" w:eastAsia="zh-CN"/>
                    </w:rPr>
                    <w:t>的事故应急池；贮存危险废物时设置防风、防晒、防雨、防漏、防渗、防腐装置；实行分区防渗，事故应急池、截流沟、装卸区地面采用“黏土+20cm抗渗混凝土+2mm厚HDPE土工膜+7cm抗渗混凝土”结构进行防渗；贮存设施以及危废贮存点裙角、挡水线用2mm厚HDPE防渗膜做防渗处理；贮存设施以及危废贮存点地面采用“2mm厚HDPE土工膜+7cm抗渗混凝土”进行防渗；生化池及污水管网采取一般防渗措施；办公室进行地面硬化。专用电梯内运输依托“地牛+托盘”进行运输。贮存二区内贮存危险废物均设置在托盘内贮存。</w:t>
                  </w:r>
                </w:p>
              </w:tc>
              <w:tc>
                <w:tcPr>
                  <w:tcW w:w="517" w:type="pct"/>
                  <w:tcBorders>
                    <w:tl2br w:val="nil"/>
                    <w:tr2bl w:val="nil"/>
                  </w:tcBorders>
                  <w:noWrap w:val="0"/>
                  <w:vAlign w:val="center"/>
                </w:tcPr>
                <w:p w14:paraId="52587764">
                  <w:pPr>
                    <w:spacing w:line="240" w:lineRule="auto"/>
                    <w:ind w:firstLine="0" w:firstLineChars="0"/>
                    <w:jc w:val="center"/>
                    <w:rPr>
                      <w:rFonts w:hint="eastAsia" w:eastAsia="宋体"/>
                      <w:color w:val="000000"/>
                      <w:sz w:val="21"/>
                      <w:szCs w:val="21"/>
                      <w:lang w:eastAsia="zh-CN"/>
                    </w:rPr>
                  </w:pPr>
                  <w:r>
                    <w:rPr>
                      <w:rFonts w:hint="eastAsia"/>
                      <w:color w:val="000000"/>
                      <w:sz w:val="21"/>
                      <w:szCs w:val="21"/>
                      <w:lang w:eastAsia="zh-CN"/>
                    </w:rPr>
                    <w:t>新建</w:t>
                  </w:r>
                </w:p>
              </w:tc>
              <w:tc>
                <w:tcPr>
                  <w:tcW w:w="517" w:type="pct"/>
                  <w:tcBorders>
                    <w:tl2br w:val="nil"/>
                    <w:tr2bl w:val="nil"/>
                  </w:tcBorders>
                  <w:noWrap w:val="0"/>
                  <w:vAlign w:val="center"/>
                </w:tcPr>
                <w:p w14:paraId="758A6F29">
                  <w:pPr>
                    <w:spacing w:line="240" w:lineRule="auto"/>
                    <w:ind w:firstLine="0" w:firstLineChars="0"/>
                    <w:jc w:val="center"/>
                    <w:rPr>
                      <w:rFonts w:hint="eastAsia"/>
                      <w:color w:val="000000"/>
                      <w:sz w:val="21"/>
                      <w:szCs w:val="21"/>
                      <w:lang w:eastAsia="zh-CN"/>
                    </w:rPr>
                  </w:pPr>
                  <w:r>
                    <w:rPr>
                      <w:rFonts w:hint="eastAsia"/>
                      <w:color w:val="000000"/>
                      <w:sz w:val="21"/>
                      <w:szCs w:val="21"/>
                      <w:lang w:val="en-US" w:eastAsia="zh-CN"/>
                    </w:rPr>
                    <w:t>无变动</w:t>
                  </w:r>
                </w:p>
              </w:tc>
            </w:tr>
          </w:tbl>
          <w:p w14:paraId="07A16486">
            <w:pPr>
              <w:keepNext w:val="0"/>
              <w:keepLines w:val="0"/>
              <w:pageBreakBefore w:val="0"/>
              <w:tabs>
                <w:tab w:val="left" w:pos="900"/>
              </w:tabs>
              <w:kinsoku/>
              <w:wordWrap/>
              <w:overflowPunct/>
              <w:topLinePunct w:val="0"/>
              <w:autoSpaceDE/>
              <w:autoSpaceDN/>
              <w:bidi w:val="0"/>
              <w:adjustRightInd/>
              <w:snapToGrid w:val="0"/>
              <w:spacing w:line="240" w:lineRule="auto"/>
              <w:ind w:firstLine="420" w:firstLineChars="200"/>
              <w:textAlignment w:val="auto"/>
              <w:rPr>
                <w:rFonts w:hint="default" w:ascii="Times New Roman" w:hAnsi="Times New Roman" w:eastAsia="宋体" w:cs="Times New Roman"/>
                <w:b w:val="0"/>
                <w:bCs w:val="0"/>
                <w:color w:val="000000" w:themeColor="text1"/>
                <w:sz w:val="21"/>
                <w:szCs w:val="21"/>
                <w:lang w:val="en-US" w:eastAsia="en-US" w:bidi="ar"/>
                <w14:textFill>
                  <w14:solidFill>
                    <w14:schemeClr w14:val="tx1"/>
                  </w14:solidFill>
                </w14:textFill>
              </w:rPr>
            </w:pPr>
          </w:p>
          <w:p w14:paraId="745CEBB6">
            <w:pPr>
              <w:pStyle w:val="29"/>
              <w:bidi w:val="0"/>
              <w:rPr>
                <w:rFonts w:hint="default" w:ascii="Times New Roman" w:hAnsi="Times New Roman" w:eastAsia="宋体" w:cstheme="minorBidi"/>
                <w:b w:val="0"/>
                <w:bCs w:val="0"/>
                <w:color w:val="000000" w:themeColor="text1"/>
                <w:kern w:val="2"/>
                <w:sz w:val="24"/>
                <w:szCs w:val="24"/>
                <w:lang w:val="en-US" w:eastAsia="en-US" w:bidi="ar-SA"/>
                <w14:textFill>
                  <w14:solidFill>
                    <w14:schemeClr w14:val="tx1"/>
                  </w14:solidFill>
                </w14:textFill>
              </w:rPr>
            </w:pPr>
            <w:r>
              <w:rPr>
                <w:rFonts w:hint="default" w:ascii="Times New Roman" w:hAnsi="Times New Roman" w:eastAsia="宋体" w:cstheme="minorBidi"/>
                <w:b w:val="0"/>
                <w:bCs w:val="0"/>
                <w:color w:val="000000" w:themeColor="text1"/>
                <w:kern w:val="2"/>
                <w:sz w:val="24"/>
                <w:szCs w:val="24"/>
                <w:lang w:val="en-US" w:eastAsia="en-US" w:bidi="ar-SA"/>
                <w14:textFill>
                  <w14:solidFill>
                    <w14:schemeClr w14:val="tx1"/>
                  </w14:solidFill>
                </w14:textFill>
              </w:rPr>
              <w:t>劳动定员及工作制度：</w:t>
            </w:r>
          </w:p>
          <w:p w14:paraId="3A83BC2D">
            <w:pPr>
              <w:keepLines w:val="0"/>
              <w:pageBreakBefore w:val="0"/>
              <w:widowControl w:val="0"/>
              <w:kinsoku/>
              <w:wordWrap/>
              <w:topLinePunct w:val="0"/>
              <w:autoSpaceDE/>
              <w:autoSpaceDN/>
              <w:bidi w:val="0"/>
              <w:adjustRightInd/>
              <w:spacing w:line="460" w:lineRule="exact"/>
              <w:ind w:firstLine="480" w:firstLineChars="200"/>
              <w:textAlignment w:val="auto"/>
              <w:rPr>
                <w:rFonts w:hint="default" w:eastAsia="宋体"/>
                <w:color w:val="000000"/>
                <w:sz w:val="24"/>
                <w:szCs w:val="24"/>
                <w:lang w:val="en-US" w:eastAsia="zh-CN"/>
              </w:rPr>
            </w:pPr>
            <w:r>
              <w:rPr>
                <w:rFonts w:hint="eastAsia"/>
                <w:color w:val="000000"/>
                <w:sz w:val="24"/>
                <w:szCs w:val="24"/>
                <w:lang w:eastAsia="zh-CN"/>
              </w:rPr>
              <w:t>本项目</w:t>
            </w:r>
            <w:r>
              <w:rPr>
                <w:rFonts w:hint="eastAsia"/>
                <w:color w:val="000000"/>
                <w:sz w:val="24"/>
                <w:szCs w:val="24"/>
              </w:rPr>
              <w:t>劳动定员共</w:t>
            </w:r>
            <w:r>
              <w:rPr>
                <w:rFonts w:hint="eastAsia"/>
                <w:color w:val="000000"/>
                <w:sz w:val="24"/>
                <w:szCs w:val="24"/>
                <w:lang w:val="en-US" w:eastAsia="zh-CN"/>
              </w:rPr>
              <w:t>6</w:t>
            </w:r>
            <w:r>
              <w:rPr>
                <w:rFonts w:hint="eastAsia"/>
                <w:color w:val="000000"/>
                <w:sz w:val="24"/>
                <w:szCs w:val="24"/>
              </w:rPr>
              <w:t>人，8小时工作制，年工作</w:t>
            </w:r>
            <w:r>
              <w:rPr>
                <w:color w:val="000000"/>
                <w:sz w:val="24"/>
                <w:szCs w:val="24"/>
              </w:rPr>
              <w:t>365</w:t>
            </w:r>
            <w:r>
              <w:rPr>
                <w:rFonts w:hint="eastAsia"/>
                <w:color w:val="000000"/>
                <w:sz w:val="24"/>
                <w:szCs w:val="24"/>
              </w:rPr>
              <w:t>天。</w:t>
            </w:r>
            <w:r>
              <w:rPr>
                <w:rFonts w:hint="eastAsia"/>
                <w:color w:val="000000"/>
                <w:sz w:val="24"/>
                <w:szCs w:val="24"/>
                <w:lang w:eastAsia="zh-CN"/>
              </w:rPr>
              <w:t>安排</w:t>
            </w:r>
            <w:r>
              <w:rPr>
                <w:rFonts w:hint="eastAsia"/>
                <w:color w:val="000000"/>
                <w:sz w:val="24"/>
                <w:szCs w:val="24"/>
                <w:lang w:val="en-US" w:eastAsia="zh-CN"/>
              </w:rPr>
              <w:t>1人在厂区进行全天24h监管。</w:t>
            </w:r>
          </w:p>
          <w:p w14:paraId="358C0902">
            <w:pPr>
              <w:pStyle w:val="29"/>
              <w:bidi w:val="0"/>
              <w:rPr>
                <w:rFonts w:hint="eastAsia" w:ascii="宋体" w:hAnsi="宋体" w:cs="宋体" w:eastAsiaTheme="minorEastAsia"/>
                <w:b w:val="0"/>
                <w:bCs w:val="0"/>
                <w:color w:val="000000" w:themeColor="text1"/>
                <w:spacing w:val="3"/>
                <w:szCs w:val="22"/>
                <w:lang w:val="en-US" w:eastAsia="zh-CN" w:bidi="ar-SA"/>
                <w14:textFill>
                  <w14:solidFill>
                    <w14:schemeClr w14:val="tx1"/>
                  </w14:solidFill>
                </w14:textFill>
              </w:rPr>
            </w:pPr>
            <w:r>
              <w:rPr>
                <w:rFonts w:ascii="宋体" w:hAnsi="宋体" w:cs="宋体" w:eastAsiaTheme="minorEastAsia"/>
                <w:b w:val="0"/>
                <w:bCs w:val="0"/>
                <w:color w:val="000000" w:themeColor="text1"/>
                <w:spacing w:val="3"/>
                <w:szCs w:val="22"/>
                <w:lang w:val="en-US" w:eastAsia="en-US" w:bidi="ar-SA"/>
                <w14:textFill>
                  <w14:solidFill>
                    <w14:schemeClr w14:val="tx1"/>
                  </w14:solidFill>
                </w14:textFill>
              </w:rPr>
              <w:t>实际验收内容</w:t>
            </w:r>
            <w:r>
              <w:rPr>
                <w:rFonts w:hint="eastAsia" w:ascii="宋体" w:hAnsi="宋体" w:cs="宋体" w:eastAsiaTheme="minorEastAsia"/>
                <w:b w:val="0"/>
                <w:bCs w:val="0"/>
                <w:color w:val="000000" w:themeColor="text1"/>
                <w:spacing w:val="3"/>
                <w:szCs w:val="22"/>
                <w:lang w:val="en-US" w:eastAsia="zh-CN" w:bidi="ar-SA"/>
                <w14:textFill>
                  <w14:solidFill>
                    <w14:schemeClr w14:val="tx1"/>
                  </w14:solidFill>
                </w14:textFill>
              </w:rPr>
              <w:t>：</w:t>
            </w:r>
          </w:p>
          <w:p w14:paraId="1D2E5CF3">
            <w:pPr>
              <w:keepLines w:val="0"/>
              <w:pageBreakBefore w:val="0"/>
              <w:widowControl w:val="0"/>
              <w:kinsoku/>
              <w:wordWrap/>
              <w:topLinePunct w:val="0"/>
              <w:autoSpaceDE/>
              <w:autoSpaceDN/>
              <w:bidi w:val="0"/>
              <w:adjustRightInd/>
              <w:spacing w:line="460" w:lineRule="exact"/>
              <w:ind w:firstLine="480" w:firstLineChars="200"/>
              <w:textAlignment w:val="auto"/>
              <w:rPr>
                <w:rFonts w:hint="default" w:eastAsia="宋体"/>
                <w:color w:val="000000"/>
                <w:sz w:val="24"/>
                <w:szCs w:val="24"/>
                <w:lang w:val="en-US" w:eastAsia="zh-CN"/>
              </w:rPr>
            </w:pPr>
            <w:r>
              <w:rPr>
                <w:rFonts w:hint="eastAsia"/>
                <w:color w:val="000000"/>
                <w:sz w:val="24"/>
                <w:szCs w:val="24"/>
                <w:lang w:eastAsia="zh-CN"/>
              </w:rPr>
              <w:t>本项目</w:t>
            </w:r>
            <w:r>
              <w:rPr>
                <w:rFonts w:hint="eastAsia"/>
                <w:color w:val="000000"/>
                <w:sz w:val="24"/>
                <w:szCs w:val="24"/>
              </w:rPr>
              <w:t>劳动定员共</w:t>
            </w:r>
            <w:r>
              <w:rPr>
                <w:rFonts w:hint="eastAsia"/>
                <w:color w:val="000000"/>
                <w:sz w:val="24"/>
                <w:szCs w:val="24"/>
                <w:lang w:val="en-US" w:eastAsia="zh-CN"/>
              </w:rPr>
              <w:t>6</w:t>
            </w:r>
            <w:r>
              <w:rPr>
                <w:rFonts w:hint="eastAsia"/>
                <w:color w:val="000000"/>
                <w:sz w:val="24"/>
                <w:szCs w:val="24"/>
              </w:rPr>
              <w:t>人，8小时工作制，年工作</w:t>
            </w:r>
            <w:r>
              <w:rPr>
                <w:color w:val="000000"/>
                <w:sz w:val="24"/>
                <w:szCs w:val="24"/>
              </w:rPr>
              <w:t>365</w:t>
            </w:r>
            <w:r>
              <w:rPr>
                <w:rFonts w:hint="eastAsia"/>
                <w:color w:val="000000"/>
                <w:sz w:val="24"/>
                <w:szCs w:val="24"/>
              </w:rPr>
              <w:t>天。</w:t>
            </w:r>
            <w:r>
              <w:rPr>
                <w:rFonts w:hint="eastAsia"/>
                <w:color w:val="000000"/>
                <w:sz w:val="24"/>
                <w:szCs w:val="24"/>
                <w:lang w:eastAsia="zh-CN"/>
              </w:rPr>
              <w:t>安排</w:t>
            </w:r>
            <w:r>
              <w:rPr>
                <w:rFonts w:hint="eastAsia"/>
                <w:color w:val="000000"/>
                <w:sz w:val="24"/>
                <w:szCs w:val="24"/>
                <w:lang w:val="en-US" w:eastAsia="zh-CN"/>
              </w:rPr>
              <w:t>1人在厂区进行全天24h监管。</w:t>
            </w:r>
          </w:p>
          <w:p w14:paraId="73443DF8">
            <w:pPr>
              <w:pStyle w:val="29"/>
              <w:bidi w:val="0"/>
              <w:jc w:val="left"/>
              <w:rPr>
                <w:rFonts w:hint="eastAsia" w:ascii="宋体" w:hAnsi="宋体" w:cs="宋体" w:eastAsiaTheme="minorEastAsia"/>
                <w:b w:val="0"/>
                <w:bCs w:val="0"/>
                <w:color w:val="000000" w:themeColor="text1"/>
                <w:szCs w:val="22"/>
                <w:lang w:val="en-US" w:eastAsia="zh-CN" w:bidi="ar-SA"/>
                <w14:textFill>
                  <w14:solidFill>
                    <w14:schemeClr w14:val="tx1"/>
                  </w14:solidFill>
                </w14:textFill>
              </w:rPr>
            </w:pPr>
            <w:r>
              <w:rPr>
                <w:rFonts w:hint="eastAsia" w:ascii="宋体" w:hAnsi="宋体" w:cs="宋体" w:eastAsiaTheme="minorEastAsia"/>
                <w:b w:val="0"/>
                <w:bCs w:val="0"/>
                <w:color w:val="000000" w:themeColor="text1"/>
                <w:szCs w:val="22"/>
                <w:lang w:val="en-US" w:eastAsia="zh-CN" w:bidi="ar-SA"/>
                <w14:textFill>
                  <w14:solidFill>
                    <w14:schemeClr w14:val="tx1"/>
                  </w14:solidFill>
                </w14:textFill>
              </w:rPr>
              <w:t>（3）主要设备调查</w:t>
            </w:r>
          </w:p>
          <w:p w14:paraId="196E659C">
            <w:pPr>
              <w:pStyle w:val="29"/>
              <w:bidi w:val="0"/>
              <w:jc w:val="both"/>
              <w:rPr>
                <w:rFonts w:ascii="宋体" w:hAnsi="宋体"/>
                <w:color w:val="000000" w:themeColor="text1"/>
                <w:sz w:val="24"/>
                <w:szCs w:val="24"/>
                <w14:textFill>
                  <w14:solidFill>
                    <w14:schemeClr w14:val="tx1"/>
                  </w14:solidFill>
                </w14:textFill>
              </w:rPr>
            </w:pPr>
            <w:r>
              <w:rPr>
                <w:rFonts w:hint="eastAsia" w:ascii="宋体" w:hAnsi="宋体" w:cs="宋体" w:eastAsiaTheme="minorEastAsia"/>
                <w:b w:val="0"/>
                <w:bCs w:val="0"/>
                <w:color w:val="000000" w:themeColor="text1"/>
                <w:szCs w:val="22"/>
                <w:lang w:val="en-US" w:eastAsia="zh-CN" w:bidi="ar-SA"/>
                <w14:textFill>
                  <w14:solidFill>
                    <w14:schemeClr w14:val="tx1"/>
                  </w14:solidFill>
                </w14:textFill>
              </w:rPr>
              <w:t>根据本次验收调查可知，现场实际安装设备调查</w:t>
            </w:r>
            <w:r>
              <w:rPr>
                <w:rFonts w:ascii="宋体" w:hAnsi="宋体"/>
                <w:color w:val="000000" w:themeColor="text1"/>
                <w:sz w:val="24"/>
                <w:szCs w:val="24"/>
                <w14:textFill>
                  <w14:solidFill>
                    <w14:schemeClr w14:val="tx1"/>
                  </w14:solidFill>
                </w14:textFill>
              </w:rPr>
              <w:t>项目主要</w:t>
            </w:r>
            <w:r>
              <w:rPr>
                <w:rFonts w:hint="eastAsia" w:ascii="宋体" w:hAnsi="宋体"/>
                <w:color w:val="000000" w:themeColor="text1"/>
                <w:sz w:val="24"/>
                <w:szCs w:val="24"/>
                <w:lang w:val="en-US" w:eastAsia="zh-CN"/>
                <w14:textFill>
                  <w14:solidFill>
                    <w14:schemeClr w14:val="tx1"/>
                  </w14:solidFill>
                </w14:textFill>
              </w:rPr>
              <w:t>新增</w:t>
            </w:r>
            <w:r>
              <w:rPr>
                <w:rFonts w:ascii="宋体" w:hAnsi="宋体"/>
                <w:color w:val="000000" w:themeColor="text1"/>
                <w:sz w:val="24"/>
                <w:szCs w:val="24"/>
                <w14:textFill>
                  <w14:solidFill>
                    <w14:schemeClr w14:val="tx1"/>
                  </w14:solidFill>
                </w14:textFill>
              </w:rPr>
              <w:t>设备清单见表</w:t>
            </w:r>
            <w:r>
              <w:rPr>
                <w:rFonts w:hint="eastAsia" w:ascii="Times New Roman" w:hAnsi="Times New Roman"/>
                <w:color w:val="000000" w:themeColor="text1"/>
                <w:sz w:val="24"/>
                <w:szCs w:val="24"/>
                <w:lang w:val="en-US" w:eastAsia="zh-CN"/>
                <w14:textFill>
                  <w14:solidFill>
                    <w14:schemeClr w14:val="tx1"/>
                  </w14:solidFill>
                </w14:textFill>
              </w:rPr>
              <w:t>2</w:t>
            </w:r>
            <w:r>
              <w:rPr>
                <w:rFonts w:ascii="Times New Roman" w:hAnsi="Times New Roman"/>
                <w:color w:val="000000" w:themeColor="text1"/>
                <w:sz w:val="24"/>
                <w:szCs w:val="24"/>
                <w14:textFill>
                  <w14:solidFill>
                    <w14:schemeClr w14:val="tx1"/>
                  </w14:solidFill>
                </w14:textFill>
              </w:rPr>
              <w:t>-</w:t>
            </w:r>
            <w:r>
              <w:rPr>
                <w:rFonts w:hint="eastAsia" w:ascii="Times New Roman" w:hAnsi="Times New Roman"/>
                <w:color w:val="000000" w:themeColor="text1"/>
                <w:sz w:val="24"/>
                <w:szCs w:val="24"/>
                <w:lang w:val="en-US" w:eastAsia="zh-CN"/>
                <w14:textFill>
                  <w14:solidFill>
                    <w14:schemeClr w14:val="tx1"/>
                  </w14:solidFill>
                </w14:textFill>
              </w:rPr>
              <w:t>5</w:t>
            </w:r>
            <w:r>
              <w:rPr>
                <w:rFonts w:ascii="宋体" w:hAnsi="宋体"/>
                <w:color w:val="000000" w:themeColor="text1"/>
                <w:sz w:val="24"/>
                <w:szCs w:val="24"/>
                <w14:textFill>
                  <w14:solidFill>
                    <w14:schemeClr w14:val="tx1"/>
                  </w14:solidFill>
                </w14:textFill>
              </w:rPr>
              <w:t>，根据《部分工业行业淘汰落后生产工艺装备和产品指导目录（</w:t>
            </w:r>
            <w:r>
              <w:rPr>
                <w:rFonts w:ascii="Times New Roman" w:hAnsi="Times New Roman"/>
                <w:color w:val="000000" w:themeColor="text1"/>
                <w:sz w:val="24"/>
                <w:szCs w:val="24"/>
                <w14:textFill>
                  <w14:solidFill>
                    <w14:schemeClr w14:val="tx1"/>
                  </w14:solidFill>
                </w14:textFill>
              </w:rPr>
              <w:t>2010</w:t>
            </w:r>
            <w:r>
              <w:rPr>
                <w:rFonts w:ascii="宋体" w:hAnsi="宋体"/>
                <w:color w:val="000000" w:themeColor="text1"/>
                <w:sz w:val="24"/>
                <w:szCs w:val="24"/>
                <w14:textFill>
                  <w14:solidFill>
                    <w14:schemeClr w14:val="tx1"/>
                  </w14:solidFill>
                </w14:textFill>
              </w:rPr>
              <w:t>年本）》和《产业结构调整指导目录（</w:t>
            </w:r>
            <w:r>
              <w:rPr>
                <w:rFonts w:ascii="Times New Roman" w:hAnsi="Times New Roman"/>
                <w:color w:val="000000" w:themeColor="text1"/>
                <w:sz w:val="24"/>
                <w:szCs w:val="24"/>
                <w14:textFill>
                  <w14:solidFill>
                    <w14:schemeClr w14:val="tx1"/>
                  </w14:solidFill>
                </w14:textFill>
              </w:rPr>
              <w:t>20</w:t>
            </w:r>
            <w:r>
              <w:rPr>
                <w:rFonts w:hint="eastAsia" w:ascii="Times New Roman" w:hAnsi="Times New Roman"/>
                <w:color w:val="000000" w:themeColor="text1"/>
                <w:sz w:val="24"/>
                <w:szCs w:val="24"/>
                <w:lang w:val="en-US" w:eastAsia="zh-CN"/>
                <w14:textFill>
                  <w14:solidFill>
                    <w14:schemeClr w14:val="tx1"/>
                  </w14:solidFill>
                </w14:textFill>
              </w:rPr>
              <w:t>24</w:t>
            </w:r>
            <w:r>
              <w:rPr>
                <w:rFonts w:ascii="宋体" w:hAnsi="宋体"/>
                <w:color w:val="000000" w:themeColor="text1"/>
                <w:sz w:val="24"/>
                <w:szCs w:val="24"/>
                <w14:textFill>
                  <w14:solidFill>
                    <w14:schemeClr w14:val="tx1"/>
                  </w14:solidFill>
                </w14:textFill>
              </w:rPr>
              <w:t>年本）》，项目无淘汰落后设备。</w:t>
            </w:r>
          </w:p>
          <w:p w14:paraId="009EC489">
            <w:pPr>
              <w:pStyle w:val="29"/>
              <w:bidi w:val="0"/>
              <w:jc w:val="center"/>
              <w:rPr>
                <w:color w:val="000000" w:themeColor="text1"/>
                <w14:textFill>
                  <w14:solidFill>
                    <w14:schemeClr w14:val="tx1"/>
                  </w14:solidFill>
                </w14:textFill>
              </w:rPr>
            </w:pPr>
            <w:r>
              <w:rPr>
                <w:rFonts w:ascii="Times New Roman" w:hAnsi="宋体"/>
                <w:color w:val="000000" w:themeColor="text1"/>
                <w:sz w:val="24"/>
                <w:szCs w:val="24"/>
                <w14:textFill>
                  <w14:solidFill>
                    <w14:schemeClr w14:val="tx1"/>
                  </w14:solidFill>
                </w14:textFill>
              </w:rPr>
              <w:t>表</w:t>
            </w:r>
            <w:r>
              <w:rPr>
                <w:rFonts w:hint="eastAsia" w:ascii="Times New Roman" w:hAnsi="Times New Roman"/>
                <w:color w:val="000000" w:themeColor="text1"/>
                <w:sz w:val="24"/>
                <w:szCs w:val="24"/>
                <w:lang w:val="en-US" w:eastAsia="zh-CN"/>
                <w14:textFill>
                  <w14:solidFill>
                    <w14:schemeClr w14:val="tx1"/>
                  </w14:solidFill>
                </w14:textFill>
              </w:rPr>
              <w:t>2</w:t>
            </w:r>
            <w:r>
              <w:rPr>
                <w:rFonts w:ascii="Times New Roman" w:hAnsi="Times New Roman"/>
                <w:color w:val="000000" w:themeColor="text1"/>
                <w:sz w:val="24"/>
                <w:szCs w:val="24"/>
                <w14:textFill>
                  <w14:solidFill>
                    <w14:schemeClr w14:val="tx1"/>
                  </w14:solidFill>
                </w14:textFill>
              </w:rPr>
              <w:t>-</w:t>
            </w:r>
            <w:r>
              <w:rPr>
                <w:rFonts w:hint="eastAsia" w:ascii="Times New Roman" w:hAnsi="Times New Roman"/>
                <w:color w:val="000000" w:themeColor="text1"/>
                <w:sz w:val="24"/>
                <w:szCs w:val="24"/>
                <w:lang w:val="en-US" w:eastAsia="zh-CN"/>
                <w14:textFill>
                  <w14:solidFill>
                    <w14:schemeClr w14:val="tx1"/>
                  </w14:solidFill>
                </w14:textFill>
              </w:rPr>
              <w:t>5</w:t>
            </w:r>
            <w:r>
              <w:rPr>
                <w:rFonts w:ascii="Times New Roman" w:hAnsi="Times New Roman"/>
                <w:color w:val="000000" w:themeColor="text1"/>
                <w:sz w:val="24"/>
                <w:szCs w:val="24"/>
                <w14:textFill>
                  <w14:solidFill>
                    <w14:schemeClr w14:val="tx1"/>
                  </w14:solidFill>
                </w14:textFill>
              </w:rPr>
              <w:t xml:space="preserve">  </w:t>
            </w:r>
            <w:r>
              <w:rPr>
                <w:color w:val="000000" w:themeColor="text1"/>
                <w14:textFill>
                  <w14:solidFill>
                    <w14:schemeClr w14:val="tx1"/>
                  </w14:solidFill>
                </w14:textFill>
              </w:rPr>
              <w:t xml:space="preserve"> 项目主要生产设备一览表</w:t>
            </w:r>
          </w:p>
          <w:p w14:paraId="21FD4595">
            <w:pPr>
              <w:pStyle w:val="31"/>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项目主要生产设备一览表</w:t>
            </w:r>
          </w:p>
          <w:tbl>
            <w:tblPr>
              <w:tblStyle w:val="23"/>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6"/>
              <w:gridCol w:w="2028"/>
              <w:gridCol w:w="4902"/>
              <w:gridCol w:w="843"/>
              <w:gridCol w:w="866"/>
            </w:tblGrid>
            <w:tr w14:paraId="1B93E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79" w:type="pct"/>
                  <w:tcBorders>
                    <w:tl2br w:val="nil"/>
                    <w:tr2bl w:val="nil"/>
                  </w:tcBorders>
                  <w:noWrap w:val="0"/>
                  <w:vAlign w:val="center"/>
                </w:tcPr>
                <w:p w14:paraId="1B341D4D">
                  <w:pPr>
                    <w:spacing w:line="240" w:lineRule="auto"/>
                    <w:ind w:firstLine="0" w:firstLineChars="0"/>
                    <w:jc w:val="center"/>
                    <w:rPr>
                      <w:color w:val="000000"/>
                      <w:sz w:val="21"/>
                      <w:szCs w:val="21"/>
                    </w:rPr>
                  </w:pPr>
                  <w:r>
                    <w:rPr>
                      <w:rFonts w:hint="eastAsia"/>
                      <w:color w:val="000000"/>
                      <w:sz w:val="21"/>
                      <w:szCs w:val="21"/>
                    </w:rPr>
                    <w:t>序号</w:t>
                  </w:r>
                </w:p>
              </w:tc>
              <w:tc>
                <w:tcPr>
                  <w:tcW w:w="1061" w:type="pct"/>
                  <w:tcBorders>
                    <w:tl2br w:val="nil"/>
                    <w:tr2bl w:val="nil"/>
                  </w:tcBorders>
                  <w:noWrap w:val="0"/>
                  <w:vAlign w:val="center"/>
                </w:tcPr>
                <w:p w14:paraId="77DDC97B">
                  <w:pPr>
                    <w:spacing w:line="240" w:lineRule="auto"/>
                    <w:ind w:firstLine="0" w:firstLineChars="0"/>
                    <w:jc w:val="center"/>
                    <w:rPr>
                      <w:color w:val="000000"/>
                      <w:sz w:val="21"/>
                      <w:szCs w:val="21"/>
                    </w:rPr>
                  </w:pPr>
                  <w:r>
                    <w:rPr>
                      <w:rFonts w:hint="eastAsia"/>
                      <w:color w:val="000000"/>
                      <w:sz w:val="21"/>
                      <w:szCs w:val="21"/>
                    </w:rPr>
                    <w:t>设备名称</w:t>
                  </w:r>
                </w:p>
              </w:tc>
              <w:tc>
                <w:tcPr>
                  <w:tcW w:w="2564" w:type="pct"/>
                  <w:tcBorders>
                    <w:tl2br w:val="nil"/>
                    <w:tr2bl w:val="nil"/>
                  </w:tcBorders>
                  <w:noWrap w:val="0"/>
                  <w:vAlign w:val="center"/>
                </w:tcPr>
                <w:p w14:paraId="1BF9F7DC">
                  <w:pPr>
                    <w:spacing w:line="240" w:lineRule="auto"/>
                    <w:ind w:firstLine="0" w:firstLineChars="0"/>
                    <w:jc w:val="center"/>
                    <w:rPr>
                      <w:color w:val="000000"/>
                      <w:sz w:val="21"/>
                      <w:szCs w:val="21"/>
                    </w:rPr>
                  </w:pPr>
                  <w:r>
                    <w:rPr>
                      <w:rFonts w:hint="eastAsia"/>
                      <w:color w:val="000000"/>
                      <w:sz w:val="21"/>
                      <w:szCs w:val="21"/>
                    </w:rPr>
                    <w:t>型号/规格</w:t>
                  </w:r>
                </w:p>
              </w:tc>
              <w:tc>
                <w:tcPr>
                  <w:tcW w:w="441" w:type="pct"/>
                  <w:tcBorders>
                    <w:tl2br w:val="nil"/>
                    <w:tr2bl w:val="nil"/>
                  </w:tcBorders>
                  <w:noWrap w:val="0"/>
                  <w:vAlign w:val="center"/>
                </w:tcPr>
                <w:p w14:paraId="4969F4F6">
                  <w:pPr>
                    <w:spacing w:line="240" w:lineRule="auto"/>
                    <w:ind w:firstLine="0" w:firstLineChars="0"/>
                    <w:jc w:val="center"/>
                    <w:rPr>
                      <w:color w:val="000000"/>
                      <w:sz w:val="21"/>
                      <w:szCs w:val="21"/>
                    </w:rPr>
                  </w:pPr>
                  <w:r>
                    <w:rPr>
                      <w:rFonts w:hint="eastAsia"/>
                      <w:color w:val="000000"/>
                      <w:sz w:val="21"/>
                      <w:szCs w:val="21"/>
                    </w:rPr>
                    <w:t>单位</w:t>
                  </w:r>
                </w:p>
              </w:tc>
              <w:tc>
                <w:tcPr>
                  <w:tcW w:w="453" w:type="pct"/>
                  <w:tcBorders>
                    <w:tl2br w:val="nil"/>
                    <w:tr2bl w:val="nil"/>
                  </w:tcBorders>
                  <w:noWrap w:val="0"/>
                  <w:vAlign w:val="center"/>
                </w:tcPr>
                <w:p w14:paraId="2D2D188A">
                  <w:pPr>
                    <w:spacing w:line="240" w:lineRule="auto"/>
                    <w:ind w:firstLine="0" w:firstLineChars="0"/>
                    <w:jc w:val="center"/>
                    <w:rPr>
                      <w:color w:val="000000"/>
                      <w:sz w:val="21"/>
                      <w:szCs w:val="21"/>
                    </w:rPr>
                  </w:pPr>
                  <w:r>
                    <w:rPr>
                      <w:rFonts w:hint="eastAsia"/>
                      <w:color w:val="000000"/>
                      <w:sz w:val="21"/>
                      <w:szCs w:val="21"/>
                    </w:rPr>
                    <w:t>数量</w:t>
                  </w:r>
                </w:p>
              </w:tc>
            </w:tr>
            <w:tr w14:paraId="1A0DB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79" w:type="pct"/>
                  <w:tcBorders>
                    <w:tl2br w:val="nil"/>
                    <w:tr2bl w:val="nil"/>
                  </w:tcBorders>
                  <w:noWrap w:val="0"/>
                  <w:vAlign w:val="center"/>
                </w:tcPr>
                <w:p w14:paraId="216A62CA">
                  <w:pPr>
                    <w:spacing w:line="240" w:lineRule="auto"/>
                    <w:ind w:firstLine="0" w:firstLineChars="0"/>
                    <w:jc w:val="center"/>
                    <w:rPr>
                      <w:color w:val="000000"/>
                      <w:sz w:val="21"/>
                      <w:szCs w:val="21"/>
                    </w:rPr>
                  </w:pPr>
                  <w:r>
                    <w:rPr>
                      <w:rFonts w:hint="eastAsia"/>
                      <w:color w:val="000000"/>
                      <w:sz w:val="21"/>
                      <w:szCs w:val="21"/>
                    </w:rPr>
                    <w:t>1</w:t>
                  </w:r>
                </w:p>
              </w:tc>
              <w:tc>
                <w:tcPr>
                  <w:tcW w:w="1061" w:type="pct"/>
                  <w:tcBorders>
                    <w:tl2br w:val="nil"/>
                    <w:tr2bl w:val="nil"/>
                  </w:tcBorders>
                  <w:noWrap w:val="0"/>
                  <w:vAlign w:val="center"/>
                </w:tcPr>
                <w:p w14:paraId="46495335">
                  <w:pPr>
                    <w:spacing w:line="240" w:lineRule="auto"/>
                    <w:ind w:firstLine="0" w:firstLineChars="0"/>
                    <w:jc w:val="center"/>
                    <w:rPr>
                      <w:rFonts w:ascii="Times New Roman" w:hAnsi="Times New Roman" w:eastAsia="宋体" w:cs="Times New Roman"/>
                      <w:color w:val="000000"/>
                      <w:kern w:val="2"/>
                      <w:sz w:val="21"/>
                      <w:szCs w:val="21"/>
                      <w:lang w:val="en-US" w:eastAsia="zh-CN" w:bidi="ar-SA"/>
                    </w:rPr>
                  </w:pPr>
                  <w:r>
                    <w:rPr>
                      <w:rFonts w:hint="eastAsia"/>
                      <w:color w:val="000000"/>
                      <w:sz w:val="21"/>
                      <w:szCs w:val="21"/>
                    </w:rPr>
                    <w:t>视频监控</w:t>
                  </w:r>
                </w:p>
              </w:tc>
              <w:tc>
                <w:tcPr>
                  <w:tcW w:w="2564" w:type="pct"/>
                  <w:tcBorders>
                    <w:tl2br w:val="nil"/>
                    <w:tr2bl w:val="nil"/>
                  </w:tcBorders>
                  <w:noWrap w:val="0"/>
                  <w:vAlign w:val="center"/>
                </w:tcPr>
                <w:p w14:paraId="2467C6E9">
                  <w:pPr>
                    <w:spacing w:line="240" w:lineRule="auto"/>
                    <w:ind w:firstLine="0" w:firstLineChars="0"/>
                    <w:jc w:val="center"/>
                    <w:rPr>
                      <w:rFonts w:ascii="Times New Roman" w:hAnsi="Times New Roman" w:eastAsia="宋体" w:cs="Times New Roman"/>
                      <w:color w:val="000000"/>
                      <w:kern w:val="2"/>
                      <w:sz w:val="21"/>
                      <w:szCs w:val="21"/>
                      <w:lang w:val="en-US" w:eastAsia="zh-CN" w:bidi="ar-SA"/>
                    </w:rPr>
                  </w:pPr>
                  <w:r>
                    <w:rPr>
                      <w:rFonts w:hint="eastAsia"/>
                      <w:color w:val="000000"/>
                      <w:sz w:val="21"/>
                      <w:szCs w:val="21"/>
                    </w:rPr>
                    <w:t>/</w:t>
                  </w:r>
                </w:p>
              </w:tc>
              <w:tc>
                <w:tcPr>
                  <w:tcW w:w="441" w:type="pct"/>
                  <w:tcBorders>
                    <w:tl2br w:val="nil"/>
                    <w:tr2bl w:val="nil"/>
                  </w:tcBorders>
                  <w:noWrap w:val="0"/>
                  <w:vAlign w:val="center"/>
                </w:tcPr>
                <w:p w14:paraId="430C865F">
                  <w:pPr>
                    <w:spacing w:line="240" w:lineRule="auto"/>
                    <w:ind w:firstLine="0" w:firstLineChars="0"/>
                    <w:jc w:val="center"/>
                    <w:rPr>
                      <w:rFonts w:ascii="Times New Roman" w:hAnsi="Times New Roman" w:eastAsia="宋体" w:cs="Times New Roman"/>
                      <w:color w:val="000000"/>
                      <w:kern w:val="2"/>
                      <w:sz w:val="21"/>
                      <w:szCs w:val="21"/>
                      <w:lang w:val="en-US" w:eastAsia="zh-CN" w:bidi="ar-SA"/>
                    </w:rPr>
                  </w:pPr>
                  <w:r>
                    <w:rPr>
                      <w:rFonts w:hint="eastAsia"/>
                      <w:color w:val="000000"/>
                      <w:sz w:val="21"/>
                      <w:szCs w:val="21"/>
                    </w:rPr>
                    <w:t>套</w:t>
                  </w:r>
                </w:p>
              </w:tc>
              <w:tc>
                <w:tcPr>
                  <w:tcW w:w="453" w:type="pct"/>
                  <w:tcBorders>
                    <w:tl2br w:val="nil"/>
                    <w:tr2bl w:val="nil"/>
                  </w:tcBorders>
                  <w:noWrap w:val="0"/>
                  <w:vAlign w:val="center"/>
                </w:tcPr>
                <w:p w14:paraId="0DB7A6CB">
                  <w:pPr>
                    <w:spacing w:line="240" w:lineRule="auto"/>
                    <w:ind w:firstLine="0" w:firstLineChars="0"/>
                    <w:jc w:val="center"/>
                    <w:rPr>
                      <w:rFonts w:hint="eastAsia" w:ascii="Times New Roman" w:hAnsi="Times New Roman" w:eastAsia="宋体" w:cs="Times New Roman"/>
                      <w:color w:val="000000"/>
                      <w:kern w:val="2"/>
                      <w:sz w:val="21"/>
                      <w:szCs w:val="21"/>
                      <w:lang w:val="en-US" w:eastAsia="zh-CN" w:bidi="ar-SA"/>
                    </w:rPr>
                  </w:pPr>
                  <w:r>
                    <w:rPr>
                      <w:rFonts w:hint="eastAsia"/>
                      <w:color w:val="000000"/>
                      <w:sz w:val="21"/>
                      <w:szCs w:val="21"/>
                      <w:lang w:val="en-US" w:eastAsia="zh-CN"/>
                    </w:rPr>
                    <w:t>2</w:t>
                  </w:r>
                </w:p>
              </w:tc>
            </w:tr>
            <w:tr w14:paraId="33BAC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79" w:type="pct"/>
                  <w:tcBorders>
                    <w:tl2br w:val="nil"/>
                    <w:tr2bl w:val="nil"/>
                  </w:tcBorders>
                  <w:noWrap w:val="0"/>
                  <w:vAlign w:val="center"/>
                </w:tcPr>
                <w:p w14:paraId="784940C0">
                  <w:pPr>
                    <w:spacing w:line="240" w:lineRule="auto"/>
                    <w:ind w:firstLine="0" w:firstLineChars="0"/>
                    <w:jc w:val="center"/>
                    <w:rPr>
                      <w:color w:val="000000"/>
                      <w:sz w:val="21"/>
                      <w:szCs w:val="21"/>
                    </w:rPr>
                  </w:pPr>
                  <w:r>
                    <w:rPr>
                      <w:rFonts w:hint="eastAsia"/>
                      <w:color w:val="000000"/>
                      <w:sz w:val="21"/>
                      <w:szCs w:val="21"/>
                    </w:rPr>
                    <w:t>2</w:t>
                  </w:r>
                </w:p>
              </w:tc>
              <w:tc>
                <w:tcPr>
                  <w:tcW w:w="1061" w:type="pct"/>
                  <w:tcBorders>
                    <w:tl2br w:val="nil"/>
                    <w:tr2bl w:val="nil"/>
                  </w:tcBorders>
                  <w:noWrap w:val="0"/>
                  <w:vAlign w:val="center"/>
                </w:tcPr>
                <w:p w14:paraId="41508014">
                  <w:pPr>
                    <w:spacing w:line="240" w:lineRule="auto"/>
                    <w:ind w:firstLine="0" w:firstLineChars="0"/>
                    <w:jc w:val="center"/>
                    <w:rPr>
                      <w:rFonts w:hint="eastAsia" w:ascii="Times New Roman" w:hAnsi="Times New Roman" w:eastAsia="宋体" w:cs="Times New Roman"/>
                      <w:color w:val="000000"/>
                      <w:kern w:val="2"/>
                      <w:sz w:val="21"/>
                      <w:szCs w:val="21"/>
                      <w:lang w:val="en-US" w:eastAsia="zh-CN" w:bidi="ar-SA"/>
                    </w:rPr>
                  </w:pPr>
                  <w:r>
                    <w:rPr>
                      <w:rFonts w:hint="eastAsia"/>
                      <w:color w:val="000000"/>
                      <w:sz w:val="21"/>
                      <w:szCs w:val="21"/>
                    </w:rPr>
                    <w:t>风机</w:t>
                  </w:r>
                </w:p>
              </w:tc>
              <w:tc>
                <w:tcPr>
                  <w:tcW w:w="2564" w:type="pct"/>
                  <w:tcBorders>
                    <w:tl2br w:val="nil"/>
                    <w:tr2bl w:val="nil"/>
                  </w:tcBorders>
                  <w:noWrap w:val="0"/>
                  <w:vAlign w:val="center"/>
                </w:tcPr>
                <w:p w14:paraId="0D22989F">
                  <w:pPr>
                    <w:spacing w:line="240" w:lineRule="auto"/>
                    <w:ind w:firstLine="0" w:firstLineChars="0"/>
                    <w:jc w:val="center"/>
                    <w:rPr>
                      <w:rFonts w:hint="default" w:ascii="Times New Roman" w:hAnsi="Times New Roman" w:eastAsia="宋体" w:cs="Times New Roman"/>
                      <w:color w:val="000000"/>
                      <w:kern w:val="2"/>
                      <w:sz w:val="21"/>
                      <w:szCs w:val="21"/>
                      <w:lang w:val="en-US" w:eastAsia="zh-CN" w:bidi="ar-SA"/>
                    </w:rPr>
                  </w:pPr>
                  <w:r>
                    <w:rPr>
                      <w:rFonts w:hint="eastAsia"/>
                      <w:color w:val="000000"/>
                      <w:sz w:val="21"/>
                      <w:szCs w:val="21"/>
                      <w:lang w:val="en-US" w:eastAsia="zh-CN"/>
                    </w:rPr>
                    <w:t>风量：1000</w:t>
                  </w:r>
                  <w:r>
                    <w:rPr>
                      <w:color w:val="000000"/>
                      <w:sz w:val="21"/>
                      <w:szCs w:val="21"/>
                    </w:rPr>
                    <w:t>m</w:t>
                  </w:r>
                  <w:r>
                    <w:rPr>
                      <w:color w:val="000000"/>
                      <w:sz w:val="21"/>
                      <w:szCs w:val="21"/>
                      <w:vertAlign w:val="superscript"/>
                    </w:rPr>
                    <w:t>3</w:t>
                  </w:r>
                  <w:r>
                    <w:rPr>
                      <w:color w:val="000000"/>
                      <w:sz w:val="21"/>
                      <w:szCs w:val="21"/>
                    </w:rPr>
                    <w:t>/h</w:t>
                  </w:r>
                </w:p>
              </w:tc>
              <w:tc>
                <w:tcPr>
                  <w:tcW w:w="441" w:type="pct"/>
                  <w:tcBorders>
                    <w:tl2br w:val="nil"/>
                    <w:tr2bl w:val="nil"/>
                  </w:tcBorders>
                  <w:noWrap w:val="0"/>
                  <w:vAlign w:val="center"/>
                </w:tcPr>
                <w:p w14:paraId="4E138659">
                  <w:pPr>
                    <w:spacing w:line="240" w:lineRule="auto"/>
                    <w:ind w:firstLine="0" w:firstLineChars="0"/>
                    <w:jc w:val="center"/>
                    <w:rPr>
                      <w:rFonts w:hint="eastAsia" w:ascii="Times New Roman" w:hAnsi="Times New Roman" w:eastAsia="宋体" w:cs="Times New Roman"/>
                      <w:color w:val="000000"/>
                      <w:kern w:val="2"/>
                      <w:sz w:val="21"/>
                      <w:szCs w:val="21"/>
                      <w:lang w:val="en-US" w:eastAsia="zh-CN" w:bidi="ar-SA"/>
                    </w:rPr>
                  </w:pPr>
                  <w:r>
                    <w:rPr>
                      <w:rFonts w:hint="eastAsia"/>
                      <w:color w:val="000000"/>
                      <w:sz w:val="21"/>
                      <w:szCs w:val="21"/>
                    </w:rPr>
                    <w:t>台</w:t>
                  </w:r>
                </w:p>
              </w:tc>
              <w:tc>
                <w:tcPr>
                  <w:tcW w:w="453" w:type="pct"/>
                  <w:tcBorders>
                    <w:tl2br w:val="nil"/>
                    <w:tr2bl w:val="nil"/>
                  </w:tcBorders>
                  <w:noWrap w:val="0"/>
                  <w:vAlign w:val="center"/>
                </w:tcPr>
                <w:p w14:paraId="68C4BF32">
                  <w:pPr>
                    <w:spacing w:line="240" w:lineRule="auto"/>
                    <w:ind w:firstLine="0" w:firstLineChars="0"/>
                    <w:jc w:val="center"/>
                    <w:rPr>
                      <w:rFonts w:hint="default" w:ascii="Times New Roman" w:hAnsi="Times New Roman" w:eastAsia="宋体" w:cs="Times New Roman"/>
                      <w:color w:val="000000"/>
                      <w:kern w:val="2"/>
                      <w:sz w:val="21"/>
                      <w:szCs w:val="21"/>
                      <w:lang w:val="en-US" w:eastAsia="zh-CN" w:bidi="ar-SA"/>
                    </w:rPr>
                  </w:pPr>
                  <w:r>
                    <w:rPr>
                      <w:rFonts w:hint="eastAsia"/>
                      <w:color w:val="000000"/>
                      <w:sz w:val="21"/>
                      <w:szCs w:val="21"/>
                      <w:lang w:val="en-US" w:eastAsia="zh-CN"/>
                    </w:rPr>
                    <w:t>1</w:t>
                  </w:r>
                </w:p>
              </w:tc>
            </w:tr>
            <w:tr w14:paraId="3515B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79" w:type="pct"/>
                  <w:tcBorders>
                    <w:tl2br w:val="nil"/>
                    <w:tr2bl w:val="nil"/>
                  </w:tcBorders>
                  <w:noWrap w:val="0"/>
                  <w:vAlign w:val="center"/>
                </w:tcPr>
                <w:p w14:paraId="309FECE8">
                  <w:pPr>
                    <w:spacing w:line="240" w:lineRule="auto"/>
                    <w:ind w:firstLine="0" w:firstLineChars="0"/>
                    <w:jc w:val="center"/>
                    <w:rPr>
                      <w:rFonts w:hint="default" w:ascii="Times New Roman" w:hAnsi="Times New Roman" w:eastAsia="宋体" w:cs="Times New Roman"/>
                      <w:color w:val="000000"/>
                      <w:kern w:val="2"/>
                      <w:sz w:val="21"/>
                      <w:szCs w:val="21"/>
                      <w:lang w:val="en-US" w:eastAsia="zh-CN" w:bidi="ar-SA"/>
                    </w:rPr>
                  </w:pPr>
                  <w:r>
                    <w:rPr>
                      <w:rFonts w:hint="eastAsia"/>
                      <w:color w:val="000000"/>
                      <w:sz w:val="21"/>
                      <w:szCs w:val="21"/>
                      <w:lang w:val="en-US" w:eastAsia="zh-CN"/>
                    </w:rPr>
                    <w:t>3</w:t>
                  </w:r>
                </w:p>
              </w:tc>
              <w:tc>
                <w:tcPr>
                  <w:tcW w:w="1061" w:type="pct"/>
                  <w:tcBorders>
                    <w:tl2br w:val="nil"/>
                    <w:tr2bl w:val="nil"/>
                  </w:tcBorders>
                  <w:noWrap w:val="0"/>
                  <w:vAlign w:val="center"/>
                </w:tcPr>
                <w:p w14:paraId="21D4E6DB">
                  <w:pPr>
                    <w:spacing w:line="240" w:lineRule="auto"/>
                    <w:ind w:firstLine="0" w:firstLineChars="0"/>
                    <w:jc w:val="center"/>
                    <w:rPr>
                      <w:rFonts w:hint="eastAsia" w:ascii="Times New Roman" w:hAnsi="Times New Roman" w:eastAsia="宋体" w:cs="Times New Roman"/>
                      <w:color w:val="000000"/>
                      <w:kern w:val="2"/>
                      <w:sz w:val="21"/>
                      <w:szCs w:val="21"/>
                      <w:lang w:val="en-US" w:eastAsia="zh-CN" w:bidi="ar-SA"/>
                    </w:rPr>
                  </w:pPr>
                  <w:r>
                    <w:rPr>
                      <w:rFonts w:hint="eastAsia"/>
                      <w:color w:val="000000"/>
                      <w:sz w:val="21"/>
                      <w:szCs w:val="21"/>
                      <w:lang w:eastAsia="zh-CN"/>
                    </w:rPr>
                    <w:t>喷淋塔</w:t>
                  </w:r>
                </w:p>
              </w:tc>
              <w:tc>
                <w:tcPr>
                  <w:tcW w:w="2564" w:type="pct"/>
                  <w:tcBorders>
                    <w:tl2br w:val="nil"/>
                    <w:tr2bl w:val="nil"/>
                  </w:tcBorders>
                  <w:noWrap w:val="0"/>
                  <w:vAlign w:val="center"/>
                </w:tcPr>
                <w:p w14:paraId="0AA26934">
                  <w:pPr>
                    <w:spacing w:line="240" w:lineRule="auto"/>
                    <w:ind w:firstLine="0" w:firstLineChars="0"/>
                    <w:jc w:val="center"/>
                    <w:rPr>
                      <w:rFonts w:hint="default" w:ascii="Times New Roman" w:hAnsi="Times New Roman" w:eastAsia="宋体" w:cs="Times New Roman"/>
                      <w:color w:val="000000"/>
                      <w:kern w:val="2"/>
                      <w:sz w:val="21"/>
                      <w:szCs w:val="21"/>
                      <w:lang w:val="en-US" w:eastAsia="zh-CN" w:bidi="ar-SA"/>
                    </w:rPr>
                  </w:pPr>
                  <w:r>
                    <w:rPr>
                      <w:rFonts w:hint="eastAsia"/>
                      <w:color w:val="000000"/>
                      <w:sz w:val="21"/>
                      <w:szCs w:val="21"/>
                      <w:lang w:val="en-US" w:eastAsia="zh-CN"/>
                    </w:rPr>
                    <w:t>/</w:t>
                  </w:r>
                </w:p>
              </w:tc>
              <w:tc>
                <w:tcPr>
                  <w:tcW w:w="441" w:type="pct"/>
                  <w:tcBorders>
                    <w:tl2br w:val="nil"/>
                    <w:tr2bl w:val="nil"/>
                  </w:tcBorders>
                  <w:noWrap w:val="0"/>
                  <w:vAlign w:val="center"/>
                </w:tcPr>
                <w:p w14:paraId="269A73CA">
                  <w:pPr>
                    <w:spacing w:line="240" w:lineRule="auto"/>
                    <w:ind w:firstLine="0" w:firstLineChars="0"/>
                    <w:jc w:val="center"/>
                    <w:rPr>
                      <w:rFonts w:hint="eastAsia" w:ascii="Times New Roman" w:hAnsi="Times New Roman" w:eastAsia="宋体" w:cs="Times New Roman"/>
                      <w:color w:val="000000"/>
                      <w:kern w:val="2"/>
                      <w:sz w:val="21"/>
                      <w:szCs w:val="21"/>
                      <w:lang w:val="en-US" w:eastAsia="zh-CN" w:bidi="ar-SA"/>
                    </w:rPr>
                  </w:pPr>
                  <w:r>
                    <w:rPr>
                      <w:rFonts w:hint="eastAsia"/>
                      <w:color w:val="000000"/>
                      <w:sz w:val="21"/>
                      <w:szCs w:val="21"/>
                      <w:lang w:val="en-US" w:eastAsia="zh-CN"/>
                    </w:rPr>
                    <w:t>台</w:t>
                  </w:r>
                </w:p>
              </w:tc>
              <w:tc>
                <w:tcPr>
                  <w:tcW w:w="453" w:type="pct"/>
                  <w:tcBorders>
                    <w:tl2br w:val="nil"/>
                    <w:tr2bl w:val="nil"/>
                  </w:tcBorders>
                  <w:noWrap w:val="0"/>
                  <w:vAlign w:val="center"/>
                </w:tcPr>
                <w:p w14:paraId="49D4FD67">
                  <w:pPr>
                    <w:spacing w:line="240" w:lineRule="auto"/>
                    <w:ind w:firstLine="0" w:firstLineChars="0"/>
                    <w:jc w:val="center"/>
                    <w:rPr>
                      <w:rFonts w:hint="default" w:ascii="Times New Roman" w:hAnsi="Times New Roman" w:eastAsia="宋体" w:cs="Times New Roman"/>
                      <w:color w:val="000000"/>
                      <w:kern w:val="2"/>
                      <w:sz w:val="21"/>
                      <w:szCs w:val="21"/>
                      <w:lang w:val="en-US" w:eastAsia="zh-CN" w:bidi="ar-SA"/>
                    </w:rPr>
                  </w:pPr>
                  <w:r>
                    <w:rPr>
                      <w:rFonts w:hint="eastAsia"/>
                      <w:color w:val="000000"/>
                      <w:sz w:val="21"/>
                      <w:szCs w:val="21"/>
                      <w:lang w:val="en-US" w:eastAsia="zh-CN"/>
                    </w:rPr>
                    <w:t>1</w:t>
                  </w:r>
                </w:p>
              </w:tc>
            </w:tr>
            <w:tr w14:paraId="6EB1F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79" w:type="pct"/>
                  <w:tcBorders>
                    <w:tl2br w:val="nil"/>
                    <w:tr2bl w:val="nil"/>
                  </w:tcBorders>
                  <w:noWrap w:val="0"/>
                  <w:vAlign w:val="center"/>
                </w:tcPr>
                <w:p w14:paraId="1E6AF00D">
                  <w:pPr>
                    <w:spacing w:line="240" w:lineRule="auto"/>
                    <w:ind w:firstLine="0" w:firstLineChars="0"/>
                    <w:jc w:val="center"/>
                    <w:rPr>
                      <w:rFonts w:hint="eastAsia" w:ascii="Times New Roman" w:hAnsi="Times New Roman" w:eastAsia="宋体" w:cs="Times New Roman"/>
                      <w:color w:val="000000"/>
                      <w:kern w:val="2"/>
                      <w:sz w:val="21"/>
                      <w:szCs w:val="21"/>
                      <w:lang w:val="en-US" w:eastAsia="zh-CN" w:bidi="ar-SA"/>
                    </w:rPr>
                  </w:pPr>
                  <w:r>
                    <w:rPr>
                      <w:rFonts w:hint="eastAsia"/>
                      <w:color w:val="000000"/>
                      <w:sz w:val="21"/>
                      <w:szCs w:val="21"/>
                      <w:lang w:val="en-US" w:eastAsia="zh-CN"/>
                    </w:rPr>
                    <w:t>4</w:t>
                  </w:r>
                </w:p>
              </w:tc>
              <w:tc>
                <w:tcPr>
                  <w:tcW w:w="1061" w:type="pct"/>
                  <w:tcBorders>
                    <w:tl2br w:val="nil"/>
                    <w:tr2bl w:val="nil"/>
                  </w:tcBorders>
                  <w:noWrap w:val="0"/>
                  <w:vAlign w:val="center"/>
                </w:tcPr>
                <w:p w14:paraId="16EA3F3F">
                  <w:pPr>
                    <w:spacing w:line="240" w:lineRule="auto"/>
                    <w:ind w:firstLine="0" w:firstLineChars="0"/>
                    <w:jc w:val="center"/>
                    <w:rPr>
                      <w:rFonts w:hint="eastAsia" w:ascii="Times New Roman" w:hAnsi="Times New Roman" w:eastAsia="宋体" w:cs="Times New Roman"/>
                      <w:color w:val="000000"/>
                      <w:kern w:val="2"/>
                      <w:sz w:val="21"/>
                      <w:szCs w:val="21"/>
                      <w:lang w:val="en-US" w:eastAsia="zh-CN" w:bidi="ar-SA"/>
                    </w:rPr>
                  </w:pPr>
                  <w:r>
                    <w:rPr>
                      <w:rFonts w:hint="eastAsia"/>
                      <w:color w:val="000000"/>
                      <w:sz w:val="21"/>
                      <w:szCs w:val="21"/>
                      <w:lang w:eastAsia="zh-CN"/>
                    </w:rPr>
                    <w:t>电子称</w:t>
                  </w:r>
                </w:p>
              </w:tc>
              <w:tc>
                <w:tcPr>
                  <w:tcW w:w="2564" w:type="pct"/>
                  <w:tcBorders>
                    <w:tl2br w:val="nil"/>
                    <w:tr2bl w:val="nil"/>
                  </w:tcBorders>
                  <w:noWrap w:val="0"/>
                  <w:vAlign w:val="center"/>
                </w:tcPr>
                <w:p w14:paraId="4A8A0853">
                  <w:pPr>
                    <w:spacing w:line="240" w:lineRule="auto"/>
                    <w:ind w:firstLine="0" w:firstLineChars="0"/>
                    <w:jc w:val="center"/>
                    <w:rPr>
                      <w:rFonts w:hint="default" w:ascii="Times New Roman" w:hAnsi="Times New Roman" w:eastAsia="宋体" w:cs="Times New Roman"/>
                      <w:color w:val="000000"/>
                      <w:kern w:val="2"/>
                      <w:sz w:val="21"/>
                      <w:szCs w:val="21"/>
                      <w:lang w:val="en-US" w:eastAsia="zh-CN" w:bidi="ar-SA"/>
                    </w:rPr>
                  </w:pPr>
                  <w:r>
                    <w:rPr>
                      <w:rFonts w:hint="eastAsia"/>
                      <w:color w:val="000000"/>
                      <w:sz w:val="21"/>
                      <w:szCs w:val="21"/>
                      <w:lang w:val="en-US" w:eastAsia="zh-CN"/>
                    </w:rPr>
                    <w:t>/</w:t>
                  </w:r>
                </w:p>
              </w:tc>
              <w:tc>
                <w:tcPr>
                  <w:tcW w:w="441" w:type="pct"/>
                  <w:tcBorders>
                    <w:tl2br w:val="nil"/>
                    <w:tr2bl w:val="nil"/>
                  </w:tcBorders>
                  <w:noWrap w:val="0"/>
                  <w:vAlign w:val="center"/>
                </w:tcPr>
                <w:p w14:paraId="1219A1DA">
                  <w:pPr>
                    <w:spacing w:line="240" w:lineRule="auto"/>
                    <w:ind w:firstLine="0" w:firstLineChars="0"/>
                    <w:jc w:val="center"/>
                    <w:rPr>
                      <w:rFonts w:hint="default" w:ascii="Times New Roman" w:hAnsi="Times New Roman" w:eastAsia="宋体" w:cs="Times New Roman"/>
                      <w:color w:val="000000"/>
                      <w:kern w:val="2"/>
                      <w:sz w:val="21"/>
                      <w:szCs w:val="21"/>
                      <w:lang w:val="en-US" w:eastAsia="zh-CN" w:bidi="ar-SA"/>
                    </w:rPr>
                  </w:pPr>
                  <w:r>
                    <w:rPr>
                      <w:rFonts w:hint="eastAsia"/>
                      <w:color w:val="000000"/>
                      <w:sz w:val="21"/>
                      <w:szCs w:val="21"/>
                      <w:lang w:val="en-US" w:eastAsia="zh-CN"/>
                    </w:rPr>
                    <w:t>台</w:t>
                  </w:r>
                </w:p>
              </w:tc>
              <w:tc>
                <w:tcPr>
                  <w:tcW w:w="453" w:type="pct"/>
                  <w:tcBorders>
                    <w:tl2br w:val="nil"/>
                    <w:tr2bl w:val="nil"/>
                  </w:tcBorders>
                  <w:noWrap w:val="0"/>
                  <w:vAlign w:val="center"/>
                </w:tcPr>
                <w:p w14:paraId="6E4ACF5F">
                  <w:pPr>
                    <w:spacing w:line="240" w:lineRule="auto"/>
                    <w:ind w:firstLine="0" w:firstLineChars="0"/>
                    <w:jc w:val="center"/>
                    <w:rPr>
                      <w:rFonts w:hint="default" w:ascii="Times New Roman" w:hAnsi="Times New Roman" w:eastAsia="宋体" w:cs="Times New Roman"/>
                      <w:color w:val="000000"/>
                      <w:kern w:val="2"/>
                      <w:sz w:val="21"/>
                      <w:szCs w:val="21"/>
                      <w:lang w:val="en-US" w:eastAsia="zh-CN" w:bidi="ar-SA"/>
                    </w:rPr>
                  </w:pPr>
                  <w:r>
                    <w:rPr>
                      <w:rFonts w:hint="eastAsia"/>
                      <w:color w:val="000000"/>
                      <w:sz w:val="21"/>
                      <w:szCs w:val="21"/>
                      <w:lang w:val="en-US" w:eastAsia="zh-CN"/>
                    </w:rPr>
                    <w:t>1</w:t>
                  </w:r>
                </w:p>
              </w:tc>
            </w:tr>
            <w:tr w14:paraId="0AD4B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79" w:type="pct"/>
                  <w:tcBorders>
                    <w:tl2br w:val="nil"/>
                    <w:tr2bl w:val="nil"/>
                  </w:tcBorders>
                  <w:noWrap w:val="0"/>
                  <w:vAlign w:val="center"/>
                </w:tcPr>
                <w:p w14:paraId="6FCD424A">
                  <w:pPr>
                    <w:spacing w:line="240" w:lineRule="auto"/>
                    <w:ind w:firstLine="0" w:firstLineChars="0"/>
                    <w:jc w:val="center"/>
                    <w:rPr>
                      <w:rFonts w:hint="default" w:ascii="Times New Roman" w:hAnsi="Times New Roman" w:eastAsia="宋体" w:cs="Times New Roman"/>
                      <w:color w:val="000000"/>
                      <w:kern w:val="2"/>
                      <w:sz w:val="21"/>
                      <w:szCs w:val="21"/>
                      <w:lang w:val="en-US" w:eastAsia="zh-CN" w:bidi="ar-SA"/>
                    </w:rPr>
                  </w:pPr>
                  <w:r>
                    <w:rPr>
                      <w:rFonts w:hint="eastAsia"/>
                      <w:color w:val="000000"/>
                      <w:sz w:val="21"/>
                      <w:szCs w:val="21"/>
                      <w:lang w:val="en-US" w:eastAsia="zh-CN"/>
                    </w:rPr>
                    <w:t>5</w:t>
                  </w:r>
                </w:p>
              </w:tc>
              <w:tc>
                <w:tcPr>
                  <w:tcW w:w="1061" w:type="pct"/>
                  <w:tcBorders>
                    <w:tl2br w:val="nil"/>
                    <w:tr2bl w:val="nil"/>
                  </w:tcBorders>
                  <w:noWrap w:val="0"/>
                  <w:vAlign w:val="center"/>
                </w:tcPr>
                <w:p w14:paraId="5113AA24">
                  <w:pPr>
                    <w:spacing w:line="240" w:lineRule="auto"/>
                    <w:ind w:firstLine="0" w:firstLineChars="0"/>
                    <w:jc w:val="center"/>
                    <w:rPr>
                      <w:rFonts w:hint="eastAsia" w:ascii="Times New Roman" w:hAnsi="Times New Roman" w:eastAsia="宋体" w:cs="Times New Roman"/>
                      <w:color w:val="000000"/>
                      <w:kern w:val="2"/>
                      <w:sz w:val="21"/>
                      <w:szCs w:val="21"/>
                      <w:lang w:val="en-US" w:eastAsia="zh-CN" w:bidi="ar-SA"/>
                    </w:rPr>
                  </w:pPr>
                  <w:r>
                    <w:rPr>
                      <w:rFonts w:hint="eastAsia"/>
                      <w:color w:val="000000"/>
                      <w:sz w:val="21"/>
                      <w:szCs w:val="21"/>
                      <w:lang w:eastAsia="zh-CN"/>
                    </w:rPr>
                    <w:t>清洁水桶</w:t>
                  </w:r>
                </w:p>
              </w:tc>
              <w:tc>
                <w:tcPr>
                  <w:tcW w:w="2564" w:type="pct"/>
                  <w:tcBorders>
                    <w:tl2br w:val="nil"/>
                    <w:tr2bl w:val="nil"/>
                  </w:tcBorders>
                  <w:noWrap w:val="0"/>
                  <w:vAlign w:val="center"/>
                </w:tcPr>
                <w:p w14:paraId="2E59A715">
                  <w:pPr>
                    <w:spacing w:line="240" w:lineRule="auto"/>
                    <w:ind w:firstLine="0" w:firstLineChars="0"/>
                    <w:jc w:val="center"/>
                    <w:rPr>
                      <w:rFonts w:hint="default" w:ascii="Times New Roman" w:hAnsi="Times New Roman" w:eastAsia="宋体" w:cs="Times New Roman"/>
                      <w:color w:val="000000"/>
                      <w:kern w:val="2"/>
                      <w:sz w:val="21"/>
                      <w:szCs w:val="21"/>
                      <w:lang w:val="en-US" w:eastAsia="zh-CN" w:bidi="ar-SA"/>
                    </w:rPr>
                  </w:pPr>
                  <w:r>
                    <w:rPr>
                      <w:rFonts w:hint="eastAsia"/>
                      <w:color w:val="000000"/>
                      <w:sz w:val="21"/>
                      <w:szCs w:val="21"/>
                      <w:lang w:val="en-US" w:eastAsia="zh-CN"/>
                    </w:rPr>
                    <w:t>/</w:t>
                  </w:r>
                </w:p>
              </w:tc>
              <w:tc>
                <w:tcPr>
                  <w:tcW w:w="441" w:type="pct"/>
                  <w:tcBorders>
                    <w:tl2br w:val="nil"/>
                    <w:tr2bl w:val="nil"/>
                  </w:tcBorders>
                  <w:noWrap w:val="0"/>
                  <w:vAlign w:val="center"/>
                </w:tcPr>
                <w:p w14:paraId="7A0316EB">
                  <w:pPr>
                    <w:spacing w:line="240" w:lineRule="auto"/>
                    <w:ind w:firstLine="0" w:firstLineChars="0"/>
                    <w:jc w:val="center"/>
                    <w:rPr>
                      <w:rFonts w:hint="eastAsia" w:ascii="Times New Roman" w:hAnsi="Times New Roman" w:eastAsia="宋体" w:cs="Times New Roman"/>
                      <w:color w:val="000000"/>
                      <w:kern w:val="2"/>
                      <w:sz w:val="21"/>
                      <w:szCs w:val="21"/>
                      <w:lang w:val="en-US" w:eastAsia="zh-CN" w:bidi="ar-SA"/>
                    </w:rPr>
                  </w:pPr>
                  <w:r>
                    <w:rPr>
                      <w:rFonts w:hint="eastAsia"/>
                      <w:color w:val="000000"/>
                      <w:sz w:val="21"/>
                      <w:szCs w:val="21"/>
                      <w:lang w:val="en-US" w:eastAsia="zh-CN"/>
                    </w:rPr>
                    <w:t>个</w:t>
                  </w:r>
                </w:p>
              </w:tc>
              <w:tc>
                <w:tcPr>
                  <w:tcW w:w="453" w:type="pct"/>
                  <w:tcBorders>
                    <w:tl2br w:val="nil"/>
                    <w:tr2bl w:val="nil"/>
                  </w:tcBorders>
                  <w:noWrap w:val="0"/>
                  <w:vAlign w:val="center"/>
                </w:tcPr>
                <w:p w14:paraId="3C7A6D9B">
                  <w:pPr>
                    <w:spacing w:line="240" w:lineRule="auto"/>
                    <w:ind w:firstLine="0" w:firstLineChars="0"/>
                    <w:jc w:val="center"/>
                    <w:rPr>
                      <w:rFonts w:hint="default" w:ascii="Times New Roman" w:hAnsi="Times New Roman" w:eastAsia="宋体" w:cs="Times New Roman"/>
                      <w:color w:val="000000"/>
                      <w:kern w:val="2"/>
                      <w:sz w:val="21"/>
                      <w:szCs w:val="21"/>
                      <w:lang w:val="en-US" w:eastAsia="zh-CN" w:bidi="ar-SA"/>
                    </w:rPr>
                  </w:pPr>
                  <w:r>
                    <w:rPr>
                      <w:rFonts w:hint="eastAsia"/>
                      <w:color w:val="000000"/>
                      <w:sz w:val="21"/>
                      <w:szCs w:val="21"/>
                      <w:lang w:val="en-US" w:eastAsia="zh-CN"/>
                    </w:rPr>
                    <w:t>1</w:t>
                  </w:r>
                </w:p>
              </w:tc>
            </w:tr>
            <w:tr w14:paraId="0F43A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79" w:type="pct"/>
                  <w:tcBorders>
                    <w:tl2br w:val="nil"/>
                    <w:tr2bl w:val="nil"/>
                  </w:tcBorders>
                  <w:noWrap w:val="0"/>
                  <w:vAlign w:val="center"/>
                </w:tcPr>
                <w:p w14:paraId="01E7D57B">
                  <w:pPr>
                    <w:spacing w:line="240" w:lineRule="auto"/>
                    <w:ind w:firstLine="0" w:firstLineChars="0"/>
                    <w:jc w:val="center"/>
                    <w:rPr>
                      <w:rFonts w:hint="default" w:ascii="Times New Roman" w:hAnsi="Times New Roman" w:eastAsia="宋体" w:cs="Times New Roman"/>
                      <w:color w:val="000000"/>
                      <w:kern w:val="2"/>
                      <w:sz w:val="21"/>
                      <w:szCs w:val="21"/>
                      <w:lang w:val="en-US" w:eastAsia="zh-CN" w:bidi="ar-SA"/>
                    </w:rPr>
                  </w:pPr>
                  <w:r>
                    <w:rPr>
                      <w:rFonts w:hint="eastAsia"/>
                      <w:color w:val="000000"/>
                      <w:sz w:val="21"/>
                      <w:szCs w:val="21"/>
                      <w:lang w:val="en-US" w:eastAsia="zh-CN"/>
                    </w:rPr>
                    <w:t>6</w:t>
                  </w:r>
                </w:p>
              </w:tc>
              <w:tc>
                <w:tcPr>
                  <w:tcW w:w="1061" w:type="pct"/>
                  <w:tcBorders>
                    <w:tl2br w:val="nil"/>
                    <w:tr2bl w:val="nil"/>
                  </w:tcBorders>
                  <w:noWrap w:val="0"/>
                  <w:vAlign w:val="center"/>
                </w:tcPr>
                <w:p w14:paraId="74AA6D17">
                  <w:pPr>
                    <w:spacing w:line="240" w:lineRule="auto"/>
                    <w:ind w:firstLine="0" w:firstLineChars="0"/>
                    <w:jc w:val="center"/>
                    <w:rPr>
                      <w:rFonts w:hint="eastAsia" w:ascii="Times New Roman" w:hAnsi="Times New Roman" w:eastAsia="宋体" w:cs="Times New Roman"/>
                      <w:color w:val="000000"/>
                      <w:kern w:val="2"/>
                      <w:sz w:val="21"/>
                      <w:szCs w:val="21"/>
                      <w:lang w:val="en-US" w:eastAsia="zh-CN" w:bidi="ar-SA"/>
                    </w:rPr>
                  </w:pPr>
                  <w:r>
                    <w:rPr>
                      <w:rFonts w:hint="eastAsia"/>
                      <w:color w:val="000000"/>
                      <w:sz w:val="21"/>
                      <w:szCs w:val="21"/>
                      <w:lang w:val="en-US" w:eastAsia="zh-CN"/>
                    </w:rPr>
                    <w:t>托盘</w:t>
                  </w:r>
                </w:p>
              </w:tc>
              <w:tc>
                <w:tcPr>
                  <w:tcW w:w="2564" w:type="pct"/>
                  <w:tcBorders>
                    <w:tl2br w:val="nil"/>
                    <w:tr2bl w:val="nil"/>
                  </w:tcBorders>
                  <w:noWrap w:val="0"/>
                  <w:vAlign w:val="center"/>
                </w:tcPr>
                <w:p w14:paraId="7390A086">
                  <w:pPr>
                    <w:spacing w:line="240" w:lineRule="auto"/>
                    <w:ind w:firstLine="0" w:firstLineChars="0"/>
                    <w:jc w:val="center"/>
                    <w:rPr>
                      <w:rFonts w:hint="default" w:ascii="Times New Roman" w:hAnsi="Times New Roman" w:eastAsia="宋体" w:cs="Times New Roman"/>
                      <w:color w:val="000000"/>
                      <w:kern w:val="2"/>
                      <w:sz w:val="21"/>
                      <w:szCs w:val="21"/>
                      <w:lang w:val="en-US" w:eastAsia="zh-CN" w:bidi="ar-SA"/>
                    </w:rPr>
                  </w:pPr>
                  <w:r>
                    <w:rPr>
                      <w:rFonts w:hint="eastAsia"/>
                      <w:color w:val="000000"/>
                      <w:sz w:val="21"/>
                      <w:szCs w:val="21"/>
                      <w:lang w:val="en-US" w:eastAsia="zh-CN"/>
                    </w:rPr>
                    <w:t>/</w:t>
                  </w:r>
                </w:p>
              </w:tc>
              <w:tc>
                <w:tcPr>
                  <w:tcW w:w="441" w:type="pct"/>
                  <w:tcBorders>
                    <w:tl2br w:val="nil"/>
                    <w:tr2bl w:val="nil"/>
                  </w:tcBorders>
                  <w:noWrap w:val="0"/>
                  <w:vAlign w:val="center"/>
                </w:tcPr>
                <w:p w14:paraId="34BCFE72">
                  <w:pPr>
                    <w:spacing w:line="240" w:lineRule="auto"/>
                    <w:ind w:firstLine="0" w:firstLineChars="0"/>
                    <w:jc w:val="center"/>
                    <w:rPr>
                      <w:rFonts w:hint="eastAsia" w:ascii="Times New Roman" w:hAnsi="Times New Roman" w:eastAsia="宋体" w:cs="Times New Roman"/>
                      <w:color w:val="000000"/>
                      <w:kern w:val="2"/>
                      <w:sz w:val="21"/>
                      <w:szCs w:val="21"/>
                      <w:lang w:val="en-US" w:eastAsia="zh-CN" w:bidi="ar-SA"/>
                    </w:rPr>
                  </w:pPr>
                  <w:r>
                    <w:rPr>
                      <w:rFonts w:hint="eastAsia"/>
                      <w:color w:val="000000"/>
                      <w:sz w:val="21"/>
                      <w:szCs w:val="21"/>
                      <w:lang w:val="en-US" w:eastAsia="zh-CN"/>
                    </w:rPr>
                    <w:t>个</w:t>
                  </w:r>
                </w:p>
              </w:tc>
              <w:tc>
                <w:tcPr>
                  <w:tcW w:w="453" w:type="pct"/>
                  <w:tcBorders>
                    <w:tl2br w:val="nil"/>
                    <w:tr2bl w:val="nil"/>
                  </w:tcBorders>
                  <w:noWrap w:val="0"/>
                  <w:vAlign w:val="center"/>
                </w:tcPr>
                <w:p w14:paraId="25FFAB9C">
                  <w:pPr>
                    <w:spacing w:line="240" w:lineRule="auto"/>
                    <w:ind w:firstLine="0" w:firstLineChars="0"/>
                    <w:jc w:val="center"/>
                    <w:rPr>
                      <w:rFonts w:hint="default" w:ascii="Times New Roman" w:hAnsi="Times New Roman" w:eastAsia="宋体" w:cs="Times New Roman"/>
                      <w:color w:val="000000"/>
                      <w:kern w:val="2"/>
                      <w:sz w:val="21"/>
                      <w:szCs w:val="21"/>
                      <w:lang w:val="en-US" w:eastAsia="zh-CN" w:bidi="ar-SA"/>
                    </w:rPr>
                  </w:pPr>
                  <w:r>
                    <w:rPr>
                      <w:rFonts w:hint="eastAsia"/>
                      <w:color w:val="000000"/>
                      <w:sz w:val="21"/>
                      <w:szCs w:val="21"/>
                      <w:lang w:val="en-US" w:eastAsia="zh-CN"/>
                    </w:rPr>
                    <w:t>50</w:t>
                  </w:r>
                </w:p>
              </w:tc>
            </w:tr>
          </w:tbl>
          <w:p w14:paraId="5F1806F9">
            <w:pPr>
              <w:pStyle w:val="29"/>
            </w:pPr>
          </w:p>
          <w:p w14:paraId="646DB9A4">
            <w:pPr>
              <w:pStyle w:val="29"/>
              <w:bidi w:val="0"/>
              <w:ind w:left="0" w:leftChars="0" w:firstLine="480" w:firstLineChars="200"/>
              <w:jc w:val="left"/>
              <w:rPr>
                <w:rFonts w:hint="default" w:ascii="Times New Roman" w:hAnsi="Times New Roman"/>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上表与环评一致，建设均无变动。</w:t>
            </w:r>
          </w:p>
          <w:p w14:paraId="1C15E990">
            <w:pPr>
              <w:pStyle w:val="29"/>
              <w:bidi w:val="0"/>
              <w:jc w:val="left"/>
              <w:rPr>
                <w:rFonts w:hint="eastAsia" w:ascii="宋体" w:hAnsi="宋体" w:cs="宋体" w:eastAsiaTheme="minorEastAsia"/>
                <w:b/>
                <w:bCs/>
                <w:color w:val="000000" w:themeColor="text1"/>
                <w:szCs w:val="22"/>
                <w:lang w:val="en-US" w:eastAsia="zh-CN" w:bidi="ar-SA"/>
                <w14:textFill>
                  <w14:solidFill>
                    <w14:schemeClr w14:val="tx1"/>
                  </w14:solidFill>
                </w14:textFill>
              </w:rPr>
            </w:pPr>
            <w:r>
              <w:rPr>
                <w:rFonts w:hint="eastAsia" w:ascii="宋体" w:hAnsi="宋体" w:cs="宋体" w:eastAsiaTheme="minorEastAsia"/>
                <w:b/>
                <w:bCs/>
                <w:color w:val="000000" w:themeColor="text1"/>
                <w:szCs w:val="22"/>
                <w:lang w:val="en-US" w:eastAsia="zh-CN" w:bidi="ar-SA"/>
                <w14:textFill>
                  <w14:solidFill>
                    <w14:schemeClr w14:val="tx1"/>
                  </w14:solidFill>
                </w14:textFill>
              </w:rPr>
              <w:t>2.2 原辅材料消耗及水平衡</w:t>
            </w:r>
          </w:p>
          <w:p w14:paraId="1EAB9CFC">
            <w:pPr>
              <w:pStyle w:val="29"/>
              <w:bidi w:val="0"/>
              <w:jc w:val="left"/>
              <w:rPr>
                <w:rFonts w:hint="eastAsia" w:ascii="宋体" w:hAnsi="宋体" w:cs="宋体" w:eastAsiaTheme="minorEastAsia"/>
                <w:b/>
                <w:bCs/>
                <w:color w:val="000000" w:themeColor="text1"/>
                <w:szCs w:val="22"/>
                <w:lang w:val="en-US" w:eastAsia="zh-CN" w:bidi="ar-SA"/>
                <w14:textFill>
                  <w14:solidFill>
                    <w14:schemeClr w14:val="tx1"/>
                  </w14:solidFill>
                </w14:textFill>
              </w:rPr>
            </w:pPr>
            <w:r>
              <w:rPr>
                <w:rFonts w:hint="eastAsia" w:ascii="宋体" w:hAnsi="宋体" w:cs="宋体" w:eastAsiaTheme="minorEastAsia"/>
                <w:b/>
                <w:bCs/>
                <w:color w:val="000000" w:themeColor="text1"/>
                <w:szCs w:val="22"/>
                <w:lang w:val="en-US" w:eastAsia="zh-CN" w:bidi="ar-SA"/>
                <w14:textFill>
                  <w14:solidFill>
                    <w14:schemeClr w14:val="tx1"/>
                  </w14:solidFill>
                </w14:textFill>
              </w:rPr>
              <w:t>2.2.1 主要原辅料消耗</w:t>
            </w:r>
          </w:p>
          <w:p w14:paraId="50CE47FF">
            <w:pPr>
              <w:pStyle w:val="29"/>
              <w:bidi w:val="0"/>
              <w:jc w:val="left"/>
              <w:rPr>
                <w:rFonts w:hint="eastAsia" w:ascii="宋体" w:hAnsi="宋体" w:cs="宋体" w:eastAsiaTheme="minorEastAsia"/>
                <w:b w:val="0"/>
                <w:bCs w:val="0"/>
                <w:color w:val="000000" w:themeColor="text1"/>
                <w:szCs w:val="22"/>
                <w:lang w:val="en-US" w:eastAsia="zh-CN" w:bidi="ar-SA"/>
                <w14:textFill>
                  <w14:solidFill>
                    <w14:schemeClr w14:val="tx1"/>
                  </w14:solidFill>
                </w14:textFill>
              </w:rPr>
            </w:pPr>
            <w:r>
              <w:rPr>
                <w:rFonts w:hint="eastAsia" w:ascii="宋体" w:hAnsi="宋体" w:cs="宋体" w:eastAsiaTheme="minorEastAsia"/>
                <w:b w:val="0"/>
                <w:bCs w:val="0"/>
                <w:color w:val="000000" w:themeColor="text1"/>
                <w:szCs w:val="22"/>
                <w:lang w:val="en-US" w:eastAsia="zh-CN" w:bidi="ar-SA"/>
                <w14:textFill>
                  <w14:solidFill>
                    <w14:schemeClr w14:val="tx1"/>
                  </w14:solidFill>
                </w14:textFill>
              </w:rPr>
              <w:t>主要原辅材料消耗情况见表 2-6。</w:t>
            </w:r>
          </w:p>
          <w:p w14:paraId="45791A39">
            <w:pPr>
              <w:pStyle w:val="31"/>
              <w:shd w:val="clear"/>
              <w:rPr>
                <w:color w:val="000000" w:themeColor="text1"/>
                <w:highlight w:val="none"/>
                <w14:textFill>
                  <w14:solidFill>
                    <w14:schemeClr w14:val="tx1"/>
                  </w14:solidFill>
                </w14:textFill>
              </w:rPr>
            </w:pPr>
            <w:r>
              <w:rPr>
                <w:rFonts w:hint="eastAsia" w:ascii="宋体" w:hAnsi="宋体" w:cs="宋体" w:eastAsiaTheme="minorEastAsia"/>
                <w:b w:val="0"/>
                <w:bCs w:val="0"/>
                <w:color w:val="000000" w:themeColor="text1"/>
                <w:szCs w:val="22"/>
                <w:lang w:val="en-US" w:eastAsia="zh-CN" w:bidi="ar-SA"/>
                <w14:textFill>
                  <w14:solidFill>
                    <w14:schemeClr w14:val="tx1"/>
                  </w14:solidFill>
                </w14:textFill>
              </w:rPr>
              <w:t>表 2-6</w:t>
            </w:r>
            <w:r>
              <w:rPr>
                <w:color w:val="000000" w:themeColor="text1"/>
                <w14:textFill>
                  <w14:solidFill>
                    <w14:schemeClr w14:val="tx1"/>
                  </w14:solidFill>
                </w14:textFill>
              </w:rPr>
              <w:t xml:space="preserve"> </w:t>
            </w:r>
            <w:r>
              <w:rPr>
                <w:color w:val="000000" w:themeColor="text1"/>
                <w:highlight w:val="none"/>
                <w14:textFill>
                  <w14:solidFill>
                    <w14:schemeClr w14:val="tx1"/>
                  </w14:solidFill>
                </w14:textFill>
              </w:rPr>
              <w:t>主要原辅料消耗量及</w:t>
            </w:r>
            <w:r>
              <w:rPr>
                <w:rFonts w:hint="eastAsia"/>
                <w:color w:val="000000" w:themeColor="text1"/>
                <w:highlight w:val="none"/>
                <w:lang w:eastAsia="zh-CN"/>
                <w14:textFill>
                  <w14:solidFill>
                    <w14:schemeClr w14:val="tx1"/>
                  </w14:solidFill>
                </w14:textFill>
              </w:rPr>
              <w:t>成分</w:t>
            </w:r>
            <w:r>
              <w:rPr>
                <w:color w:val="000000" w:themeColor="text1"/>
                <w:highlight w:val="none"/>
                <w14:textFill>
                  <w14:solidFill>
                    <w14:schemeClr w14:val="tx1"/>
                  </w14:solidFill>
                </w14:textFill>
              </w:rPr>
              <w:t>表</w:t>
            </w:r>
          </w:p>
          <w:tbl>
            <w:tblPr>
              <w:tblStyle w:val="23"/>
              <w:tblW w:w="4984"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28" w:type="dxa"/>
                <w:bottom w:w="0" w:type="dxa"/>
                <w:right w:w="28" w:type="dxa"/>
              </w:tblCellMar>
            </w:tblPr>
            <w:tblGrid>
              <w:gridCol w:w="665"/>
              <w:gridCol w:w="1265"/>
              <w:gridCol w:w="2728"/>
              <w:gridCol w:w="845"/>
              <w:gridCol w:w="1269"/>
              <w:gridCol w:w="2761"/>
            </w:tblGrid>
            <w:tr w14:paraId="5765485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cantSplit/>
                <w:trHeight w:val="454" w:hRule="atLeast"/>
                <w:jc w:val="center"/>
              </w:trPr>
              <w:tc>
                <w:tcPr>
                  <w:tcW w:w="349" w:type="pct"/>
                  <w:tcBorders>
                    <w:tl2br w:val="nil"/>
                    <w:tr2bl w:val="nil"/>
                  </w:tcBorders>
                  <w:noWrap w:val="0"/>
                  <w:vAlign w:val="center"/>
                </w:tcPr>
                <w:p w14:paraId="1A9EB032">
                  <w:pPr>
                    <w:pStyle w:val="47"/>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序号</w:t>
                  </w:r>
                </w:p>
              </w:tc>
              <w:tc>
                <w:tcPr>
                  <w:tcW w:w="663" w:type="pct"/>
                  <w:tcBorders>
                    <w:tl2br w:val="nil"/>
                    <w:tr2bl w:val="nil"/>
                  </w:tcBorders>
                  <w:noWrap w:val="0"/>
                  <w:vAlign w:val="center"/>
                </w:tcPr>
                <w:p w14:paraId="34046EF9">
                  <w:pPr>
                    <w:pStyle w:val="47"/>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类别</w:t>
                  </w:r>
                </w:p>
              </w:tc>
              <w:tc>
                <w:tcPr>
                  <w:tcW w:w="1430" w:type="pct"/>
                  <w:tcBorders>
                    <w:tl2br w:val="nil"/>
                    <w:tr2bl w:val="nil"/>
                  </w:tcBorders>
                  <w:noWrap w:val="0"/>
                  <w:vAlign w:val="center"/>
                </w:tcPr>
                <w:p w14:paraId="5D31E2CD">
                  <w:pPr>
                    <w:pStyle w:val="47"/>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名称</w:t>
                  </w:r>
                </w:p>
              </w:tc>
              <w:tc>
                <w:tcPr>
                  <w:tcW w:w="443" w:type="pct"/>
                  <w:tcBorders>
                    <w:tl2br w:val="nil"/>
                    <w:tr2bl w:val="nil"/>
                  </w:tcBorders>
                  <w:noWrap w:val="0"/>
                  <w:vAlign w:val="center"/>
                </w:tcPr>
                <w:p w14:paraId="718002F5">
                  <w:pPr>
                    <w:pStyle w:val="47"/>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单位</w:t>
                  </w:r>
                </w:p>
              </w:tc>
              <w:tc>
                <w:tcPr>
                  <w:tcW w:w="665" w:type="pct"/>
                  <w:tcBorders>
                    <w:tl2br w:val="nil"/>
                    <w:tr2bl w:val="nil"/>
                  </w:tcBorders>
                  <w:noWrap w:val="0"/>
                  <w:vAlign w:val="center"/>
                </w:tcPr>
                <w:p w14:paraId="7BAD57F4">
                  <w:pPr>
                    <w:pStyle w:val="47"/>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年消耗量</w:t>
                  </w:r>
                </w:p>
              </w:tc>
              <w:tc>
                <w:tcPr>
                  <w:tcW w:w="1447" w:type="pct"/>
                  <w:tcBorders>
                    <w:tl2br w:val="nil"/>
                    <w:tr2bl w:val="nil"/>
                  </w:tcBorders>
                  <w:noWrap w:val="0"/>
                  <w:vAlign w:val="center"/>
                </w:tcPr>
                <w:p w14:paraId="4FB82DEA">
                  <w:pPr>
                    <w:pStyle w:val="47"/>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备注</w:t>
                  </w:r>
                </w:p>
              </w:tc>
            </w:tr>
            <w:tr w14:paraId="513196E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cantSplit/>
                <w:trHeight w:val="454" w:hRule="atLeast"/>
                <w:jc w:val="center"/>
              </w:trPr>
              <w:tc>
                <w:tcPr>
                  <w:tcW w:w="349" w:type="pct"/>
                  <w:tcBorders>
                    <w:tl2br w:val="nil"/>
                    <w:tr2bl w:val="nil"/>
                  </w:tcBorders>
                  <w:noWrap w:val="0"/>
                  <w:vAlign w:val="center"/>
                </w:tcPr>
                <w:p w14:paraId="20827628">
                  <w:pPr>
                    <w:pStyle w:val="47"/>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1</w:t>
                  </w:r>
                </w:p>
              </w:tc>
              <w:tc>
                <w:tcPr>
                  <w:tcW w:w="663" w:type="pct"/>
                  <w:vMerge w:val="restart"/>
                  <w:tcBorders>
                    <w:tl2br w:val="nil"/>
                    <w:tr2bl w:val="nil"/>
                  </w:tcBorders>
                  <w:noWrap w:val="0"/>
                  <w:vAlign w:val="center"/>
                </w:tcPr>
                <w:p w14:paraId="01C70C64">
                  <w:pPr>
                    <w:pStyle w:val="47"/>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收集容器</w:t>
                  </w:r>
                </w:p>
              </w:tc>
              <w:tc>
                <w:tcPr>
                  <w:tcW w:w="1430" w:type="pct"/>
                  <w:tcBorders>
                    <w:tl2br w:val="nil"/>
                    <w:tr2bl w:val="nil"/>
                  </w:tcBorders>
                  <w:noWrap w:val="0"/>
                  <w:vAlign w:val="center"/>
                </w:tcPr>
                <w:p w14:paraId="1EA06716">
                  <w:pPr>
                    <w:pStyle w:val="47"/>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cs="Times New Roman"/>
                      <w:color w:val="000000"/>
                      <w:sz w:val="21"/>
                      <w:szCs w:val="21"/>
                    </w:rPr>
                    <w:t>塑料桶（规格：50L）</w:t>
                  </w:r>
                </w:p>
              </w:tc>
              <w:tc>
                <w:tcPr>
                  <w:tcW w:w="443" w:type="pct"/>
                  <w:tcBorders>
                    <w:tl2br w:val="nil"/>
                    <w:tr2bl w:val="nil"/>
                  </w:tcBorders>
                  <w:noWrap w:val="0"/>
                  <w:vAlign w:val="center"/>
                </w:tcPr>
                <w:p w14:paraId="6DB9AFCB">
                  <w:pPr>
                    <w:pStyle w:val="47"/>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cs="Times New Roman"/>
                      <w:color w:val="000000"/>
                      <w:sz w:val="21"/>
                      <w:szCs w:val="21"/>
                    </w:rPr>
                    <w:t>个</w:t>
                  </w:r>
                </w:p>
              </w:tc>
              <w:tc>
                <w:tcPr>
                  <w:tcW w:w="665" w:type="pct"/>
                  <w:tcBorders>
                    <w:tl2br w:val="nil"/>
                    <w:tr2bl w:val="nil"/>
                  </w:tcBorders>
                  <w:noWrap w:val="0"/>
                  <w:vAlign w:val="center"/>
                </w:tcPr>
                <w:p w14:paraId="6EC17626">
                  <w:pPr>
                    <w:pStyle w:val="47"/>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宋体" w:cs="Times New Roman"/>
                      <w:color w:val="000000"/>
                      <w:kern w:val="0"/>
                      <w:sz w:val="21"/>
                      <w:szCs w:val="21"/>
                      <w:lang w:val="en-US" w:eastAsia="zh-CN" w:bidi="ar-SA"/>
                    </w:rPr>
                  </w:pPr>
                  <w:r>
                    <w:rPr>
                      <w:rFonts w:hint="eastAsia" w:ascii="Times New Roman" w:cs="Times New Roman"/>
                      <w:color w:val="000000"/>
                      <w:sz w:val="21"/>
                      <w:szCs w:val="21"/>
                      <w:lang w:val="en-US" w:eastAsia="zh-CN"/>
                    </w:rPr>
                    <w:t>500</w:t>
                  </w:r>
                </w:p>
              </w:tc>
              <w:tc>
                <w:tcPr>
                  <w:tcW w:w="1447" w:type="pct"/>
                  <w:vMerge w:val="restart"/>
                  <w:tcBorders>
                    <w:tl2br w:val="nil"/>
                    <w:tr2bl w:val="nil"/>
                  </w:tcBorders>
                  <w:noWrap w:val="0"/>
                  <w:vAlign w:val="center"/>
                </w:tcPr>
                <w:p w14:paraId="1BEE4936">
                  <w:pPr>
                    <w:pStyle w:val="47"/>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外购，</w:t>
                  </w:r>
                  <w:r>
                    <w:rPr>
                      <w:rFonts w:hint="eastAsia" w:ascii="Times New Roman" w:cs="Times New Roman"/>
                      <w:color w:val="000000"/>
                      <w:sz w:val="21"/>
                      <w:szCs w:val="21"/>
                      <w:lang w:eastAsia="zh-CN"/>
                    </w:rPr>
                    <w:t>用于破损废铅蓄电池密封包装</w:t>
                  </w:r>
                </w:p>
              </w:tc>
            </w:tr>
            <w:tr w14:paraId="237ADBB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cantSplit/>
                <w:trHeight w:val="454" w:hRule="atLeast"/>
                <w:jc w:val="center"/>
              </w:trPr>
              <w:tc>
                <w:tcPr>
                  <w:tcW w:w="349" w:type="pct"/>
                  <w:tcBorders>
                    <w:tl2br w:val="nil"/>
                    <w:tr2bl w:val="nil"/>
                  </w:tcBorders>
                  <w:noWrap w:val="0"/>
                  <w:vAlign w:val="center"/>
                </w:tcPr>
                <w:p w14:paraId="77D84D77">
                  <w:pPr>
                    <w:pStyle w:val="47"/>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2</w:t>
                  </w:r>
                </w:p>
              </w:tc>
              <w:tc>
                <w:tcPr>
                  <w:tcW w:w="663" w:type="pct"/>
                  <w:vMerge w:val="continue"/>
                  <w:tcBorders>
                    <w:tl2br w:val="nil"/>
                    <w:tr2bl w:val="nil"/>
                  </w:tcBorders>
                  <w:noWrap w:val="0"/>
                  <w:vAlign w:val="center"/>
                </w:tcPr>
                <w:p w14:paraId="19E42EA9">
                  <w:pPr>
                    <w:pStyle w:val="47"/>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cs="Times New Roman"/>
                      <w:color w:val="000000"/>
                      <w:sz w:val="21"/>
                      <w:szCs w:val="21"/>
                    </w:rPr>
                  </w:pPr>
                </w:p>
              </w:tc>
              <w:tc>
                <w:tcPr>
                  <w:tcW w:w="1430" w:type="pct"/>
                  <w:tcBorders>
                    <w:tl2br w:val="nil"/>
                    <w:tr2bl w:val="nil"/>
                  </w:tcBorders>
                  <w:noWrap w:val="0"/>
                  <w:vAlign w:val="center"/>
                </w:tcPr>
                <w:p w14:paraId="5343B31D">
                  <w:pPr>
                    <w:pStyle w:val="47"/>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cs="Times New Roman"/>
                      <w:color w:val="000000"/>
                      <w:sz w:val="21"/>
                      <w:szCs w:val="21"/>
                    </w:rPr>
                    <w:t>塑料桶（规格：</w:t>
                  </w:r>
                  <w:r>
                    <w:rPr>
                      <w:rFonts w:hint="eastAsia" w:ascii="Times New Roman" w:cs="Times New Roman"/>
                      <w:color w:val="000000"/>
                      <w:sz w:val="21"/>
                      <w:szCs w:val="21"/>
                      <w:lang w:val="en-US" w:eastAsia="zh-CN"/>
                    </w:rPr>
                    <w:t>2</w:t>
                  </w:r>
                  <w:r>
                    <w:rPr>
                      <w:rFonts w:hint="default" w:ascii="Times New Roman" w:hAnsi="Times New Roman" w:cs="Times New Roman"/>
                      <w:color w:val="000000"/>
                      <w:sz w:val="21"/>
                      <w:szCs w:val="21"/>
                    </w:rPr>
                    <w:t>0L）</w:t>
                  </w:r>
                </w:p>
              </w:tc>
              <w:tc>
                <w:tcPr>
                  <w:tcW w:w="443" w:type="pct"/>
                  <w:tcBorders>
                    <w:tl2br w:val="nil"/>
                    <w:tr2bl w:val="nil"/>
                  </w:tcBorders>
                  <w:noWrap w:val="0"/>
                  <w:vAlign w:val="center"/>
                </w:tcPr>
                <w:p w14:paraId="2ABD7CE7">
                  <w:pPr>
                    <w:pStyle w:val="47"/>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cs="Times New Roman"/>
                      <w:color w:val="000000"/>
                      <w:sz w:val="21"/>
                      <w:szCs w:val="21"/>
                    </w:rPr>
                    <w:t>个</w:t>
                  </w:r>
                </w:p>
              </w:tc>
              <w:tc>
                <w:tcPr>
                  <w:tcW w:w="665" w:type="pct"/>
                  <w:tcBorders>
                    <w:tl2br w:val="nil"/>
                    <w:tr2bl w:val="nil"/>
                  </w:tcBorders>
                  <w:noWrap w:val="0"/>
                  <w:vAlign w:val="center"/>
                </w:tcPr>
                <w:p w14:paraId="1ADCF523">
                  <w:pPr>
                    <w:pStyle w:val="47"/>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宋体" w:cs="Times New Roman"/>
                      <w:color w:val="000000"/>
                      <w:kern w:val="0"/>
                      <w:sz w:val="21"/>
                      <w:szCs w:val="21"/>
                      <w:lang w:val="en-US" w:eastAsia="zh-CN" w:bidi="ar-SA"/>
                    </w:rPr>
                  </w:pPr>
                  <w:r>
                    <w:rPr>
                      <w:rFonts w:hint="eastAsia" w:ascii="Times New Roman" w:cs="Times New Roman"/>
                      <w:color w:val="000000"/>
                      <w:sz w:val="21"/>
                      <w:szCs w:val="21"/>
                      <w:lang w:val="en-US" w:eastAsia="zh-CN"/>
                    </w:rPr>
                    <w:t>500</w:t>
                  </w:r>
                </w:p>
              </w:tc>
              <w:tc>
                <w:tcPr>
                  <w:tcW w:w="1447" w:type="pct"/>
                  <w:vMerge w:val="continue"/>
                  <w:tcBorders>
                    <w:tl2br w:val="nil"/>
                    <w:tr2bl w:val="nil"/>
                  </w:tcBorders>
                  <w:noWrap w:val="0"/>
                  <w:vAlign w:val="center"/>
                </w:tcPr>
                <w:p w14:paraId="4CD8759A">
                  <w:pPr>
                    <w:pStyle w:val="47"/>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cs="Times New Roman"/>
                      <w:color w:val="000000"/>
                      <w:sz w:val="21"/>
                      <w:szCs w:val="21"/>
                    </w:rPr>
                  </w:pPr>
                </w:p>
              </w:tc>
            </w:tr>
            <w:tr w14:paraId="54E1645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cantSplit/>
                <w:trHeight w:val="454" w:hRule="atLeast"/>
                <w:jc w:val="center"/>
              </w:trPr>
              <w:tc>
                <w:tcPr>
                  <w:tcW w:w="349" w:type="pct"/>
                  <w:tcBorders>
                    <w:tl2br w:val="nil"/>
                    <w:tr2bl w:val="nil"/>
                  </w:tcBorders>
                  <w:noWrap w:val="0"/>
                  <w:vAlign w:val="center"/>
                </w:tcPr>
                <w:p w14:paraId="1153B396">
                  <w:pPr>
                    <w:pStyle w:val="47"/>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eastAsia" w:ascii="Times New Roman" w:hAnsi="Times New Roman" w:eastAsia="宋体" w:cs="Times New Roman"/>
                      <w:color w:val="000000"/>
                      <w:sz w:val="21"/>
                      <w:szCs w:val="21"/>
                      <w:lang w:val="en-US" w:eastAsia="zh-CN"/>
                    </w:rPr>
                  </w:pPr>
                  <w:r>
                    <w:rPr>
                      <w:rFonts w:hint="eastAsia" w:ascii="Times New Roman" w:cs="Times New Roman"/>
                      <w:color w:val="000000"/>
                      <w:sz w:val="21"/>
                      <w:szCs w:val="21"/>
                      <w:lang w:val="en-US" w:eastAsia="zh-CN"/>
                    </w:rPr>
                    <w:t>3</w:t>
                  </w:r>
                </w:p>
              </w:tc>
              <w:tc>
                <w:tcPr>
                  <w:tcW w:w="663" w:type="pct"/>
                  <w:vMerge w:val="continue"/>
                  <w:tcBorders>
                    <w:tl2br w:val="nil"/>
                    <w:tr2bl w:val="nil"/>
                  </w:tcBorders>
                  <w:noWrap w:val="0"/>
                  <w:vAlign w:val="center"/>
                </w:tcPr>
                <w:p w14:paraId="7FE41225">
                  <w:pPr>
                    <w:pStyle w:val="47"/>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cs="Times New Roman"/>
                      <w:color w:val="000000"/>
                      <w:sz w:val="21"/>
                      <w:szCs w:val="21"/>
                    </w:rPr>
                  </w:pPr>
                </w:p>
              </w:tc>
              <w:tc>
                <w:tcPr>
                  <w:tcW w:w="1430" w:type="pct"/>
                  <w:tcBorders>
                    <w:tl2br w:val="nil"/>
                    <w:tr2bl w:val="nil"/>
                  </w:tcBorders>
                  <w:noWrap w:val="0"/>
                  <w:vAlign w:val="center"/>
                </w:tcPr>
                <w:p w14:paraId="7C9DE8FD">
                  <w:pPr>
                    <w:pStyle w:val="47"/>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cs="Times New Roman"/>
                      <w:color w:val="000000"/>
                      <w:sz w:val="21"/>
                      <w:szCs w:val="21"/>
                    </w:rPr>
                    <w:t>内塑外编袋（规格：200kg）</w:t>
                  </w:r>
                </w:p>
              </w:tc>
              <w:tc>
                <w:tcPr>
                  <w:tcW w:w="443" w:type="pct"/>
                  <w:tcBorders>
                    <w:tl2br w:val="nil"/>
                    <w:tr2bl w:val="nil"/>
                  </w:tcBorders>
                  <w:noWrap w:val="0"/>
                  <w:vAlign w:val="center"/>
                </w:tcPr>
                <w:p w14:paraId="06403E94">
                  <w:pPr>
                    <w:pStyle w:val="47"/>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cs="Times New Roman"/>
                      <w:color w:val="000000"/>
                      <w:sz w:val="21"/>
                      <w:szCs w:val="21"/>
                    </w:rPr>
                    <w:t>个</w:t>
                  </w:r>
                </w:p>
              </w:tc>
              <w:tc>
                <w:tcPr>
                  <w:tcW w:w="665" w:type="pct"/>
                  <w:tcBorders>
                    <w:tl2br w:val="nil"/>
                    <w:tr2bl w:val="nil"/>
                  </w:tcBorders>
                  <w:noWrap w:val="0"/>
                  <w:vAlign w:val="center"/>
                </w:tcPr>
                <w:p w14:paraId="4631AF09">
                  <w:pPr>
                    <w:pStyle w:val="47"/>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宋体" w:cs="Times New Roman"/>
                      <w:color w:val="000000"/>
                      <w:kern w:val="0"/>
                      <w:sz w:val="21"/>
                      <w:szCs w:val="21"/>
                      <w:lang w:val="en-US" w:eastAsia="zh-CN" w:bidi="ar-SA"/>
                    </w:rPr>
                  </w:pPr>
                  <w:r>
                    <w:rPr>
                      <w:rFonts w:hint="eastAsia" w:ascii="Times New Roman" w:cs="Times New Roman"/>
                      <w:color w:val="000000"/>
                      <w:sz w:val="21"/>
                      <w:szCs w:val="21"/>
                      <w:lang w:val="en-US" w:eastAsia="zh-CN"/>
                    </w:rPr>
                    <w:t>500</w:t>
                  </w:r>
                </w:p>
              </w:tc>
              <w:tc>
                <w:tcPr>
                  <w:tcW w:w="1447" w:type="pct"/>
                  <w:vMerge w:val="continue"/>
                  <w:tcBorders>
                    <w:tl2br w:val="nil"/>
                    <w:tr2bl w:val="nil"/>
                  </w:tcBorders>
                  <w:noWrap w:val="0"/>
                  <w:vAlign w:val="center"/>
                </w:tcPr>
                <w:p w14:paraId="726C80F4">
                  <w:pPr>
                    <w:pStyle w:val="47"/>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cs="Times New Roman"/>
                      <w:color w:val="000000"/>
                      <w:sz w:val="21"/>
                      <w:szCs w:val="21"/>
                    </w:rPr>
                  </w:pPr>
                </w:p>
              </w:tc>
            </w:tr>
            <w:tr w14:paraId="2739556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cantSplit/>
                <w:trHeight w:val="454" w:hRule="atLeast"/>
                <w:jc w:val="center"/>
              </w:trPr>
              <w:tc>
                <w:tcPr>
                  <w:tcW w:w="349" w:type="pct"/>
                  <w:tcBorders>
                    <w:tl2br w:val="nil"/>
                    <w:tr2bl w:val="nil"/>
                  </w:tcBorders>
                  <w:noWrap w:val="0"/>
                  <w:vAlign w:val="center"/>
                </w:tcPr>
                <w:p w14:paraId="44E9CD26">
                  <w:pPr>
                    <w:pStyle w:val="47"/>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cs="Times New Roman"/>
                      <w:color w:val="000000"/>
                      <w:sz w:val="21"/>
                      <w:szCs w:val="21"/>
                      <w:lang w:val="en-US" w:eastAsia="zh-CN"/>
                    </w:rPr>
                  </w:pPr>
                  <w:r>
                    <w:rPr>
                      <w:rFonts w:hint="eastAsia" w:ascii="Times New Roman" w:cs="Times New Roman"/>
                      <w:color w:val="000000"/>
                      <w:sz w:val="21"/>
                      <w:szCs w:val="21"/>
                      <w:lang w:val="en-US" w:eastAsia="zh-CN"/>
                    </w:rPr>
                    <w:t>7</w:t>
                  </w:r>
                </w:p>
              </w:tc>
              <w:tc>
                <w:tcPr>
                  <w:tcW w:w="663" w:type="pct"/>
                  <w:tcBorders>
                    <w:tl2br w:val="nil"/>
                    <w:tr2bl w:val="nil"/>
                  </w:tcBorders>
                  <w:noWrap w:val="0"/>
                  <w:vAlign w:val="center"/>
                </w:tcPr>
                <w:p w14:paraId="7E3C516F">
                  <w:pPr>
                    <w:pStyle w:val="47"/>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宋体" w:cs="Times New Roman"/>
                      <w:color w:val="000000"/>
                      <w:sz w:val="21"/>
                      <w:szCs w:val="21"/>
                      <w:lang w:eastAsia="zh-CN"/>
                    </w:rPr>
                  </w:pPr>
                  <w:r>
                    <w:rPr>
                      <w:rFonts w:hint="default" w:ascii="Times New Roman" w:hAnsi="Times New Roman" w:cs="Times New Roman"/>
                      <w:color w:val="000000"/>
                      <w:sz w:val="21"/>
                      <w:szCs w:val="21"/>
                      <w:lang w:eastAsia="zh-CN"/>
                    </w:rPr>
                    <w:t>废气治理</w:t>
                  </w:r>
                </w:p>
              </w:tc>
              <w:tc>
                <w:tcPr>
                  <w:tcW w:w="1430" w:type="pct"/>
                  <w:tcBorders>
                    <w:tl2br w:val="nil"/>
                    <w:tr2bl w:val="nil"/>
                  </w:tcBorders>
                  <w:noWrap w:val="0"/>
                  <w:vAlign w:val="center"/>
                </w:tcPr>
                <w:p w14:paraId="053B03D0">
                  <w:pPr>
                    <w:pStyle w:val="47"/>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cs="Times New Roman"/>
                      <w:color w:val="000000"/>
                      <w:sz w:val="21"/>
                      <w:szCs w:val="21"/>
                      <w:lang w:eastAsia="zh-CN"/>
                    </w:rPr>
                  </w:pPr>
                  <w:r>
                    <w:rPr>
                      <w:rFonts w:hint="eastAsia" w:ascii="Times New Roman" w:cs="Times New Roman"/>
                      <w:color w:val="000000"/>
                      <w:sz w:val="21"/>
                      <w:szCs w:val="21"/>
                      <w:lang w:eastAsia="zh-CN"/>
                    </w:rPr>
                    <w:t>生石灰</w:t>
                  </w:r>
                </w:p>
              </w:tc>
              <w:tc>
                <w:tcPr>
                  <w:tcW w:w="443" w:type="pct"/>
                  <w:tcBorders>
                    <w:tl2br w:val="nil"/>
                    <w:tr2bl w:val="nil"/>
                  </w:tcBorders>
                  <w:noWrap w:val="0"/>
                  <w:vAlign w:val="center"/>
                </w:tcPr>
                <w:p w14:paraId="555829EF">
                  <w:pPr>
                    <w:pStyle w:val="47"/>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t</w:t>
                  </w:r>
                </w:p>
              </w:tc>
              <w:tc>
                <w:tcPr>
                  <w:tcW w:w="665" w:type="pct"/>
                  <w:tcBorders>
                    <w:tl2br w:val="nil"/>
                    <w:tr2bl w:val="nil"/>
                  </w:tcBorders>
                  <w:noWrap w:val="0"/>
                  <w:vAlign w:val="center"/>
                </w:tcPr>
                <w:p w14:paraId="5E18B02F">
                  <w:pPr>
                    <w:pStyle w:val="47"/>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cs="Times New Roman"/>
                      <w:color w:val="000000"/>
                      <w:sz w:val="21"/>
                      <w:szCs w:val="21"/>
                      <w:lang w:val="en-US" w:eastAsia="zh-CN"/>
                    </w:rPr>
                  </w:pPr>
                  <w:r>
                    <w:rPr>
                      <w:rFonts w:hint="eastAsia" w:ascii="Times New Roman" w:cs="Times New Roman"/>
                      <w:color w:val="000000"/>
                      <w:sz w:val="21"/>
                      <w:szCs w:val="21"/>
                      <w:lang w:val="en-US" w:eastAsia="zh-CN"/>
                    </w:rPr>
                    <w:t>0.2</w:t>
                  </w:r>
                </w:p>
              </w:tc>
              <w:tc>
                <w:tcPr>
                  <w:tcW w:w="1447" w:type="pct"/>
                  <w:tcBorders>
                    <w:tl2br w:val="nil"/>
                    <w:tr2bl w:val="nil"/>
                  </w:tcBorders>
                  <w:noWrap w:val="0"/>
                  <w:vAlign w:val="center"/>
                </w:tcPr>
                <w:p w14:paraId="44F20592">
                  <w:pPr>
                    <w:pStyle w:val="47"/>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宋体" w:cs="Times New Roman"/>
                      <w:color w:val="000000"/>
                      <w:sz w:val="21"/>
                      <w:szCs w:val="21"/>
                      <w:lang w:eastAsia="zh-CN"/>
                    </w:rPr>
                  </w:pPr>
                  <w:r>
                    <w:rPr>
                      <w:rFonts w:hint="default" w:ascii="Times New Roman" w:hAnsi="Times New Roman" w:cs="Times New Roman"/>
                      <w:color w:val="000000"/>
                      <w:sz w:val="21"/>
                      <w:szCs w:val="21"/>
                      <w:lang w:eastAsia="zh-CN"/>
                    </w:rPr>
                    <w:t>外购，</w:t>
                  </w:r>
                  <w:r>
                    <w:rPr>
                      <w:rFonts w:hint="eastAsia" w:ascii="Times New Roman" w:cs="Times New Roman"/>
                      <w:color w:val="000000"/>
                      <w:sz w:val="21"/>
                      <w:szCs w:val="21"/>
                      <w:lang w:eastAsia="zh-CN"/>
                    </w:rPr>
                    <w:t>密封包装</w:t>
                  </w:r>
                </w:p>
              </w:tc>
            </w:tr>
            <w:tr w14:paraId="04E293A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cantSplit/>
                <w:trHeight w:val="454" w:hRule="atLeast"/>
                <w:jc w:val="center"/>
              </w:trPr>
              <w:tc>
                <w:tcPr>
                  <w:tcW w:w="349" w:type="pct"/>
                  <w:tcBorders>
                    <w:tl2br w:val="nil"/>
                    <w:tr2bl w:val="nil"/>
                  </w:tcBorders>
                  <w:noWrap w:val="0"/>
                  <w:vAlign w:val="center"/>
                </w:tcPr>
                <w:p w14:paraId="65CA935B">
                  <w:pPr>
                    <w:pStyle w:val="47"/>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宋体" w:cs="Times New Roman"/>
                      <w:color w:val="000000"/>
                      <w:kern w:val="2"/>
                      <w:sz w:val="21"/>
                      <w:szCs w:val="21"/>
                      <w:lang w:val="en-US" w:eastAsia="zh-CN" w:bidi="ar-SA"/>
                    </w:rPr>
                  </w:pPr>
                  <w:r>
                    <w:rPr>
                      <w:rFonts w:hint="eastAsia" w:ascii="Times New Roman" w:cs="Times New Roman"/>
                      <w:color w:val="000000"/>
                      <w:sz w:val="21"/>
                      <w:szCs w:val="21"/>
                      <w:lang w:val="en-US" w:eastAsia="zh-CN"/>
                    </w:rPr>
                    <w:t>9</w:t>
                  </w:r>
                </w:p>
              </w:tc>
              <w:tc>
                <w:tcPr>
                  <w:tcW w:w="663" w:type="pct"/>
                  <w:tcBorders>
                    <w:tl2br w:val="nil"/>
                    <w:tr2bl w:val="nil"/>
                  </w:tcBorders>
                  <w:noWrap w:val="0"/>
                  <w:vAlign w:val="center"/>
                </w:tcPr>
                <w:p w14:paraId="1B481A93">
                  <w:pPr>
                    <w:pStyle w:val="47"/>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cs="Times New Roman"/>
                      <w:color w:val="000000"/>
                      <w:sz w:val="21"/>
                      <w:szCs w:val="21"/>
                      <w:lang w:eastAsia="zh-CN"/>
                    </w:rPr>
                  </w:pPr>
                  <w:r>
                    <w:rPr>
                      <w:rFonts w:hint="default" w:ascii="Times New Roman" w:hAnsi="Times New Roman" w:cs="Times New Roman"/>
                      <w:color w:val="000000"/>
                      <w:sz w:val="21"/>
                      <w:szCs w:val="21"/>
                      <w:lang w:eastAsia="zh-CN"/>
                    </w:rPr>
                    <w:t>设备保养</w:t>
                  </w:r>
                </w:p>
              </w:tc>
              <w:tc>
                <w:tcPr>
                  <w:tcW w:w="1430" w:type="pct"/>
                  <w:tcBorders>
                    <w:tl2br w:val="nil"/>
                    <w:tr2bl w:val="nil"/>
                  </w:tcBorders>
                  <w:noWrap w:val="0"/>
                  <w:vAlign w:val="center"/>
                </w:tcPr>
                <w:p w14:paraId="2A8E841A">
                  <w:pPr>
                    <w:pStyle w:val="47"/>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cs="Times New Roman"/>
                      <w:color w:val="000000"/>
                      <w:sz w:val="21"/>
                      <w:szCs w:val="21"/>
                      <w:lang w:eastAsia="zh-CN"/>
                    </w:rPr>
                  </w:pPr>
                  <w:r>
                    <w:rPr>
                      <w:rFonts w:hint="default" w:ascii="Times New Roman" w:hAnsi="Times New Roman" w:cs="Times New Roman"/>
                      <w:color w:val="000000"/>
                      <w:sz w:val="21"/>
                      <w:szCs w:val="21"/>
                      <w:lang w:eastAsia="zh-CN"/>
                    </w:rPr>
                    <w:t>抹布、劳保用品</w:t>
                  </w:r>
                </w:p>
              </w:tc>
              <w:tc>
                <w:tcPr>
                  <w:tcW w:w="443" w:type="pct"/>
                  <w:tcBorders>
                    <w:tl2br w:val="nil"/>
                    <w:tr2bl w:val="nil"/>
                  </w:tcBorders>
                  <w:noWrap w:val="0"/>
                  <w:vAlign w:val="center"/>
                </w:tcPr>
                <w:p w14:paraId="60526C13">
                  <w:pPr>
                    <w:pStyle w:val="47"/>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t</w:t>
                  </w:r>
                </w:p>
              </w:tc>
              <w:tc>
                <w:tcPr>
                  <w:tcW w:w="665" w:type="pct"/>
                  <w:tcBorders>
                    <w:tl2br w:val="nil"/>
                    <w:tr2bl w:val="nil"/>
                  </w:tcBorders>
                  <w:noWrap w:val="0"/>
                  <w:vAlign w:val="center"/>
                </w:tcPr>
                <w:p w14:paraId="33926C0F">
                  <w:pPr>
                    <w:pStyle w:val="47"/>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0.1</w:t>
                  </w:r>
                </w:p>
              </w:tc>
              <w:tc>
                <w:tcPr>
                  <w:tcW w:w="1447" w:type="pct"/>
                  <w:tcBorders>
                    <w:tl2br w:val="nil"/>
                    <w:tr2bl w:val="nil"/>
                  </w:tcBorders>
                  <w:noWrap w:val="0"/>
                  <w:vAlign w:val="center"/>
                </w:tcPr>
                <w:p w14:paraId="100D8866">
                  <w:pPr>
                    <w:pStyle w:val="47"/>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cs="Times New Roman"/>
                      <w:color w:val="000000"/>
                      <w:sz w:val="21"/>
                      <w:szCs w:val="21"/>
                      <w:lang w:eastAsia="zh-CN"/>
                    </w:rPr>
                  </w:pPr>
                  <w:r>
                    <w:rPr>
                      <w:rFonts w:hint="default" w:ascii="Times New Roman" w:hAnsi="Times New Roman" w:cs="Times New Roman"/>
                      <w:color w:val="000000"/>
                      <w:sz w:val="21"/>
                      <w:szCs w:val="21"/>
                      <w:lang w:eastAsia="zh-CN"/>
                    </w:rPr>
                    <w:t>外购，用于设备清洁</w:t>
                  </w:r>
                </w:p>
              </w:tc>
            </w:tr>
            <w:tr w14:paraId="3750E8B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cantSplit/>
                <w:trHeight w:val="454" w:hRule="atLeast"/>
                <w:jc w:val="center"/>
              </w:trPr>
              <w:tc>
                <w:tcPr>
                  <w:tcW w:w="349" w:type="pct"/>
                  <w:tcBorders>
                    <w:tl2br w:val="nil"/>
                    <w:tr2bl w:val="nil"/>
                  </w:tcBorders>
                  <w:noWrap w:val="0"/>
                  <w:vAlign w:val="center"/>
                </w:tcPr>
                <w:p w14:paraId="074C9D81">
                  <w:pPr>
                    <w:pStyle w:val="47"/>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宋体" w:cs="Times New Roman"/>
                      <w:color w:val="000000"/>
                      <w:kern w:val="0"/>
                      <w:sz w:val="21"/>
                      <w:szCs w:val="21"/>
                      <w:lang w:val="en-US" w:eastAsia="zh-CN" w:bidi="ar-SA"/>
                    </w:rPr>
                  </w:pPr>
                  <w:r>
                    <w:rPr>
                      <w:rFonts w:hint="eastAsia" w:ascii="Times New Roman" w:cs="Times New Roman"/>
                      <w:color w:val="000000"/>
                      <w:sz w:val="21"/>
                      <w:szCs w:val="21"/>
                      <w:lang w:val="en-US" w:eastAsia="zh-CN"/>
                    </w:rPr>
                    <w:t>10</w:t>
                  </w:r>
                </w:p>
              </w:tc>
              <w:tc>
                <w:tcPr>
                  <w:tcW w:w="663" w:type="pct"/>
                  <w:vMerge w:val="restart"/>
                  <w:tcBorders>
                    <w:tl2br w:val="nil"/>
                    <w:tr2bl w:val="nil"/>
                  </w:tcBorders>
                  <w:noWrap w:val="0"/>
                  <w:vAlign w:val="center"/>
                </w:tcPr>
                <w:p w14:paraId="7151E3B5">
                  <w:pPr>
                    <w:pStyle w:val="47"/>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能耗</w:t>
                  </w:r>
                </w:p>
              </w:tc>
              <w:tc>
                <w:tcPr>
                  <w:tcW w:w="1430" w:type="pct"/>
                  <w:tcBorders>
                    <w:tl2br w:val="nil"/>
                    <w:tr2bl w:val="nil"/>
                  </w:tcBorders>
                  <w:noWrap w:val="0"/>
                  <w:vAlign w:val="center"/>
                </w:tcPr>
                <w:p w14:paraId="0A47DB14">
                  <w:pPr>
                    <w:pStyle w:val="47"/>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eastAsia" w:ascii="Times New Roman" w:hAnsi="Times New Roman" w:eastAsia="宋体" w:cs="Times New Roman"/>
                      <w:color w:val="000000"/>
                      <w:sz w:val="21"/>
                      <w:szCs w:val="21"/>
                      <w:lang w:eastAsia="zh-CN"/>
                    </w:rPr>
                  </w:pPr>
                  <w:r>
                    <w:rPr>
                      <w:rFonts w:hint="eastAsia" w:ascii="Times New Roman" w:cs="Times New Roman"/>
                      <w:color w:val="000000"/>
                      <w:sz w:val="21"/>
                      <w:szCs w:val="21"/>
                      <w:lang w:val="en-US" w:eastAsia="zh-CN"/>
                    </w:rPr>
                    <w:t>水</w:t>
                  </w:r>
                </w:p>
              </w:tc>
              <w:tc>
                <w:tcPr>
                  <w:tcW w:w="443" w:type="pct"/>
                  <w:tcBorders>
                    <w:tl2br w:val="nil"/>
                    <w:tr2bl w:val="nil"/>
                  </w:tcBorders>
                  <w:noWrap w:val="0"/>
                  <w:vAlign w:val="center"/>
                </w:tcPr>
                <w:p w14:paraId="1511E465">
                  <w:pPr>
                    <w:pStyle w:val="47"/>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m</w:t>
                  </w:r>
                  <w:r>
                    <w:rPr>
                      <w:rFonts w:hint="default" w:ascii="Times New Roman" w:hAnsi="Times New Roman" w:cs="Times New Roman"/>
                      <w:color w:val="000000"/>
                      <w:sz w:val="21"/>
                      <w:szCs w:val="21"/>
                      <w:vertAlign w:val="superscript"/>
                    </w:rPr>
                    <w:t>3</w:t>
                  </w:r>
                </w:p>
              </w:tc>
              <w:tc>
                <w:tcPr>
                  <w:tcW w:w="665" w:type="pct"/>
                  <w:tcBorders>
                    <w:tl2br w:val="nil"/>
                    <w:tr2bl w:val="nil"/>
                  </w:tcBorders>
                  <w:noWrap w:val="0"/>
                  <w:vAlign w:val="center"/>
                </w:tcPr>
                <w:p w14:paraId="1A5CC836">
                  <w:pPr>
                    <w:pStyle w:val="47"/>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宋体" w:cs="Times New Roman"/>
                      <w:color w:val="000000"/>
                      <w:sz w:val="21"/>
                      <w:szCs w:val="21"/>
                      <w:lang w:val="en-US" w:eastAsia="zh-CN"/>
                    </w:rPr>
                  </w:pPr>
                  <w:r>
                    <w:rPr>
                      <w:rFonts w:hint="eastAsia" w:ascii="Times New Roman" w:cs="Times New Roman"/>
                      <w:color w:val="000000"/>
                      <w:sz w:val="21"/>
                      <w:szCs w:val="21"/>
                      <w:lang w:val="en-US" w:eastAsia="zh-CN"/>
                    </w:rPr>
                    <w:t>253.5</w:t>
                  </w:r>
                </w:p>
              </w:tc>
              <w:tc>
                <w:tcPr>
                  <w:tcW w:w="1447" w:type="pct"/>
                  <w:tcBorders>
                    <w:tl2br w:val="nil"/>
                    <w:tr2bl w:val="nil"/>
                  </w:tcBorders>
                  <w:noWrap w:val="0"/>
                  <w:vAlign w:val="center"/>
                </w:tcPr>
                <w:p w14:paraId="37484D2D">
                  <w:pPr>
                    <w:pStyle w:val="47"/>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市政供水</w:t>
                  </w:r>
                </w:p>
              </w:tc>
            </w:tr>
            <w:tr w14:paraId="538CEA8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cantSplit/>
                <w:trHeight w:val="454" w:hRule="atLeast"/>
                <w:jc w:val="center"/>
              </w:trPr>
              <w:tc>
                <w:tcPr>
                  <w:tcW w:w="349" w:type="pct"/>
                  <w:tcBorders>
                    <w:tl2br w:val="nil"/>
                    <w:tr2bl w:val="nil"/>
                  </w:tcBorders>
                  <w:noWrap w:val="0"/>
                  <w:vAlign w:val="center"/>
                </w:tcPr>
                <w:p w14:paraId="636301AD">
                  <w:pPr>
                    <w:pStyle w:val="47"/>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宋体" w:cs="Times New Roman"/>
                      <w:color w:val="000000"/>
                      <w:sz w:val="21"/>
                      <w:szCs w:val="21"/>
                      <w:lang w:val="en-US" w:eastAsia="zh-CN"/>
                    </w:rPr>
                  </w:pPr>
                  <w:r>
                    <w:rPr>
                      <w:rFonts w:hint="eastAsia" w:ascii="Times New Roman" w:cs="Times New Roman"/>
                      <w:color w:val="000000"/>
                      <w:sz w:val="21"/>
                      <w:szCs w:val="21"/>
                      <w:lang w:val="en-US" w:eastAsia="zh-CN"/>
                    </w:rPr>
                    <w:t>11</w:t>
                  </w:r>
                </w:p>
              </w:tc>
              <w:tc>
                <w:tcPr>
                  <w:tcW w:w="663" w:type="pct"/>
                  <w:vMerge w:val="continue"/>
                  <w:tcBorders>
                    <w:tl2br w:val="nil"/>
                    <w:tr2bl w:val="nil"/>
                  </w:tcBorders>
                  <w:noWrap w:val="0"/>
                  <w:vAlign w:val="center"/>
                </w:tcPr>
                <w:p w14:paraId="4928710B">
                  <w:pPr>
                    <w:pStyle w:val="47"/>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cs="Times New Roman"/>
                      <w:color w:val="000000"/>
                      <w:sz w:val="21"/>
                      <w:szCs w:val="21"/>
                    </w:rPr>
                  </w:pPr>
                </w:p>
              </w:tc>
              <w:tc>
                <w:tcPr>
                  <w:tcW w:w="1430" w:type="pct"/>
                  <w:tcBorders>
                    <w:tl2br w:val="nil"/>
                    <w:tr2bl w:val="nil"/>
                  </w:tcBorders>
                  <w:noWrap w:val="0"/>
                  <w:vAlign w:val="center"/>
                </w:tcPr>
                <w:p w14:paraId="792388DD">
                  <w:pPr>
                    <w:pStyle w:val="47"/>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电</w:t>
                  </w:r>
                </w:p>
              </w:tc>
              <w:tc>
                <w:tcPr>
                  <w:tcW w:w="443" w:type="pct"/>
                  <w:tcBorders>
                    <w:tl2br w:val="nil"/>
                    <w:tr2bl w:val="nil"/>
                  </w:tcBorders>
                  <w:noWrap w:val="0"/>
                  <w:vAlign w:val="center"/>
                </w:tcPr>
                <w:p w14:paraId="5382B624">
                  <w:pPr>
                    <w:pStyle w:val="47"/>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kW·h</w:t>
                  </w:r>
                </w:p>
              </w:tc>
              <w:tc>
                <w:tcPr>
                  <w:tcW w:w="665" w:type="pct"/>
                  <w:tcBorders>
                    <w:tl2br w:val="nil"/>
                    <w:tr2bl w:val="nil"/>
                  </w:tcBorders>
                  <w:noWrap w:val="0"/>
                  <w:vAlign w:val="center"/>
                </w:tcPr>
                <w:p w14:paraId="6494C208">
                  <w:pPr>
                    <w:pStyle w:val="47"/>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cs="Times New Roman"/>
                      <w:color w:val="000000"/>
                      <w:sz w:val="21"/>
                      <w:szCs w:val="21"/>
                    </w:rPr>
                  </w:pPr>
                  <w:r>
                    <w:rPr>
                      <w:rFonts w:hint="eastAsia" w:ascii="Times New Roman" w:cs="Times New Roman"/>
                      <w:color w:val="000000"/>
                      <w:sz w:val="21"/>
                      <w:szCs w:val="21"/>
                      <w:lang w:val="en-US" w:eastAsia="zh-CN"/>
                    </w:rPr>
                    <w:t>1</w:t>
                  </w:r>
                  <w:r>
                    <w:rPr>
                      <w:rFonts w:hint="default" w:ascii="Times New Roman" w:hAnsi="Times New Roman" w:cs="Times New Roman"/>
                      <w:color w:val="000000"/>
                      <w:sz w:val="21"/>
                      <w:szCs w:val="21"/>
                    </w:rPr>
                    <w:t>万</w:t>
                  </w:r>
                </w:p>
              </w:tc>
              <w:tc>
                <w:tcPr>
                  <w:tcW w:w="1447" w:type="pct"/>
                  <w:tcBorders>
                    <w:tl2br w:val="nil"/>
                    <w:tr2bl w:val="nil"/>
                  </w:tcBorders>
                  <w:noWrap w:val="0"/>
                  <w:vAlign w:val="center"/>
                </w:tcPr>
                <w:p w14:paraId="4982F7E4">
                  <w:pPr>
                    <w:pStyle w:val="47"/>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市政供电</w:t>
                  </w:r>
                </w:p>
              </w:tc>
            </w:tr>
          </w:tbl>
          <w:p w14:paraId="71BA12D9">
            <w:pPr>
              <w:pStyle w:val="29"/>
              <w:bidi w:val="0"/>
              <w:jc w:val="left"/>
              <w:rPr>
                <w:color w:val="000000" w:themeColor="text1"/>
                <w14:textFill>
                  <w14:solidFill>
                    <w14:schemeClr w14:val="tx1"/>
                  </w14:solidFill>
                </w14:textFill>
              </w:rPr>
            </w:pPr>
          </w:p>
          <w:p w14:paraId="733F1035">
            <w:pPr>
              <w:pStyle w:val="29"/>
              <w:bidi w:val="0"/>
              <w:jc w:val="left"/>
              <w:rPr>
                <w:rFonts w:hint="eastAsia" w:ascii="宋体" w:hAnsi="宋体" w:cs="宋体" w:eastAsiaTheme="minorEastAsia"/>
                <w:b/>
                <w:bCs/>
                <w:color w:val="000000" w:themeColor="text1"/>
                <w:szCs w:val="22"/>
                <w:lang w:val="en-US" w:eastAsia="zh-CN" w:bidi="ar-SA"/>
                <w14:textFill>
                  <w14:solidFill>
                    <w14:schemeClr w14:val="tx1"/>
                  </w14:solidFill>
                </w14:textFill>
              </w:rPr>
            </w:pPr>
            <w:r>
              <w:rPr>
                <w:rFonts w:hint="eastAsia" w:ascii="宋体" w:hAnsi="宋体" w:cs="宋体" w:eastAsiaTheme="minorEastAsia"/>
                <w:b/>
                <w:bCs/>
                <w:color w:val="000000" w:themeColor="text1"/>
                <w:szCs w:val="22"/>
                <w:lang w:val="en-US" w:eastAsia="zh-CN" w:bidi="ar-SA"/>
                <w14:textFill>
                  <w14:solidFill>
                    <w14:schemeClr w14:val="tx1"/>
                  </w14:solidFill>
                </w14:textFill>
              </w:rPr>
              <w:t>2.2.2耗能</w:t>
            </w:r>
          </w:p>
          <w:p w14:paraId="73D4C1A6">
            <w:pPr>
              <w:pStyle w:val="31"/>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项目资源能耗情况表</w:t>
            </w:r>
          </w:p>
          <w:tbl>
            <w:tblPr>
              <w:tblStyle w:val="23"/>
              <w:tblW w:w="5000" w:type="pct"/>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
              <w:gridCol w:w="1163"/>
              <w:gridCol w:w="1610"/>
              <w:gridCol w:w="1490"/>
              <w:gridCol w:w="1258"/>
              <w:gridCol w:w="1539"/>
              <w:gridCol w:w="1534"/>
              <w:gridCol w:w="962"/>
            </w:tblGrid>
            <w:tr w14:paraId="00EB0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02" w:type="pct"/>
                <w:cantSplit/>
                <w:trHeight w:val="454" w:hRule="atLeast"/>
              </w:trPr>
              <w:tc>
                <w:tcPr>
                  <w:tcW w:w="610" w:type="pct"/>
                  <w:gridSpan w:val="2"/>
                  <w:tcBorders>
                    <w:tl2br w:val="nil"/>
                    <w:tr2bl w:val="nil"/>
                  </w:tcBorders>
                  <w:noWrap w:val="0"/>
                  <w:vAlign w:val="center"/>
                </w:tcPr>
                <w:p w14:paraId="36A565DA">
                  <w:pPr>
                    <w:spacing w:line="240" w:lineRule="auto"/>
                    <w:ind w:firstLine="0" w:firstLineChars="0"/>
                    <w:jc w:val="center"/>
                    <w:rPr>
                      <w:color w:val="000000"/>
                      <w:sz w:val="21"/>
                    </w:rPr>
                  </w:pPr>
                  <w:r>
                    <w:rPr>
                      <w:rFonts w:hint="eastAsia"/>
                      <w:color w:val="000000"/>
                      <w:sz w:val="21"/>
                    </w:rPr>
                    <w:t>项目</w:t>
                  </w:r>
                </w:p>
              </w:tc>
              <w:tc>
                <w:tcPr>
                  <w:tcW w:w="842" w:type="pct"/>
                  <w:tcBorders>
                    <w:tl2br w:val="nil"/>
                    <w:tr2bl w:val="nil"/>
                  </w:tcBorders>
                  <w:noWrap w:val="0"/>
                  <w:vAlign w:val="center"/>
                </w:tcPr>
                <w:p w14:paraId="165D226D">
                  <w:pPr>
                    <w:spacing w:line="240" w:lineRule="auto"/>
                    <w:ind w:firstLine="0" w:firstLineChars="0"/>
                    <w:jc w:val="center"/>
                    <w:rPr>
                      <w:color w:val="000000"/>
                      <w:sz w:val="21"/>
                    </w:rPr>
                  </w:pPr>
                  <w:r>
                    <w:rPr>
                      <w:rFonts w:hint="eastAsia"/>
                      <w:color w:val="000000"/>
                      <w:sz w:val="21"/>
                    </w:rPr>
                    <w:t>类型</w:t>
                  </w:r>
                </w:p>
              </w:tc>
              <w:tc>
                <w:tcPr>
                  <w:tcW w:w="779" w:type="pct"/>
                  <w:tcBorders>
                    <w:tl2br w:val="nil"/>
                    <w:tr2bl w:val="nil"/>
                  </w:tcBorders>
                  <w:noWrap w:val="0"/>
                  <w:vAlign w:val="center"/>
                </w:tcPr>
                <w:p w14:paraId="1F38DE58">
                  <w:pPr>
                    <w:spacing w:line="240" w:lineRule="auto"/>
                    <w:ind w:firstLine="0" w:firstLineChars="0"/>
                    <w:jc w:val="center"/>
                    <w:rPr>
                      <w:color w:val="000000"/>
                      <w:sz w:val="21"/>
                    </w:rPr>
                  </w:pPr>
                  <w:r>
                    <w:rPr>
                      <w:rFonts w:hint="eastAsia"/>
                      <w:color w:val="000000"/>
                      <w:sz w:val="21"/>
                    </w:rPr>
                    <w:t>用水标准</w:t>
                  </w:r>
                </w:p>
              </w:tc>
              <w:tc>
                <w:tcPr>
                  <w:tcW w:w="656" w:type="pct"/>
                  <w:tcBorders>
                    <w:tl2br w:val="nil"/>
                    <w:tr2bl w:val="nil"/>
                  </w:tcBorders>
                  <w:noWrap w:val="0"/>
                  <w:vAlign w:val="center"/>
                </w:tcPr>
                <w:p w14:paraId="1523B1D9">
                  <w:pPr>
                    <w:spacing w:line="240" w:lineRule="auto"/>
                    <w:ind w:firstLine="0" w:firstLineChars="0"/>
                    <w:jc w:val="center"/>
                    <w:rPr>
                      <w:color w:val="000000"/>
                      <w:sz w:val="21"/>
                    </w:rPr>
                  </w:pPr>
                  <w:r>
                    <w:rPr>
                      <w:rFonts w:hint="eastAsia"/>
                      <w:color w:val="000000"/>
                      <w:sz w:val="21"/>
                    </w:rPr>
                    <w:t>数量规模</w:t>
                  </w:r>
                </w:p>
              </w:tc>
              <w:tc>
                <w:tcPr>
                  <w:tcW w:w="805" w:type="pct"/>
                  <w:tcBorders>
                    <w:tl2br w:val="nil"/>
                    <w:tr2bl w:val="nil"/>
                  </w:tcBorders>
                  <w:noWrap w:val="0"/>
                  <w:vAlign w:val="center"/>
                </w:tcPr>
                <w:p w14:paraId="51D519AE">
                  <w:pPr>
                    <w:spacing w:line="240" w:lineRule="auto"/>
                    <w:ind w:firstLine="0" w:firstLineChars="0"/>
                    <w:jc w:val="center"/>
                    <w:rPr>
                      <w:color w:val="000000"/>
                      <w:sz w:val="21"/>
                    </w:rPr>
                  </w:pPr>
                  <w:r>
                    <w:rPr>
                      <w:rFonts w:hint="eastAsia"/>
                      <w:color w:val="000000"/>
                      <w:sz w:val="21"/>
                    </w:rPr>
                    <w:t>用水量</w:t>
                  </w:r>
                </w:p>
                <w:p w14:paraId="6B10003D">
                  <w:pPr>
                    <w:spacing w:line="240" w:lineRule="auto"/>
                    <w:ind w:firstLine="0" w:firstLineChars="0"/>
                    <w:jc w:val="center"/>
                    <w:rPr>
                      <w:color w:val="000000"/>
                      <w:sz w:val="21"/>
                    </w:rPr>
                  </w:pPr>
                  <w:r>
                    <w:rPr>
                      <w:rFonts w:hint="eastAsia"/>
                      <w:color w:val="000000"/>
                      <w:sz w:val="21"/>
                    </w:rPr>
                    <w:t>（m</w:t>
                  </w:r>
                  <w:r>
                    <w:rPr>
                      <w:rFonts w:hint="eastAsia"/>
                      <w:color w:val="000000"/>
                      <w:sz w:val="21"/>
                      <w:vertAlign w:val="superscript"/>
                    </w:rPr>
                    <w:t>3</w:t>
                  </w:r>
                  <w:r>
                    <w:rPr>
                      <w:rFonts w:hint="eastAsia"/>
                      <w:color w:val="000000"/>
                      <w:sz w:val="21"/>
                    </w:rPr>
                    <w:t>/</w:t>
                  </w:r>
                  <w:r>
                    <w:rPr>
                      <w:rFonts w:hint="eastAsia"/>
                      <w:color w:val="000000"/>
                      <w:sz w:val="21"/>
                      <w:lang w:val="en-US" w:eastAsia="zh-CN"/>
                    </w:rPr>
                    <w:t>d</w:t>
                  </w:r>
                  <w:r>
                    <w:rPr>
                      <w:rFonts w:hint="eastAsia"/>
                      <w:color w:val="000000"/>
                      <w:sz w:val="21"/>
                    </w:rPr>
                    <w:t>）</w:t>
                  </w:r>
                </w:p>
              </w:tc>
              <w:tc>
                <w:tcPr>
                  <w:tcW w:w="802" w:type="pct"/>
                  <w:tcBorders>
                    <w:tl2br w:val="nil"/>
                    <w:tr2bl w:val="nil"/>
                  </w:tcBorders>
                  <w:noWrap w:val="0"/>
                  <w:vAlign w:val="center"/>
                </w:tcPr>
                <w:p w14:paraId="3BA0D4D2">
                  <w:pPr>
                    <w:spacing w:line="240" w:lineRule="auto"/>
                    <w:ind w:firstLine="0" w:firstLineChars="0"/>
                    <w:jc w:val="center"/>
                    <w:rPr>
                      <w:color w:val="000000"/>
                      <w:sz w:val="21"/>
                    </w:rPr>
                  </w:pPr>
                  <w:r>
                    <w:rPr>
                      <w:rFonts w:hint="eastAsia"/>
                      <w:color w:val="000000"/>
                      <w:sz w:val="21"/>
                    </w:rPr>
                    <w:t>用水量</w:t>
                  </w:r>
                </w:p>
                <w:p w14:paraId="6B233133">
                  <w:pPr>
                    <w:spacing w:line="240" w:lineRule="auto"/>
                    <w:ind w:firstLine="0" w:firstLineChars="0"/>
                    <w:jc w:val="center"/>
                    <w:rPr>
                      <w:color w:val="000000"/>
                      <w:sz w:val="21"/>
                    </w:rPr>
                  </w:pPr>
                  <w:r>
                    <w:rPr>
                      <w:rFonts w:hint="eastAsia"/>
                      <w:color w:val="000000"/>
                      <w:sz w:val="21"/>
                    </w:rPr>
                    <w:t>（m</w:t>
                  </w:r>
                  <w:r>
                    <w:rPr>
                      <w:rFonts w:hint="eastAsia"/>
                      <w:color w:val="000000"/>
                      <w:sz w:val="21"/>
                      <w:vertAlign w:val="superscript"/>
                    </w:rPr>
                    <w:t>3</w:t>
                  </w:r>
                  <w:r>
                    <w:rPr>
                      <w:rFonts w:hint="eastAsia"/>
                      <w:color w:val="000000"/>
                      <w:sz w:val="21"/>
                    </w:rPr>
                    <w:t>/a）</w:t>
                  </w:r>
                </w:p>
              </w:tc>
            </w:tr>
            <w:tr w14:paraId="4A2EB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02" w:type="pct"/>
                <w:cantSplit/>
                <w:trHeight w:val="454" w:hRule="atLeast"/>
              </w:trPr>
              <w:tc>
                <w:tcPr>
                  <w:tcW w:w="610" w:type="pct"/>
                  <w:gridSpan w:val="2"/>
                  <w:tcBorders>
                    <w:tl2br w:val="nil"/>
                    <w:tr2bl w:val="nil"/>
                  </w:tcBorders>
                  <w:noWrap w:val="0"/>
                  <w:vAlign w:val="center"/>
                </w:tcPr>
                <w:p w14:paraId="2C62E099">
                  <w:pPr>
                    <w:spacing w:line="240" w:lineRule="auto"/>
                    <w:ind w:firstLine="0" w:firstLineChars="0"/>
                    <w:jc w:val="center"/>
                    <w:rPr>
                      <w:color w:val="000000"/>
                      <w:sz w:val="21"/>
                    </w:rPr>
                  </w:pPr>
                  <w:r>
                    <w:rPr>
                      <w:rFonts w:hint="eastAsia"/>
                      <w:color w:val="000000"/>
                      <w:sz w:val="21"/>
                    </w:rPr>
                    <w:t>生活用水</w:t>
                  </w:r>
                </w:p>
              </w:tc>
              <w:tc>
                <w:tcPr>
                  <w:tcW w:w="842" w:type="pct"/>
                  <w:tcBorders>
                    <w:tl2br w:val="nil"/>
                    <w:tr2bl w:val="nil"/>
                  </w:tcBorders>
                  <w:noWrap w:val="0"/>
                  <w:vAlign w:val="center"/>
                </w:tcPr>
                <w:p w14:paraId="1E2DD5D5">
                  <w:pPr>
                    <w:spacing w:line="240" w:lineRule="auto"/>
                    <w:ind w:firstLine="0" w:firstLineChars="0"/>
                    <w:jc w:val="center"/>
                    <w:rPr>
                      <w:color w:val="000000"/>
                      <w:sz w:val="21"/>
                    </w:rPr>
                  </w:pPr>
                  <w:r>
                    <w:rPr>
                      <w:rFonts w:hint="eastAsia"/>
                      <w:color w:val="000000"/>
                      <w:sz w:val="21"/>
                    </w:rPr>
                    <w:t>生活用水</w:t>
                  </w:r>
                </w:p>
              </w:tc>
              <w:tc>
                <w:tcPr>
                  <w:tcW w:w="779" w:type="pct"/>
                  <w:tcBorders>
                    <w:tl2br w:val="nil"/>
                    <w:tr2bl w:val="nil"/>
                  </w:tcBorders>
                  <w:noWrap w:val="0"/>
                  <w:vAlign w:val="center"/>
                </w:tcPr>
                <w:p w14:paraId="6BC014B2">
                  <w:pPr>
                    <w:spacing w:line="240" w:lineRule="auto"/>
                    <w:ind w:firstLine="0" w:firstLineChars="0"/>
                    <w:jc w:val="center"/>
                    <w:rPr>
                      <w:color w:val="000000"/>
                      <w:sz w:val="21"/>
                    </w:rPr>
                  </w:pPr>
                  <w:r>
                    <w:rPr>
                      <w:color w:val="000000"/>
                      <w:sz w:val="21"/>
                    </w:rPr>
                    <w:t>11</w:t>
                  </w:r>
                  <w:r>
                    <w:rPr>
                      <w:rFonts w:hint="eastAsia"/>
                      <w:color w:val="000000"/>
                      <w:sz w:val="21"/>
                    </w:rPr>
                    <w:t>0L/人</w:t>
                  </w:r>
                  <w:r>
                    <w:rPr>
                      <w:color w:val="000000"/>
                      <w:sz w:val="21"/>
                    </w:rPr>
                    <w:t>·</w:t>
                  </w:r>
                  <w:r>
                    <w:rPr>
                      <w:rFonts w:hint="eastAsia"/>
                      <w:color w:val="000000"/>
                      <w:sz w:val="21"/>
                    </w:rPr>
                    <w:t>d</w:t>
                  </w:r>
                </w:p>
              </w:tc>
              <w:tc>
                <w:tcPr>
                  <w:tcW w:w="656" w:type="pct"/>
                  <w:tcBorders>
                    <w:tl2br w:val="nil"/>
                    <w:tr2bl w:val="nil"/>
                  </w:tcBorders>
                  <w:noWrap w:val="0"/>
                  <w:vAlign w:val="center"/>
                </w:tcPr>
                <w:p w14:paraId="1A29CBC5">
                  <w:pPr>
                    <w:spacing w:line="240" w:lineRule="auto"/>
                    <w:ind w:firstLine="0" w:firstLineChars="0"/>
                    <w:jc w:val="center"/>
                    <w:rPr>
                      <w:rFonts w:hint="default" w:eastAsia="宋体"/>
                      <w:color w:val="000000"/>
                      <w:sz w:val="21"/>
                      <w:lang w:val="en-US" w:eastAsia="zh-CN"/>
                    </w:rPr>
                  </w:pPr>
                  <w:r>
                    <w:rPr>
                      <w:rFonts w:hint="eastAsia"/>
                      <w:color w:val="000000"/>
                      <w:sz w:val="21"/>
                      <w:lang w:val="en-US" w:eastAsia="zh-CN"/>
                    </w:rPr>
                    <w:t>6</w:t>
                  </w:r>
                  <w:r>
                    <w:rPr>
                      <w:rFonts w:hint="eastAsia"/>
                      <w:color w:val="000000"/>
                      <w:sz w:val="21"/>
                    </w:rPr>
                    <w:t>人</w:t>
                  </w:r>
                  <w:r>
                    <w:rPr>
                      <w:rFonts w:hint="eastAsia"/>
                      <w:color w:val="000000"/>
                      <w:sz w:val="21"/>
                      <w:lang w:eastAsia="zh-CN"/>
                    </w:rPr>
                    <w:t>，</w:t>
                  </w:r>
                  <w:r>
                    <w:rPr>
                      <w:rFonts w:hint="eastAsia"/>
                      <w:color w:val="000000"/>
                      <w:sz w:val="21"/>
                      <w:lang w:val="en-US" w:eastAsia="zh-CN"/>
                    </w:rPr>
                    <w:t>365d</w:t>
                  </w:r>
                </w:p>
              </w:tc>
              <w:tc>
                <w:tcPr>
                  <w:tcW w:w="805" w:type="pct"/>
                  <w:tcBorders>
                    <w:tl2br w:val="nil"/>
                    <w:tr2bl w:val="nil"/>
                  </w:tcBorders>
                  <w:noWrap w:val="0"/>
                  <w:vAlign w:val="center"/>
                </w:tcPr>
                <w:p w14:paraId="71A68DC7">
                  <w:pPr>
                    <w:spacing w:line="240" w:lineRule="auto"/>
                    <w:ind w:firstLine="0" w:firstLineChars="0"/>
                    <w:jc w:val="center"/>
                    <w:rPr>
                      <w:rFonts w:hint="default" w:eastAsia="宋体"/>
                      <w:color w:val="000000"/>
                      <w:sz w:val="21"/>
                      <w:lang w:val="en-US" w:eastAsia="zh-CN"/>
                    </w:rPr>
                  </w:pPr>
                  <w:r>
                    <w:rPr>
                      <w:rFonts w:hint="eastAsia"/>
                      <w:color w:val="000000"/>
                      <w:sz w:val="21"/>
                      <w:lang w:val="en-US" w:eastAsia="zh-CN"/>
                    </w:rPr>
                    <w:t>0.66</w:t>
                  </w:r>
                </w:p>
              </w:tc>
              <w:tc>
                <w:tcPr>
                  <w:tcW w:w="802" w:type="pct"/>
                  <w:tcBorders>
                    <w:tl2br w:val="nil"/>
                    <w:tr2bl w:val="nil"/>
                  </w:tcBorders>
                  <w:noWrap w:val="0"/>
                  <w:vAlign w:val="center"/>
                </w:tcPr>
                <w:p w14:paraId="7B50882C">
                  <w:pPr>
                    <w:spacing w:line="240" w:lineRule="auto"/>
                    <w:ind w:firstLine="0" w:firstLineChars="0"/>
                    <w:jc w:val="center"/>
                    <w:rPr>
                      <w:rFonts w:hint="default"/>
                      <w:color w:val="000000"/>
                      <w:sz w:val="21"/>
                      <w:lang w:val="en-US"/>
                    </w:rPr>
                  </w:pPr>
                  <w:r>
                    <w:rPr>
                      <w:rFonts w:hint="eastAsia"/>
                      <w:color w:val="000000"/>
                      <w:sz w:val="21"/>
                      <w:lang w:val="en-US" w:eastAsia="zh-CN"/>
                    </w:rPr>
                    <w:t>240.9</w:t>
                  </w:r>
                </w:p>
              </w:tc>
            </w:tr>
            <w:tr w14:paraId="59FAF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02" w:type="pct"/>
                <w:cantSplit/>
                <w:trHeight w:val="454" w:hRule="atLeast"/>
              </w:trPr>
              <w:tc>
                <w:tcPr>
                  <w:tcW w:w="610" w:type="pct"/>
                  <w:gridSpan w:val="2"/>
                  <w:tcBorders>
                    <w:tl2br w:val="nil"/>
                    <w:tr2bl w:val="nil"/>
                  </w:tcBorders>
                  <w:noWrap w:val="0"/>
                  <w:vAlign w:val="center"/>
                </w:tcPr>
                <w:p w14:paraId="4471D80D">
                  <w:pPr>
                    <w:spacing w:line="240" w:lineRule="auto"/>
                    <w:ind w:firstLine="0" w:firstLineChars="0"/>
                    <w:jc w:val="center"/>
                    <w:rPr>
                      <w:rFonts w:hint="eastAsia" w:eastAsia="宋体"/>
                      <w:color w:val="000000"/>
                      <w:sz w:val="21"/>
                      <w:lang w:eastAsia="zh-CN"/>
                    </w:rPr>
                  </w:pPr>
                  <w:r>
                    <w:rPr>
                      <w:rFonts w:hint="eastAsia"/>
                      <w:color w:val="000000"/>
                      <w:sz w:val="21"/>
                      <w:lang w:eastAsia="zh-CN"/>
                    </w:rPr>
                    <w:t>地面清洁</w:t>
                  </w:r>
                </w:p>
              </w:tc>
              <w:tc>
                <w:tcPr>
                  <w:tcW w:w="842" w:type="pct"/>
                  <w:tcBorders>
                    <w:tl2br w:val="nil"/>
                    <w:tr2bl w:val="nil"/>
                  </w:tcBorders>
                  <w:noWrap w:val="0"/>
                  <w:vAlign w:val="center"/>
                </w:tcPr>
                <w:p w14:paraId="03816539">
                  <w:pPr>
                    <w:spacing w:line="240" w:lineRule="auto"/>
                    <w:ind w:firstLine="0" w:firstLineChars="0"/>
                    <w:jc w:val="center"/>
                    <w:rPr>
                      <w:rFonts w:hint="eastAsia" w:eastAsia="宋体"/>
                      <w:color w:val="000000"/>
                      <w:sz w:val="21"/>
                      <w:lang w:eastAsia="zh-CN"/>
                    </w:rPr>
                  </w:pPr>
                  <w:r>
                    <w:rPr>
                      <w:rFonts w:hint="eastAsia"/>
                      <w:color w:val="000000"/>
                      <w:sz w:val="21"/>
                      <w:lang w:eastAsia="zh-CN"/>
                    </w:rPr>
                    <w:t>地面清洁用水</w:t>
                  </w:r>
                </w:p>
              </w:tc>
              <w:tc>
                <w:tcPr>
                  <w:tcW w:w="779" w:type="pct"/>
                  <w:tcBorders>
                    <w:tl2br w:val="nil"/>
                    <w:tr2bl w:val="nil"/>
                  </w:tcBorders>
                  <w:noWrap w:val="0"/>
                  <w:vAlign w:val="center"/>
                </w:tcPr>
                <w:p w14:paraId="5941263F">
                  <w:pPr>
                    <w:spacing w:line="240" w:lineRule="auto"/>
                    <w:ind w:firstLine="0" w:firstLineChars="0"/>
                    <w:jc w:val="center"/>
                    <w:rPr>
                      <w:rFonts w:hint="default" w:eastAsia="宋体"/>
                      <w:color w:val="000000"/>
                      <w:sz w:val="21"/>
                      <w:lang w:val="en-US" w:eastAsia="zh-CN"/>
                    </w:rPr>
                  </w:pPr>
                  <w:r>
                    <w:rPr>
                      <w:rFonts w:hint="eastAsia"/>
                      <w:color w:val="000000"/>
                      <w:sz w:val="21"/>
                      <w:lang w:val="en-US" w:eastAsia="zh-CN"/>
                    </w:rPr>
                    <w:t>0.05m</w:t>
                  </w:r>
                  <w:r>
                    <w:rPr>
                      <w:rFonts w:hint="eastAsia"/>
                      <w:color w:val="000000"/>
                      <w:sz w:val="21"/>
                      <w:vertAlign w:val="superscript"/>
                      <w:lang w:val="en-US" w:eastAsia="zh-CN"/>
                    </w:rPr>
                    <w:t>3</w:t>
                  </w:r>
                  <w:r>
                    <w:rPr>
                      <w:rFonts w:hint="eastAsia"/>
                      <w:color w:val="000000"/>
                      <w:sz w:val="21"/>
                      <w:lang w:val="en-US" w:eastAsia="zh-CN"/>
                    </w:rPr>
                    <w:t>/次</w:t>
                  </w:r>
                </w:p>
              </w:tc>
              <w:tc>
                <w:tcPr>
                  <w:tcW w:w="656" w:type="pct"/>
                  <w:tcBorders>
                    <w:tl2br w:val="nil"/>
                    <w:tr2bl w:val="nil"/>
                  </w:tcBorders>
                  <w:noWrap w:val="0"/>
                  <w:vAlign w:val="center"/>
                </w:tcPr>
                <w:p w14:paraId="41EB9A94">
                  <w:pPr>
                    <w:spacing w:line="240" w:lineRule="auto"/>
                    <w:ind w:firstLine="0" w:firstLineChars="0"/>
                    <w:jc w:val="center"/>
                    <w:rPr>
                      <w:rFonts w:hint="default"/>
                      <w:color w:val="000000"/>
                      <w:sz w:val="21"/>
                      <w:lang w:val="en-US" w:eastAsia="zh-CN"/>
                    </w:rPr>
                  </w:pPr>
                  <w:r>
                    <w:rPr>
                      <w:rFonts w:hint="eastAsia"/>
                      <w:color w:val="000000"/>
                      <w:sz w:val="21"/>
                      <w:lang w:val="en-US" w:eastAsia="zh-CN"/>
                    </w:rPr>
                    <w:t>52次/年</w:t>
                  </w:r>
                </w:p>
              </w:tc>
              <w:tc>
                <w:tcPr>
                  <w:tcW w:w="805" w:type="pct"/>
                  <w:tcBorders>
                    <w:tl2br w:val="nil"/>
                    <w:tr2bl w:val="nil"/>
                  </w:tcBorders>
                  <w:noWrap w:val="0"/>
                  <w:vAlign w:val="center"/>
                </w:tcPr>
                <w:p w14:paraId="2228F6CE">
                  <w:pPr>
                    <w:spacing w:line="240" w:lineRule="auto"/>
                    <w:ind w:firstLine="0" w:firstLineChars="0"/>
                    <w:jc w:val="center"/>
                    <w:rPr>
                      <w:rFonts w:hint="default"/>
                      <w:color w:val="000000"/>
                      <w:sz w:val="21"/>
                      <w:lang w:val="en-US" w:eastAsia="zh-CN"/>
                    </w:rPr>
                  </w:pPr>
                  <w:r>
                    <w:rPr>
                      <w:rFonts w:hint="eastAsia"/>
                      <w:color w:val="000000"/>
                      <w:sz w:val="21"/>
                      <w:lang w:val="en-US" w:eastAsia="zh-CN"/>
                    </w:rPr>
                    <w:t>/</w:t>
                  </w:r>
                </w:p>
              </w:tc>
              <w:tc>
                <w:tcPr>
                  <w:tcW w:w="802" w:type="pct"/>
                  <w:tcBorders>
                    <w:tl2br w:val="nil"/>
                    <w:tr2bl w:val="nil"/>
                  </w:tcBorders>
                  <w:noWrap w:val="0"/>
                  <w:vAlign w:val="center"/>
                </w:tcPr>
                <w:p w14:paraId="36338EF2">
                  <w:pPr>
                    <w:spacing w:line="240" w:lineRule="auto"/>
                    <w:ind w:firstLine="0" w:firstLineChars="0"/>
                    <w:jc w:val="center"/>
                    <w:rPr>
                      <w:rFonts w:hint="default"/>
                      <w:color w:val="000000"/>
                      <w:sz w:val="21"/>
                      <w:lang w:val="en-US" w:eastAsia="zh-CN"/>
                    </w:rPr>
                  </w:pPr>
                  <w:r>
                    <w:rPr>
                      <w:rFonts w:hint="eastAsia"/>
                      <w:color w:val="000000"/>
                      <w:sz w:val="21"/>
                      <w:lang w:val="en-US" w:eastAsia="zh-CN"/>
                    </w:rPr>
                    <w:t>2.6</w:t>
                  </w:r>
                </w:p>
              </w:tc>
            </w:tr>
            <w:tr w14:paraId="1EA5B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02" w:type="pct"/>
                <w:cantSplit/>
                <w:trHeight w:val="454" w:hRule="atLeast"/>
              </w:trPr>
              <w:tc>
                <w:tcPr>
                  <w:tcW w:w="610" w:type="pct"/>
                  <w:gridSpan w:val="2"/>
                  <w:tcBorders>
                    <w:tl2br w:val="nil"/>
                    <w:tr2bl w:val="nil"/>
                  </w:tcBorders>
                  <w:noWrap w:val="0"/>
                  <w:vAlign w:val="center"/>
                </w:tcPr>
                <w:p w14:paraId="7971DB91">
                  <w:pPr>
                    <w:spacing w:line="240" w:lineRule="auto"/>
                    <w:ind w:firstLine="0" w:firstLineChars="0"/>
                    <w:jc w:val="center"/>
                    <w:rPr>
                      <w:rFonts w:hint="eastAsia"/>
                      <w:color w:val="000000"/>
                      <w:sz w:val="21"/>
                      <w:lang w:eastAsia="zh-CN"/>
                    </w:rPr>
                  </w:pPr>
                  <w:r>
                    <w:rPr>
                      <w:rFonts w:hint="eastAsia"/>
                      <w:color w:val="000000"/>
                      <w:sz w:val="21"/>
                      <w:lang w:eastAsia="zh-CN"/>
                    </w:rPr>
                    <w:t>喷淋塔</w:t>
                  </w:r>
                </w:p>
              </w:tc>
              <w:tc>
                <w:tcPr>
                  <w:tcW w:w="842" w:type="pct"/>
                  <w:tcBorders>
                    <w:tl2br w:val="nil"/>
                    <w:tr2bl w:val="nil"/>
                  </w:tcBorders>
                  <w:noWrap w:val="0"/>
                  <w:vAlign w:val="center"/>
                </w:tcPr>
                <w:p w14:paraId="5FD96312">
                  <w:pPr>
                    <w:spacing w:line="240" w:lineRule="auto"/>
                    <w:ind w:firstLine="0" w:firstLineChars="0"/>
                    <w:jc w:val="center"/>
                    <w:rPr>
                      <w:rFonts w:hint="eastAsia"/>
                      <w:color w:val="000000"/>
                      <w:sz w:val="21"/>
                      <w:lang w:eastAsia="zh-CN"/>
                    </w:rPr>
                  </w:pPr>
                  <w:r>
                    <w:rPr>
                      <w:rFonts w:hint="eastAsia"/>
                      <w:color w:val="000000"/>
                      <w:sz w:val="21"/>
                      <w:lang w:eastAsia="zh-CN"/>
                    </w:rPr>
                    <w:t>喷淋塔补充水</w:t>
                  </w:r>
                </w:p>
              </w:tc>
              <w:tc>
                <w:tcPr>
                  <w:tcW w:w="779" w:type="pct"/>
                  <w:tcBorders>
                    <w:tl2br w:val="nil"/>
                    <w:tr2bl w:val="nil"/>
                  </w:tcBorders>
                  <w:noWrap w:val="0"/>
                  <w:vAlign w:val="center"/>
                </w:tcPr>
                <w:p w14:paraId="7AC37154">
                  <w:pPr>
                    <w:spacing w:line="240" w:lineRule="auto"/>
                    <w:ind w:firstLine="0" w:firstLineChars="0"/>
                    <w:jc w:val="center"/>
                    <w:rPr>
                      <w:rFonts w:hint="default"/>
                      <w:color w:val="000000"/>
                      <w:sz w:val="21"/>
                      <w:lang w:val="en-US" w:eastAsia="zh-CN"/>
                    </w:rPr>
                  </w:pPr>
                  <w:r>
                    <w:rPr>
                      <w:rFonts w:hint="eastAsia"/>
                      <w:color w:val="000000"/>
                      <w:sz w:val="21"/>
                      <w:lang w:val="en-US" w:eastAsia="zh-CN"/>
                    </w:rPr>
                    <w:t>10m</w:t>
                  </w:r>
                  <w:r>
                    <w:rPr>
                      <w:rFonts w:hint="eastAsia"/>
                      <w:color w:val="000000"/>
                      <w:sz w:val="21"/>
                      <w:vertAlign w:val="superscript"/>
                      <w:lang w:val="en-US" w:eastAsia="zh-CN"/>
                    </w:rPr>
                    <w:t>3</w:t>
                  </w:r>
                  <w:r>
                    <w:rPr>
                      <w:rFonts w:hint="eastAsia"/>
                      <w:color w:val="000000"/>
                      <w:sz w:val="21"/>
                      <w:lang w:val="en-US" w:eastAsia="zh-CN"/>
                    </w:rPr>
                    <w:t>/a</w:t>
                  </w:r>
                </w:p>
              </w:tc>
              <w:tc>
                <w:tcPr>
                  <w:tcW w:w="656" w:type="pct"/>
                  <w:tcBorders>
                    <w:tl2br w:val="nil"/>
                    <w:tr2bl w:val="nil"/>
                  </w:tcBorders>
                  <w:noWrap w:val="0"/>
                  <w:vAlign w:val="center"/>
                </w:tcPr>
                <w:p w14:paraId="3A9A68CF">
                  <w:pPr>
                    <w:spacing w:line="240" w:lineRule="auto"/>
                    <w:ind w:firstLine="0" w:firstLineChars="0"/>
                    <w:jc w:val="center"/>
                    <w:rPr>
                      <w:rFonts w:hint="default"/>
                      <w:color w:val="000000"/>
                      <w:sz w:val="21"/>
                      <w:lang w:val="en-US" w:eastAsia="zh-CN"/>
                    </w:rPr>
                  </w:pPr>
                  <w:r>
                    <w:rPr>
                      <w:rFonts w:hint="eastAsia"/>
                      <w:color w:val="000000"/>
                      <w:sz w:val="21"/>
                      <w:lang w:val="en-US" w:eastAsia="zh-CN"/>
                    </w:rPr>
                    <w:t>/</w:t>
                  </w:r>
                </w:p>
              </w:tc>
              <w:tc>
                <w:tcPr>
                  <w:tcW w:w="805" w:type="pct"/>
                  <w:tcBorders>
                    <w:tl2br w:val="nil"/>
                    <w:tr2bl w:val="nil"/>
                  </w:tcBorders>
                  <w:noWrap w:val="0"/>
                  <w:vAlign w:val="center"/>
                </w:tcPr>
                <w:p w14:paraId="19572F1C">
                  <w:pPr>
                    <w:spacing w:line="240" w:lineRule="auto"/>
                    <w:ind w:firstLine="0" w:firstLineChars="0"/>
                    <w:jc w:val="center"/>
                    <w:rPr>
                      <w:rFonts w:hint="default"/>
                      <w:color w:val="000000"/>
                      <w:sz w:val="21"/>
                      <w:lang w:val="en-US" w:eastAsia="zh-CN"/>
                    </w:rPr>
                  </w:pPr>
                  <w:r>
                    <w:rPr>
                      <w:rFonts w:hint="eastAsia"/>
                      <w:color w:val="000000"/>
                      <w:sz w:val="21"/>
                      <w:lang w:val="en-US" w:eastAsia="zh-CN"/>
                    </w:rPr>
                    <w:t>/</w:t>
                  </w:r>
                </w:p>
              </w:tc>
              <w:tc>
                <w:tcPr>
                  <w:tcW w:w="802" w:type="pct"/>
                  <w:tcBorders>
                    <w:tl2br w:val="nil"/>
                    <w:tr2bl w:val="nil"/>
                  </w:tcBorders>
                  <w:noWrap w:val="0"/>
                  <w:vAlign w:val="center"/>
                </w:tcPr>
                <w:p w14:paraId="0149C7E5">
                  <w:pPr>
                    <w:spacing w:line="240" w:lineRule="auto"/>
                    <w:ind w:firstLine="0" w:firstLineChars="0"/>
                    <w:jc w:val="center"/>
                    <w:rPr>
                      <w:rFonts w:hint="default"/>
                      <w:color w:val="000000"/>
                      <w:sz w:val="21"/>
                      <w:lang w:val="en-US" w:eastAsia="zh-CN"/>
                    </w:rPr>
                  </w:pPr>
                  <w:r>
                    <w:rPr>
                      <w:rFonts w:hint="eastAsia"/>
                      <w:color w:val="000000"/>
                      <w:sz w:val="21"/>
                      <w:lang w:val="en-US" w:eastAsia="zh-CN"/>
                    </w:rPr>
                    <w:t>10</w:t>
                  </w:r>
                </w:p>
              </w:tc>
            </w:tr>
            <w:tr w14:paraId="4B33E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02" w:type="pct"/>
                <w:cantSplit/>
                <w:trHeight w:val="454" w:hRule="atLeast"/>
              </w:trPr>
              <w:tc>
                <w:tcPr>
                  <w:tcW w:w="2889" w:type="pct"/>
                  <w:gridSpan w:val="5"/>
                  <w:tcBorders>
                    <w:tl2br w:val="nil"/>
                    <w:tr2bl w:val="nil"/>
                  </w:tcBorders>
                  <w:noWrap w:val="0"/>
                  <w:vAlign w:val="center"/>
                </w:tcPr>
                <w:p w14:paraId="5DE7045C">
                  <w:pPr>
                    <w:spacing w:line="240" w:lineRule="auto"/>
                    <w:ind w:firstLine="0" w:firstLineChars="0"/>
                    <w:jc w:val="center"/>
                    <w:rPr>
                      <w:color w:val="000000"/>
                      <w:sz w:val="21"/>
                    </w:rPr>
                  </w:pPr>
                  <w:r>
                    <w:rPr>
                      <w:rFonts w:hint="eastAsia"/>
                      <w:color w:val="000000"/>
                      <w:sz w:val="21"/>
                    </w:rPr>
                    <w:t>合计</w:t>
                  </w:r>
                </w:p>
              </w:tc>
              <w:tc>
                <w:tcPr>
                  <w:tcW w:w="805" w:type="pct"/>
                  <w:tcBorders>
                    <w:tl2br w:val="nil"/>
                    <w:tr2bl w:val="nil"/>
                  </w:tcBorders>
                  <w:noWrap w:val="0"/>
                  <w:vAlign w:val="center"/>
                </w:tcPr>
                <w:p w14:paraId="17E986CC">
                  <w:pPr>
                    <w:spacing w:line="240" w:lineRule="auto"/>
                    <w:ind w:firstLine="0" w:firstLineChars="0"/>
                    <w:jc w:val="center"/>
                    <w:rPr>
                      <w:rFonts w:hint="default" w:eastAsia="宋体"/>
                      <w:color w:val="000000"/>
                      <w:sz w:val="21"/>
                      <w:lang w:val="en-US" w:eastAsia="zh-CN"/>
                    </w:rPr>
                  </w:pPr>
                  <w:r>
                    <w:rPr>
                      <w:rFonts w:hint="eastAsia"/>
                      <w:color w:val="000000"/>
                      <w:sz w:val="21"/>
                      <w:lang w:val="en-US" w:eastAsia="zh-CN"/>
                    </w:rPr>
                    <w:t>/</w:t>
                  </w:r>
                </w:p>
              </w:tc>
              <w:tc>
                <w:tcPr>
                  <w:tcW w:w="802" w:type="pct"/>
                  <w:tcBorders>
                    <w:tl2br w:val="nil"/>
                    <w:tr2bl w:val="nil"/>
                  </w:tcBorders>
                  <w:noWrap w:val="0"/>
                  <w:vAlign w:val="center"/>
                </w:tcPr>
                <w:p w14:paraId="36306790">
                  <w:pPr>
                    <w:spacing w:line="240" w:lineRule="auto"/>
                    <w:ind w:firstLine="0" w:firstLineChars="0"/>
                    <w:jc w:val="center"/>
                    <w:rPr>
                      <w:rFonts w:hint="default"/>
                      <w:color w:val="000000"/>
                      <w:sz w:val="21"/>
                      <w:lang w:val="en-US"/>
                    </w:rPr>
                  </w:pPr>
                  <w:r>
                    <w:rPr>
                      <w:rFonts w:hint="eastAsia"/>
                      <w:color w:val="000000"/>
                      <w:sz w:val="21"/>
                      <w:lang w:val="en-US" w:eastAsia="zh-CN"/>
                    </w:rPr>
                    <w:t>253.5</w:t>
                  </w:r>
                </w:p>
              </w:tc>
            </w:tr>
            <w:tr w14:paraId="10E44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2" w:type="pct"/>
                <w:trHeight w:val="404" w:hRule="atLeast"/>
                <w:jc w:val="center"/>
              </w:trPr>
              <w:tc>
                <w:tcPr>
                  <w:tcW w:w="4997" w:type="pct"/>
                  <w:gridSpan w:val="7"/>
                  <w:noWrap w:val="0"/>
                  <w:vAlign w:val="center"/>
                </w:tcPr>
                <w:p w14:paraId="6D5DB9A2">
                  <w:pPr>
                    <w:tabs>
                      <w:tab w:val="left" w:pos="2835"/>
                    </w:tabs>
                    <w:spacing w:line="360" w:lineRule="auto"/>
                    <w:ind w:firstLine="420" w:firstLineChars="200"/>
                    <w:rPr>
                      <w:color w:val="000000" w:themeColor="text1"/>
                      <w:szCs w:val="21"/>
                      <w14:textFill>
                        <w14:solidFill>
                          <w14:schemeClr w14:val="tx1"/>
                        </w14:solidFill>
                      </w14:textFill>
                    </w:rPr>
                  </w:pPr>
                </w:p>
              </w:tc>
            </w:tr>
          </w:tbl>
          <w:p w14:paraId="6CB2D661">
            <w:pPr>
              <w:pStyle w:val="51"/>
              <w:rPr>
                <w:rFonts w:hint="eastAsia" w:eastAsia="宋体" w:cs="Times New Roman" w:asciiTheme="minorHAnsi" w:hAnsiTheme="minorHAnsi"/>
                <w:b/>
                <w:bCs/>
                <w:snapToGrid w:val="0"/>
                <w:color w:val="000000" w:themeColor="text1"/>
                <w:kern w:val="2"/>
                <w:sz w:val="24"/>
                <w:szCs w:val="24"/>
                <w:highlight w:val="none"/>
                <w:lang w:val="en-US" w:eastAsia="en-US" w:bidi="ar-SA"/>
                <w14:textFill>
                  <w14:solidFill>
                    <w14:schemeClr w14:val="tx1"/>
                  </w14:solidFill>
                </w14:textFill>
              </w:rPr>
            </w:pPr>
            <w:r>
              <w:rPr>
                <w:rFonts w:hint="eastAsia" w:eastAsia="宋体" w:cs="Times New Roman" w:asciiTheme="minorHAnsi" w:hAnsiTheme="minorHAnsi"/>
                <w:b/>
                <w:bCs/>
                <w:snapToGrid w:val="0"/>
                <w:color w:val="000000" w:themeColor="text1"/>
                <w:kern w:val="2"/>
                <w:sz w:val="24"/>
                <w:szCs w:val="24"/>
                <w:highlight w:val="none"/>
                <w:lang w:val="en-US" w:eastAsia="en-US" w:bidi="ar-SA"/>
                <w14:textFill>
                  <w14:solidFill>
                    <w14:schemeClr w14:val="tx1"/>
                  </w14:solidFill>
                </w14:textFill>
              </w:rPr>
              <w:t>2.3 主要工艺流程及产污环节</w:t>
            </w:r>
          </w:p>
          <w:p w14:paraId="3C3F0E19">
            <w:pPr>
              <w:keepLines w:val="0"/>
              <w:pageBreakBefore w:val="0"/>
              <w:widowControl w:val="0"/>
              <w:kinsoku/>
              <w:wordWrap/>
              <w:topLinePunct w:val="0"/>
              <w:autoSpaceDE/>
              <w:autoSpaceDN/>
              <w:bidi w:val="0"/>
              <w:adjustRightInd/>
              <w:spacing w:line="460" w:lineRule="exact"/>
              <w:ind w:firstLine="420" w:firstLineChars="200"/>
              <w:textAlignment w:val="auto"/>
              <w:rPr>
                <w:rFonts w:hint="eastAsia"/>
                <w:color w:val="000000"/>
              </w:rPr>
            </w:pPr>
            <w:r>
              <w:rPr>
                <w:rFonts w:hint="eastAsia"/>
                <w:color w:val="000000"/>
              </w:rPr>
              <w:t>本项目运营期工艺流程及产污环节见图2-</w:t>
            </w:r>
            <w:r>
              <w:rPr>
                <w:rFonts w:hint="eastAsia"/>
                <w:color w:val="000000"/>
                <w:lang w:val="en-US" w:eastAsia="zh-CN"/>
              </w:rPr>
              <w:t>3</w:t>
            </w:r>
            <w:r>
              <w:rPr>
                <w:rFonts w:hint="eastAsia"/>
                <w:color w:val="000000"/>
              </w:rPr>
              <w:t>所示。</w:t>
            </w:r>
          </w:p>
          <w:p w14:paraId="3B122009">
            <w:pPr>
              <w:pStyle w:val="2"/>
              <w:rPr>
                <w:rFonts w:hint="eastAsia"/>
                <w:color w:val="000000"/>
              </w:rPr>
            </w:pPr>
          </w:p>
          <w:p w14:paraId="73B01B7B">
            <w:pPr>
              <w:pStyle w:val="22"/>
              <w:rPr>
                <w:rFonts w:hint="eastAsia"/>
                <w:color w:val="000000"/>
              </w:rPr>
            </w:pPr>
            <w:r>
              <w:rPr>
                <w:color w:val="000000"/>
              </w:rPr>
              <w:drawing>
                <wp:anchor distT="0" distB="0" distL="114300" distR="114300" simplePos="0" relativeHeight="251660288" behindDoc="1" locked="0" layoutInCell="1" allowOverlap="1">
                  <wp:simplePos x="0" y="0"/>
                  <wp:positionH relativeFrom="column">
                    <wp:posOffset>368300</wp:posOffset>
                  </wp:positionH>
                  <wp:positionV relativeFrom="paragraph">
                    <wp:posOffset>23495</wp:posOffset>
                  </wp:positionV>
                  <wp:extent cx="5513070" cy="1606550"/>
                  <wp:effectExtent l="0" t="0" r="11430" b="12700"/>
                  <wp:wrapNone/>
                  <wp:docPr id="4"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1"/>
                          <pic:cNvPicPr>
                            <a:picLocks noChangeAspect="1"/>
                          </pic:cNvPicPr>
                        </pic:nvPicPr>
                        <pic:blipFill>
                          <a:blip r:embed="rId7"/>
                          <a:stretch>
                            <a:fillRect/>
                          </a:stretch>
                        </pic:blipFill>
                        <pic:spPr>
                          <a:xfrm>
                            <a:off x="0" y="0"/>
                            <a:ext cx="5513070" cy="1606550"/>
                          </a:xfrm>
                          <a:prstGeom prst="rect">
                            <a:avLst/>
                          </a:prstGeom>
                          <a:noFill/>
                          <a:ln>
                            <a:noFill/>
                          </a:ln>
                        </pic:spPr>
                      </pic:pic>
                    </a:graphicData>
                  </a:graphic>
                </wp:anchor>
              </w:drawing>
            </w:r>
          </w:p>
          <w:p w14:paraId="279225DA">
            <w:pPr>
              <w:pStyle w:val="80"/>
              <w:rPr>
                <w:rFonts w:hint="eastAsia"/>
                <w:color w:val="000000"/>
              </w:rPr>
            </w:pPr>
          </w:p>
          <w:p w14:paraId="24BCC38B">
            <w:pPr>
              <w:pStyle w:val="80"/>
              <w:rPr>
                <w:rFonts w:hint="eastAsia"/>
                <w:color w:val="000000"/>
              </w:rPr>
            </w:pPr>
          </w:p>
          <w:p w14:paraId="1FBF83CF">
            <w:pPr>
              <w:pStyle w:val="80"/>
              <w:rPr>
                <w:rFonts w:hint="eastAsia"/>
                <w:color w:val="000000"/>
              </w:rPr>
            </w:pPr>
          </w:p>
          <w:p w14:paraId="79CA97C6">
            <w:pPr>
              <w:pStyle w:val="80"/>
              <w:rPr>
                <w:rFonts w:hint="eastAsia"/>
                <w:color w:val="000000"/>
              </w:rPr>
            </w:pPr>
          </w:p>
          <w:p w14:paraId="381876CD">
            <w:pPr>
              <w:ind w:firstLine="0" w:firstLineChars="0"/>
              <w:jc w:val="center"/>
              <w:rPr>
                <w:color w:val="000000"/>
              </w:rPr>
            </w:pPr>
          </w:p>
          <w:p w14:paraId="4B9E5781">
            <w:pPr>
              <w:pStyle w:val="10"/>
              <w:pageBreakBefore w:val="0"/>
              <w:widowControl w:val="0"/>
              <w:kinsoku/>
              <w:wordWrap/>
              <w:overflowPunct/>
              <w:topLinePunct w:val="0"/>
              <w:autoSpaceDE/>
              <w:autoSpaceDN/>
              <w:bidi w:val="0"/>
              <w:adjustRightInd/>
              <w:snapToGrid/>
              <w:spacing w:line="460" w:lineRule="exact"/>
              <w:textAlignment w:val="auto"/>
              <w:rPr>
                <w:color w:val="000000"/>
              </w:rPr>
            </w:pPr>
            <w:r>
              <w:rPr>
                <w:rFonts w:hint="eastAsia"/>
                <w:color w:val="000000"/>
              </w:rPr>
              <w:t>图2</w:t>
            </w:r>
            <w:r>
              <w:rPr>
                <w:color w:val="000000"/>
              </w:rPr>
              <w:t>-</w:t>
            </w:r>
            <w:r>
              <w:rPr>
                <w:rFonts w:hint="eastAsia"/>
                <w:color w:val="000000"/>
                <w:lang w:val="en-US" w:eastAsia="zh-CN"/>
              </w:rPr>
              <w:t>3</w:t>
            </w:r>
            <w:r>
              <w:rPr>
                <w:rFonts w:hint="eastAsia"/>
                <w:color w:val="000000"/>
              </w:rPr>
              <w:t xml:space="preserve"> </w:t>
            </w:r>
            <w:r>
              <w:rPr>
                <w:color w:val="000000"/>
              </w:rPr>
              <w:t xml:space="preserve"> </w:t>
            </w:r>
            <w:r>
              <w:rPr>
                <w:rFonts w:hint="eastAsia"/>
                <w:color w:val="000000"/>
              </w:rPr>
              <w:t>运营期工艺流程及产污环节图</w:t>
            </w:r>
          </w:p>
          <w:p w14:paraId="58F69F8A">
            <w:pPr>
              <w:pStyle w:val="6"/>
              <w:pageBreakBefore w:val="0"/>
              <w:widowControl w:val="0"/>
              <w:kinsoku/>
              <w:wordWrap/>
              <w:overflowPunct/>
              <w:topLinePunct w:val="0"/>
              <w:autoSpaceDE/>
              <w:autoSpaceDN/>
              <w:bidi w:val="0"/>
              <w:adjustRightInd/>
              <w:snapToGrid/>
              <w:spacing w:line="460" w:lineRule="exact"/>
              <w:ind w:firstLine="482"/>
              <w:textAlignment w:val="auto"/>
              <w:rPr>
                <w:rFonts w:hint="eastAsia" w:eastAsia="宋体"/>
                <w:color w:val="000000"/>
                <w:lang w:eastAsia="zh-CN"/>
              </w:rPr>
            </w:pPr>
            <w:r>
              <w:rPr>
                <w:rFonts w:hint="eastAsia"/>
                <w:color w:val="000000"/>
              </w:rPr>
              <w:t>工艺流程简述</w:t>
            </w:r>
            <w:r>
              <w:rPr>
                <w:rFonts w:hint="eastAsia"/>
                <w:color w:val="000000"/>
                <w:lang w:eastAsia="zh-CN"/>
              </w:rPr>
              <w:t>：</w:t>
            </w:r>
          </w:p>
          <w:p w14:paraId="0B6FBF0E">
            <w:pPr>
              <w:pageBreakBefore w:val="0"/>
              <w:widowControl w:val="0"/>
              <w:kinsoku/>
              <w:wordWrap/>
              <w:overflowPunct/>
              <w:topLinePunct w:val="0"/>
              <w:autoSpaceDE/>
              <w:autoSpaceDN/>
              <w:bidi w:val="0"/>
              <w:adjustRightInd/>
              <w:snapToGrid/>
              <w:spacing w:line="460" w:lineRule="exact"/>
              <w:ind w:firstLine="480"/>
              <w:textAlignment w:val="auto"/>
              <w:rPr>
                <w:color w:val="000000"/>
              </w:rPr>
            </w:pPr>
            <w:r>
              <w:rPr>
                <w:rFonts w:hint="eastAsia"/>
                <w:color w:val="000000"/>
                <w:lang w:eastAsia="zh-CN"/>
              </w:rPr>
              <w:t>①</w:t>
            </w:r>
            <w:r>
              <w:rPr>
                <w:rFonts w:hint="eastAsia"/>
                <w:color w:val="000000"/>
              </w:rPr>
              <w:t>危险废物收集、装车</w:t>
            </w:r>
          </w:p>
          <w:p w14:paraId="061648D7">
            <w:pPr>
              <w:pageBreakBefore w:val="0"/>
              <w:widowControl w:val="0"/>
              <w:kinsoku/>
              <w:wordWrap/>
              <w:overflowPunct/>
              <w:topLinePunct w:val="0"/>
              <w:autoSpaceDE/>
              <w:autoSpaceDN/>
              <w:bidi w:val="0"/>
              <w:adjustRightInd/>
              <w:snapToGrid/>
              <w:spacing w:line="460" w:lineRule="exact"/>
              <w:ind w:firstLine="480"/>
              <w:textAlignment w:val="auto"/>
              <w:rPr>
                <w:color w:val="000000"/>
              </w:rPr>
            </w:pPr>
            <w:r>
              <w:rPr>
                <w:rFonts w:hint="eastAsia"/>
                <w:color w:val="000000"/>
              </w:rPr>
              <w:t>本项目建设单位委托具有危险废物运输资质的单位对</w:t>
            </w:r>
            <w:r>
              <w:rPr>
                <w:rFonts w:hint="eastAsia"/>
                <w:color w:val="000000"/>
                <w:lang w:eastAsia="zh-CN"/>
              </w:rPr>
              <w:t>废铅蓄电池</w:t>
            </w:r>
            <w:r>
              <w:rPr>
                <w:rFonts w:hint="eastAsia"/>
                <w:color w:val="000000"/>
              </w:rPr>
              <w:t>进行收集、装车，并统一</w:t>
            </w:r>
            <w:r>
              <w:rPr>
                <w:rFonts w:hint="eastAsia"/>
                <w:color w:val="000000"/>
                <w:lang w:eastAsia="zh-CN"/>
              </w:rPr>
              <w:t>转运</w:t>
            </w:r>
            <w:r>
              <w:rPr>
                <w:rFonts w:hint="eastAsia"/>
                <w:color w:val="000000"/>
              </w:rPr>
              <w:t>至本项目贮存设施内。项目建设单位不承担各个企业危险废物的原始收集</w:t>
            </w:r>
            <w:r>
              <w:rPr>
                <w:rFonts w:hint="eastAsia"/>
                <w:color w:val="000000"/>
                <w:lang w:eastAsia="zh-CN"/>
              </w:rPr>
              <w:t>和包装</w:t>
            </w:r>
            <w:r>
              <w:rPr>
                <w:rFonts w:hint="eastAsia"/>
                <w:color w:val="000000"/>
              </w:rPr>
              <w:t>工作，由各个企业</w:t>
            </w:r>
            <w:r>
              <w:rPr>
                <w:rFonts w:hint="eastAsia"/>
                <w:color w:val="000000"/>
                <w:lang w:val="en-US" w:eastAsia="zh-CN"/>
              </w:rPr>
              <w:t>/收集网点</w:t>
            </w:r>
            <w:r>
              <w:rPr>
                <w:rFonts w:hint="eastAsia"/>
                <w:color w:val="000000"/>
              </w:rPr>
              <w:t>自行收集暂存。收集容器和包装物为各企业厂内自备容器或采用建设单位提供的容器或包装物收集</w:t>
            </w:r>
            <w:r>
              <w:rPr>
                <w:rFonts w:hint="eastAsia"/>
                <w:color w:val="000000"/>
                <w:lang w:eastAsia="zh-CN"/>
              </w:rPr>
              <w:t>包装</w:t>
            </w:r>
            <w:r>
              <w:rPr>
                <w:rFonts w:hint="eastAsia"/>
                <w:color w:val="000000"/>
              </w:rPr>
              <w:t>，收集达到最大收集量</w:t>
            </w:r>
            <w:r>
              <w:rPr>
                <w:rFonts w:hint="eastAsia"/>
                <w:color w:val="000000"/>
                <w:lang w:eastAsia="zh-CN"/>
              </w:rPr>
              <w:t>或约定收运时间</w:t>
            </w:r>
            <w:r>
              <w:rPr>
                <w:rFonts w:hint="eastAsia"/>
                <w:color w:val="000000"/>
              </w:rPr>
              <w:t>后</w:t>
            </w:r>
            <w:r>
              <w:rPr>
                <w:rFonts w:hint="eastAsia"/>
                <w:color w:val="000000"/>
                <w:lang w:eastAsia="zh-CN"/>
              </w:rPr>
              <w:t>，由危险废物产生单位</w:t>
            </w:r>
            <w:r>
              <w:rPr>
                <w:rFonts w:hint="eastAsia"/>
                <w:color w:val="000000"/>
              </w:rPr>
              <w:t>通知</w:t>
            </w:r>
            <w:r>
              <w:rPr>
                <w:rFonts w:hint="eastAsia"/>
                <w:color w:val="000000"/>
                <w:lang w:eastAsia="zh-CN"/>
              </w:rPr>
              <w:t>本项目建设单位，再由本项目建设单位联系有危险废物运输资质单位，并派遣专业人员随危险废物运输车辆到达产生危险废物单位收集危险废物。</w:t>
            </w:r>
            <w:r>
              <w:rPr>
                <w:rFonts w:hint="eastAsia"/>
                <w:color w:val="000000"/>
              </w:rPr>
              <w:t>危险废物人工</w:t>
            </w:r>
            <w:r>
              <w:rPr>
                <w:rFonts w:hint="eastAsia"/>
                <w:color w:val="000000"/>
                <w:lang w:eastAsia="zh-CN"/>
              </w:rPr>
              <w:t>装车</w:t>
            </w:r>
            <w:r>
              <w:rPr>
                <w:rFonts w:hint="eastAsia"/>
                <w:color w:val="000000"/>
              </w:rPr>
              <w:t>。</w:t>
            </w:r>
          </w:p>
          <w:p w14:paraId="6E2F68AD">
            <w:pPr>
              <w:pageBreakBefore w:val="0"/>
              <w:widowControl w:val="0"/>
              <w:kinsoku/>
              <w:wordWrap/>
              <w:overflowPunct/>
              <w:topLinePunct w:val="0"/>
              <w:autoSpaceDE/>
              <w:autoSpaceDN/>
              <w:bidi w:val="0"/>
              <w:adjustRightInd/>
              <w:snapToGrid/>
              <w:spacing w:line="460" w:lineRule="exact"/>
              <w:ind w:firstLine="480"/>
              <w:textAlignment w:val="auto"/>
              <w:rPr>
                <w:rFonts w:hint="eastAsia" w:eastAsia="宋体"/>
                <w:color w:val="000000"/>
                <w:lang w:eastAsia="zh-CN"/>
              </w:rPr>
            </w:pPr>
            <w:r>
              <w:rPr>
                <w:rFonts w:hint="eastAsia"/>
                <w:color w:val="000000"/>
                <w:lang w:eastAsia="zh-CN"/>
              </w:rPr>
              <w:t>本项目危险废物收集由危险废物收集对象企业自行收集暂存于危废暂存间内或是废铅蓄电池收集网点设置的贮存设施内，并采用符合暂存要求的包装容器进行盛装，</w:t>
            </w:r>
            <w:r>
              <w:rPr>
                <w:rFonts w:hint="eastAsia"/>
                <w:color w:val="000000"/>
              </w:rPr>
              <w:t>如</w:t>
            </w:r>
            <w:r>
              <w:rPr>
                <w:rFonts w:hint="eastAsia"/>
                <w:color w:val="000000"/>
                <w:lang w:eastAsia="zh-CN"/>
              </w:rPr>
              <w:t>本项目建设单位危险废物收集随车人员在危险废物产生单位收集危险废物时</w:t>
            </w:r>
            <w:r>
              <w:rPr>
                <w:rFonts w:hint="eastAsia"/>
                <w:color w:val="000000"/>
              </w:rPr>
              <w:t>发现</w:t>
            </w:r>
            <w:r>
              <w:rPr>
                <w:rFonts w:hint="eastAsia"/>
                <w:color w:val="000000"/>
                <w:lang w:eastAsia="zh-CN"/>
              </w:rPr>
              <w:t>危险废物</w:t>
            </w:r>
            <w:r>
              <w:rPr>
                <w:rFonts w:hint="eastAsia"/>
                <w:color w:val="000000"/>
              </w:rPr>
              <w:t>收集容器破损，应及时更换容器</w:t>
            </w:r>
            <w:r>
              <w:rPr>
                <w:rFonts w:hint="eastAsia"/>
                <w:color w:val="000000"/>
                <w:lang w:eastAsia="zh-CN"/>
              </w:rPr>
              <w:t>密封包装</w:t>
            </w:r>
            <w:r>
              <w:rPr>
                <w:rFonts w:hint="eastAsia"/>
                <w:color w:val="000000"/>
              </w:rPr>
              <w:t>，禁止将破损容器装车运输；</w:t>
            </w:r>
            <w:r>
              <w:rPr>
                <w:rFonts w:hint="eastAsia"/>
                <w:color w:val="000000"/>
                <w:lang w:eastAsia="zh-CN"/>
              </w:rPr>
              <w:t>本项目危险废物收集运输交由</w:t>
            </w:r>
            <w:r>
              <w:rPr>
                <w:rFonts w:hint="eastAsia"/>
                <w:color w:val="000000"/>
              </w:rPr>
              <w:t>有危险废物运输资质单位</w:t>
            </w:r>
            <w:r>
              <w:rPr>
                <w:rFonts w:hint="eastAsia"/>
                <w:color w:val="000000"/>
                <w:lang w:eastAsia="zh-CN"/>
              </w:rPr>
              <w:t>进行运输</w:t>
            </w:r>
            <w:r>
              <w:rPr>
                <w:rFonts w:hint="eastAsia"/>
                <w:color w:val="000000"/>
              </w:rPr>
              <w:t>，运输过程中</w:t>
            </w:r>
            <w:r>
              <w:rPr>
                <w:rFonts w:hint="eastAsia"/>
                <w:color w:val="000000"/>
                <w:lang w:eastAsia="zh-CN"/>
              </w:rPr>
              <w:t>危险废物</w:t>
            </w:r>
            <w:r>
              <w:rPr>
                <w:rFonts w:hint="eastAsia"/>
                <w:color w:val="000000"/>
              </w:rPr>
              <w:t>转移</w:t>
            </w:r>
            <w:r>
              <w:rPr>
                <w:rFonts w:hint="eastAsia"/>
                <w:color w:val="000000"/>
                <w:lang w:eastAsia="zh-CN"/>
              </w:rPr>
              <w:t>需</w:t>
            </w:r>
            <w:r>
              <w:rPr>
                <w:rFonts w:hint="eastAsia"/>
                <w:color w:val="000000"/>
              </w:rPr>
              <w:t>满足环保要求，并通过专用车辆密闭运输至本项目贮存设施内，运输线路</w:t>
            </w:r>
            <w:r>
              <w:rPr>
                <w:rFonts w:hint="eastAsia"/>
                <w:color w:val="000000"/>
                <w:lang w:eastAsia="zh-CN"/>
              </w:rPr>
              <w:t>应</w:t>
            </w:r>
            <w:r>
              <w:rPr>
                <w:rFonts w:hint="eastAsia"/>
                <w:color w:val="000000"/>
              </w:rPr>
              <w:t>避开人口密集区、饮用水源保护区等环境敏感区</w:t>
            </w:r>
            <w:r>
              <w:rPr>
                <w:rFonts w:hint="eastAsia"/>
                <w:color w:val="000000"/>
                <w:lang w:eastAsia="zh-CN"/>
              </w:rPr>
              <w:t>；</w:t>
            </w:r>
            <w:r>
              <w:rPr>
                <w:color w:val="000000"/>
              </w:rPr>
              <w:t>危险废物移交过程依照《危险废物转移管理办法》中的要求，严格执行危险废物转移联单管理制度。转运车每车每次运送的危险废物采用《危险废物转移登记卡》管理，一车一卡，由企业危险废物管理人员交接时填写并签字。</w:t>
            </w:r>
          </w:p>
          <w:p w14:paraId="37AE1A25">
            <w:pPr>
              <w:pageBreakBefore w:val="0"/>
              <w:widowControl w:val="0"/>
              <w:kinsoku/>
              <w:wordWrap/>
              <w:overflowPunct/>
              <w:topLinePunct w:val="0"/>
              <w:autoSpaceDE/>
              <w:autoSpaceDN/>
              <w:bidi w:val="0"/>
              <w:adjustRightInd/>
              <w:snapToGrid/>
              <w:spacing w:line="460" w:lineRule="exact"/>
              <w:ind w:firstLine="480"/>
              <w:textAlignment w:val="auto"/>
              <w:rPr>
                <w:color w:val="000000"/>
              </w:rPr>
            </w:pPr>
            <w:r>
              <w:rPr>
                <w:rFonts w:hint="eastAsia"/>
                <w:color w:val="000000"/>
                <w:lang w:eastAsia="zh-CN"/>
              </w:rPr>
              <w:t>②</w:t>
            </w:r>
            <w:r>
              <w:rPr>
                <w:rFonts w:hint="eastAsia"/>
                <w:color w:val="000000"/>
              </w:rPr>
              <w:t>危险废物卸车</w:t>
            </w:r>
          </w:p>
          <w:p w14:paraId="183ED33A">
            <w:pPr>
              <w:pageBreakBefore w:val="0"/>
              <w:widowControl w:val="0"/>
              <w:kinsoku/>
              <w:wordWrap/>
              <w:overflowPunct/>
              <w:topLinePunct w:val="0"/>
              <w:autoSpaceDE/>
              <w:autoSpaceDN/>
              <w:bidi w:val="0"/>
              <w:adjustRightInd/>
              <w:snapToGrid/>
              <w:spacing w:line="460" w:lineRule="exact"/>
              <w:ind w:firstLine="480"/>
              <w:textAlignment w:val="auto"/>
              <w:rPr>
                <w:rFonts w:hint="default" w:eastAsia="宋体"/>
                <w:color w:val="000000"/>
                <w:lang w:val="en-US" w:eastAsia="zh-CN"/>
              </w:rPr>
            </w:pPr>
            <w:r>
              <w:rPr>
                <w:rFonts w:hint="eastAsia"/>
                <w:color w:val="000000"/>
              </w:rPr>
              <w:t>危险废物经专用车辆运至本项目</w:t>
            </w:r>
            <w:r>
              <w:rPr>
                <w:rFonts w:hint="eastAsia"/>
                <w:color w:val="000000"/>
                <w:lang w:eastAsia="zh-CN"/>
              </w:rPr>
              <w:t>装卸区后</w:t>
            </w:r>
            <w:r>
              <w:rPr>
                <w:rFonts w:hint="eastAsia"/>
                <w:color w:val="000000"/>
              </w:rPr>
              <w:t>，</w:t>
            </w:r>
            <w:r>
              <w:rPr>
                <w:rFonts w:hint="eastAsia"/>
                <w:color w:val="000000"/>
                <w:lang w:eastAsia="zh-CN"/>
              </w:rPr>
              <w:t>人工卸货至托盘内，由地牛作为运输工具将托盘以及托盘内废铅蓄电池通过专用电梯运输至</w:t>
            </w:r>
            <w:r>
              <w:rPr>
                <w:rFonts w:hint="eastAsia"/>
                <w:color w:val="000000"/>
                <w:lang w:val="en-US" w:eastAsia="zh-CN"/>
              </w:rPr>
              <w:t>3F的贮存设施处，称重并分类后，人工将危险废物卸货至贮存区内，完成卸车后的运输车回原单位待命，不在场内停放和清洗。</w:t>
            </w:r>
            <w:r>
              <w:rPr>
                <w:rFonts w:hint="eastAsia"/>
                <w:color w:val="000000"/>
              </w:rPr>
              <w:t>危险废物</w:t>
            </w:r>
            <w:r>
              <w:rPr>
                <w:rFonts w:hint="eastAsia"/>
                <w:color w:val="000000"/>
                <w:lang w:eastAsia="zh-CN"/>
              </w:rPr>
              <w:t>（废铅蓄电池）</w:t>
            </w:r>
            <w:r>
              <w:rPr>
                <w:rFonts w:hint="eastAsia"/>
                <w:color w:val="000000"/>
              </w:rPr>
              <w:t>均不在厂区内</w:t>
            </w:r>
            <w:r>
              <w:rPr>
                <w:rFonts w:hint="eastAsia"/>
                <w:color w:val="000000"/>
                <w:lang w:eastAsia="zh-CN"/>
              </w:rPr>
              <w:t>拆解</w:t>
            </w:r>
            <w:r>
              <w:rPr>
                <w:rFonts w:hint="eastAsia"/>
                <w:color w:val="000000"/>
              </w:rPr>
              <w:t>，不</w:t>
            </w:r>
            <w:r>
              <w:rPr>
                <w:rFonts w:hint="eastAsia"/>
                <w:color w:val="000000"/>
                <w:lang w:eastAsia="zh-CN"/>
              </w:rPr>
              <w:t>开展</w:t>
            </w:r>
            <w:r>
              <w:rPr>
                <w:rFonts w:hint="eastAsia"/>
                <w:color w:val="000000"/>
              </w:rPr>
              <w:t>二次分拣</w:t>
            </w:r>
            <w:r>
              <w:rPr>
                <w:rFonts w:hint="eastAsia"/>
                <w:color w:val="000000"/>
                <w:lang w:eastAsia="zh-CN"/>
              </w:rPr>
              <w:t>工作</w:t>
            </w:r>
            <w:r>
              <w:rPr>
                <w:rFonts w:hint="eastAsia"/>
                <w:color w:val="000000"/>
              </w:rPr>
              <w:t>。若出现</w:t>
            </w:r>
            <w:r>
              <w:rPr>
                <w:rFonts w:hint="eastAsia"/>
                <w:color w:val="000000"/>
                <w:lang w:eastAsia="zh-CN"/>
              </w:rPr>
              <w:t>装卸区以及贮存设施内危险废物</w:t>
            </w:r>
            <w:r>
              <w:rPr>
                <w:rFonts w:hint="eastAsia"/>
                <w:color w:val="000000"/>
              </w:rPr>
              <w:t>破损、遗洒</w:t>
            </w:r>
            <w:r>
              <w:rPr>
                <w:rFonts w:hint="eastAsia"/>
                <w:color w:val="000000"/>
                <w:lang w:eastAsia="zh-CN"/>
              </w:rPr>
              <w:t>时，采用消防沙、抹布等拦截、收集，量大时通过围堰（</w:t>
            </w:r>
            <w:r>
              <w:rPr>
                <w:rFonts w:hint="eastAsia"/>
                <w:color w:val="000000"/>
                <w:lang w:val="en-US" w:eastAsia="zh-CN"/>
              </w:rPr>
              <w:t>拦水线</w:t>
            </w:r>
            <w:r>
              <w:rPr>
                <w:rFonts w:hint="eastAsia"/>
                <w:color w:val="000000"/>
                <w:lang w:eastAsia="zh-CN"/>
              </w:rPr>
              <w:t>）</w:t>
            </w:r>
            <w:r>
              <w:rPr>
                <w:rFonts w:hint="eastAsia"/>
                <w:color w:val="000000"/>
                <w:lang w:val="en-US" w:eastAsia="zh-CN"/>
              </w:rPr>
              <w:t>拦截，截流沟收集进入事故应急池中暂存，沾染物以及泄漏物料经密封包装后及时交有资质单位处置；</w:t>
            </w:r>
            <w:r>
              <w:rPr>
                <w:rFonts w:hint="eastAsia"/>
                <w:color w:val="000000"/>
                <w:lang w:eastAsia="zh-CN"/>
              </w:rPr>
              <w:t>专用电梯内运输出现破损、</w:t>
            </w:r>
            <w:r>
              <w:rPr>
                <w:rFonts w:hint="eastAsia"/>
                <w:color w:val="000000"/>
              </w:rPr>
              <w:t>遗洒</w:t>
            </w:r>
            <w:r>
              <w:rPr>
                <w:rFonts w:hint="eastAsia"/>
                <w:color w:val="000000"/>
                <w:lang w:eastAsia="zh-CN"/>
              </w:rPr>
              <w:t>时，利用托盘收集后立即转移进入贮存</w:t>
            </w:r>
            <w:r>
              <w:rPr>
                <w:rFonts w:hint="eastAsia"/>
                <w:color w:val="000000"/>
                <w:lang w:val="en-US" w:eastAsia="zh-CN"/>
              </w:rPr>
              <w:t>二区（密闭室）进行密封包装，沾染物以及泄漏物及时交有资质单位处置。</w:t>
            </w:r>
          </w:p>
          <w:p w14:paraId="5C38FF30">
            <w:pPr>
              <w:keepNext w:val="0"/>
              <w:keepLines w:val="0"/>
              <w:pageBreakBefore w:val="0"/>
              <w:widowControl w:val="0"/>
              <w:kinsoku/>
              <w:wordWrap/>
              <w:overflowPunct/>
              <w:topLinePunct w:val="0"/>
              <w:autoSpaceDE/>
              <w:autoSpaceDN/>
              <w:bidi w:val="0"/>
              <w:adjustRightInd/>
              <w:snapToGrid/>
              <w:spacing w:line="460" w:lineRule="exact"/>
              <w:ind w:firstLine="520"/>
              <w:textAlignment w:val="auto"/>
              <w:rPr>
                <w:rFonts w:hint="eastAsia"/>
                <w:color w:val="000000"/>
                <w:lang w:eastAsia="zh-CN"/>
              </w:rPr>
            </w:pPr>
            <w:r>
              <w:rPr>
                <w:rFonts w:hint="eastAsia"/>
                <w:color w:val="000000"/>
              </w:rPr>
              <w:t>本项目不</w:t>
            </w:r>
            <w:r>
              <w:rPr>
                <w:rFonts w:hint="eastAsia"/>
                <w:color w:val="000000"/>
                <w:lang w:eastAsia="zh-CN"/>
              </w:rPr>
              <w:t>进行</w:t>
            </w:r>
            <w:r>
              <w:rPr>
                <w:rFonts w:hint="eastAsia"/>
                <w:color w:val="000000"/>
              </w:rPr>
              <w:t>转运容器及运输车辆的清洗，定期对</w:t>
            </w:r>
            <w:r>
              <w:rPr>
                <w:rFonts w:hint="eastAsia"/>
                <w:color w:val="000000"/>
                <w:lang w:eastAsia="zh-CN"/>
              </w:rPr>
              <w:t>地牛以及托盘</w:t>
            </w:r>
            <w:r>
              <w:rPr>
                <w:rFonts w:hint="eastAsia"/>
                <w:color w:val="000000"/>
              </w:rPr>
              <w:t>进行清洁，采用棉纱擦拭</w:t>
            </w:r>
            <w:r>
              <w:rPr>
                <w:rFonts w:hint="eastAsia"/>
                <w:color w:val="000000"/>
                <w:lang w:eastAsia="zh-CN"/>
              </w:rPr>
              <w:t>，废棉纱作为危险废物进行处理。</w:t>
            </w:r>
          </w:p>
          <w:p w14:paraId="4790D479">
            <w:pPr>
              <w:pageBreakBefore w:val="0"/>
              <w:widowControl w:val="0"/>
              <w:kinsoku/>
              <w:wordWrap/>
              <w:overflowPunct/>
              <w:topLinePunct w:val="0"/>
              <w:autoSpaceDE/>
              <w:autoSpaceDN/>
              <w:bidi w:val="0"/>
              <w:adjustRightInd/>
              <w:snapToGrid/>
              <w:spacing w:line="460" w:lineRule="exact"/>
              <w:ind w:firstLine="480"/>
              <w:textAlignment w:val="auto"/>
              <w:rPr>
                <w:color w:val="000000"/>
              </w:rPr>
            </w:pPr>
            <w:r>
              <w:rPr>
                <w:rFonts w:hint="eastAsia"/>
                <w:color w:val="000000"/>
                <w:lang w:eastAsia="zh-CN"/>
              </w:rPr>
              <w:t>③</w:t>
            </w:r>
            <w:r>
              <w:rPr>
                <w:rFonts w:hint="eastAsia"/>
                <w:color w:val="000000"/>
              </w:rPr>
              <w:t>贮存设施分区暂存</w:t>
            </w:r>
          </w:p>
          <w:p w14:paraId="67BD01E9">
            <w:pPr>
              <w:keepNext w:val="0"/>
              <w:keepLines w:val="0"/>
              <w:pageBreakBefore w:val="0"/>
              <w:widowControl w:val="0"/>
              <w:kinsoku/>
              <w:wordWrap/>
              <w:overflowPunct/>
              <w:topLinePunct w:val="0"/>
              <w:autoSpaceDE/>
              <w:autoSpaceDN/>
              <w:bidi w:val="0"/>
              <w:adjustRightInd/>
              <w:snapToGrid/>
              <w:spacing w:line="460" w:lineRule="exact"/>
              <w:ind w:firstLine="480"/>
              <w:textAlignment w:val="auto"/>
              <w:rPr>
                <w:rFonts w:hint="eastAsia"/>
                <w:color w:val="000000"/>
                <w:sz w:val="24"/>
                <w:szCs w:val="24"/>
                <w:lang w:eastAsia="zh-CN"/>
              </w:rPr>
            </w:pPr>
            <w:r>
              <w:rPr>
                <w:rFonts w:hint="eastAsia"/>
                <w:color w:val="000000"/>
              </w:rPr>
              <w:t>根据收集的危险废物形态，将危险废物分类暂存于本项目对应的危险废物贮存区</w:t>
            </w:r>
            <w:r>
              <w:rPr>
                <w:rFonts w:hint="eastAsia"/>
                <w:color w:val="000000"/>
                <w:lang w:eastAsia="zh-CN"/>
              </w:rPr>
              <w:t>内</w:t>
            </w:r>
            <w:r>
              <w:rPr>
                <w:rFonts w:hint="eastAsia"/>
                <w:color w:val="000000"/>
              </w:rPr>
              <w:t>。各危险废物贮存</w:t>
            </w:r>
            <w:r>
              <w:rPr>
                <w:rFonts w:hint="eastAsia"/>
                <w:color w:val="000000"/>
                <w:lang w:eastAsia="zh-CN"/>
              </w:rPr>
              <w:t>分</w:t>
            </w:r>
            <w:r>
              <w:rPr>
                <w:rFonts w:hint="eastAsia"/>
                <w:color w:val="000000"/>
              </w:rPr>
              <w:t>区地面与裙脚</w:t>
            </w:r>
            <w:r>
              <w:rPr>
                <w:rFonts w:hint="eastAsia"/>
                <w:color w:val="000000"/>
                <w:lang w:eastAsia="zh-CN"/>
              </w:rPr>
              <w:t>、挡水线</w:t>
            </w:r>
            <w:r>
              <w:rPr>
                <w:rFonts w:hint="eastAsia"/>
                <w:color w:val="000000"/>
              </w:rPr>
              <w:t>采取</w:t>
            </w:r>
            <w:r>
              <w:rPr>
                <w:rFonts w:hint="eastAsia"/>
                <w:color w:val="000000"/>
                <w:lang w:eastAsia="zh-CN"/>
              </w:rPr>
              <w:t>“六防”</w:t>
            </w:r>
            <w:r>
              <w:rPr>
                <w:rFonts w:hint="eastAsia"/>
                <w:color w:val="000000"/>
              </w:rPr>
              <w:t>措施；</w:t>
            </w:r>
            <w:r>
              <w:rPr>
                <w:rFonts w:hint="eastAsia"/>
                <w:color w:val="000000"/>
                <w:sz w:val="24"/>
                <w:szCs w:val="24"/>
                <w:lang w:eastAsia="zh-CN"/>
              </w:rPr>
              <w:t>贮存设施四周建设挡水线将贮存区包围在内形成围堰区，贮存一区东侧以及贮存二区南侧围堰设置落水管与</w:t>
            </w:r>
            <w:r>
              <w:rPr>
                <w:rFonts w:hint="eastAsia"/>
                <w:color w:val="000000"/>
                <w:sz w:val="24"/>
                <w:szCs w:val="24"/>
                <w:lang w:val="en-US" w:eastAsia="zh-CN"/>
              </w:rPr>
              <w:t>1F设置的</w:t>
            </w:r>
            <w:r>
              <w:rPr>
                <w:rFonts w:hint="eastAsia"/>
                <w:color w:val="000000"/>
                <w:sz w:val="24"/>
                <w:szCs w:val="24"/>
                <w:lang w:eastAsia="zh-CN"/>
              </w:rPr>
              <w:t>截流沟、事故应急池连通。少量废铅蓄电池破损后危险废物泄漏，采用清水稀释、消防沙进行拦截、收集后，沾染物作为危险废物处置；</w:t>
            </w:r>
            <w:r>
              <w:rPr>
                <w:rFonts w:hint="eastAsia"/>
                <w:color w:val="000000"/>
                <w:lang w:eastAsia="zh-CN"/>
              </w:rPr>
              <w:t>泄漏量大、火灾事故发生时，泄漏的危险废物、产生的消防废水等经围堰</w:t>
            </w:r>
            <w:r>
              <w:rPr>
                <w:rFonts w:hint="eastAsia"/>
                <w:color w:val="000000"/>
                <w:lang w:val="en-US" w:eastAsia="zh-CN"/>
              </w:rPr>
              <w:t>+</w:t>
            </w:r>
            <w:r>
              <w:rPr>
                <w:rFonts w:hint="eastAsia"/>
                <w:color w:val="000000"/>
                <w:lang w:eastAsia="zh-CN"/>
              </w:rPr>
              <w:t>截流沟收集于事故应急池中，集中收集后</w:t>
            </w:r>
            <w:r>
              <w:rPr>
                <w:rFonts w:hint="eastAsia"/>
                <w:color w:val="000000"/>
                <w:sz w:val="24"/>
                <w:szCs w:val="24"/>
                <w:lang w:eastAsia="zh-CN"/>
              </w:rPr>
              <w:t>作为危险废物处置。</w:t>
            </w:r>
          </w:p>
          <w:p w14:paraId="60B704C0">
            <w:pPr>
              <w:pageBreakBefore w:val="0"/>
              <w:widowControl w:val="0"/>
              <w:kinsoku/>
              <w:wordWrap/>
              <w:overflowPunct/>
              <w:topLinePunct w:val="0"/>
              <w:autoSpaceDE/>
              <w:autoSpaceDN/>
              <w:bidi w:val="0"/>
              <w:adjustRightInd/>
              <w:snapToGrid/>
              <w:spacing w:line="460" w:lineRule="exact"/>
              <w:ind w:firstLine="480"/>
              <w:textAlignment w:val="auto"/>
              <w:rPr>
                <w:rFonts w:hint="default"/>
                <w:color w:val="000000"/>
                <w:lang w:val="en-US" w:eastAsia="zh-CN"/>
              </w:rPr>
            </w:pPr>
            <w:r>
              <w:rPr>
                <w:rFonts w:hint="eastAsia"/>
                <w:color w:val="000000"/>
              </w:rPr>
              <w:t>本项目</w:t>
            </w:r>
            <w:r>
              <w:rPr>
                <w:rFonts w:hint="eastAsia"/>
                <w:color w:val="000000"/>
                <w:lang w:eastAsia="zh-CN"/>
              </w:rPr>
              <w:t>破损废铅蓄电池存放在贮存</w:t>
            </w:r>
            <w:r>
              <w:rPr>
                <w:rFonts w:hint="eastAsia"/>
                <w:color w:val="000000"/>
                <w:lang w:val="en-US" w:eastAsia="zh-CN"/>
              </w:rPr>
              <w:t>二区，贮存二区设置为密闭室，设置抽风系统将挥发的酸雾引至喷淋塔中处理后由15m高排气筒排放。贮存二区内贮存危险废物均设置在托盘内贮存。</w:t>
            </w:r>
          </w:p>
          <w:p w14:paraId="24E90312">
            <w:pPr>
              <w:keepNext w:val="0"/>
              <w:keepLines w:val="0"/>
              <w:pageBreakBefore w:val="0"/>
              <w:widowControl w:val="0"/>
              <w:kinsoku/>
              <w:wordWrap/>
              <w:overflowPunct/>
              <w:topLinePunct w:val="0"/>
              <w:autoSpaceDE/>
              <w:autoSpaceDN/>
              <w:bidi w:val="0"/>
              <w:adjustRightInd/>
              <w:snapToGrid/>
              <w:spacing w:line="460" w:lineRule="exact"/>
              <w:ind w:firstLine="520"/>
              <w:textAlignment w:val="auto"/>
              <w:rPr>
                <w:rFonts w:hint="eastAsia" w:eastAsia="宋体"/>
                <w:color w:val="000000"/>
                <w:lang w:eastAsia="zh-CN"/>
              </w:rPr>
            </w:pPr>
            <w:r>
              <w:rPr>
                <w:rFonts w:hint="eastAsia"/>
                <w:color w:val="000000"/>
              </w:rPr>
              <w:t>本项目定期对各个贮存区域地面清洁，采用拖布清洁的方式。</w:t>
            </w:r>
            <w:r>
              <w:rPr>
                <w:rFonts w:hint="eastAsia"/>
                <w:color w:val="000000"/>
                <w:lang w:eastAsia="zh-CN"/>
              </w:rPr>
              <w:t>地面及</w:t>
            </w:r>
            <w:r>
              <w:rPr>
                <w:rFonts w:hint="eastAsia"/>
                <w:color w:val="000000"/>
              </w:rPr>
              <w:t>拖布清洗时产生有少量</w:t>
            </w:r>
            <w:r>
              <w:rPr>
                <w:rFonts w:hint="eastAsia"/>
                <w:color w:val="000000"/>
                <w:lang w:eastAsia="zh-CN"/>
              </w:rPr>
              <w:t>清洁</w:t>
            </w:r>
            <w:r>
              <w:rPr>
                <w:rFonts w:hint="eastAsia"/>
                <w:color w:val="000000"/>
              </w:rPr>
              <w:t>废水。</w:t>
            </w:r>
            <w:r>
              <w:rPr>
                <w:rFonts w:hint="eastAsia"/>
                <w:color w:val="000000"/>
                <w:lang w:eastAsia="zh-CN"/>
              </w:rPr>
              <w:t>地面清洁废水以及废拖布收集后贮存于危废贮存间内，作危险废物定期交由有资质单位处置。</w:t>
            </w:r>
          </w:p>
          <w:p w14:paraId="03298D8F">
            <w:pPr>
              <w:keepNext w:val="0"/>
              <w:keepLines w:val="0"/>
              <w:pageBreakBefore w:val="0"/>
              <w:widowControl w:val="0"/>
              <w:kinsoku/>
              <w:wordWrap/>
              <w:overflowPunct/>
              <w:topLinePunct w:val="0"/>
              <w:autoSpaceDE/>
              <w:autoSpaceDN/>
              <w:bidi w:val="0"/>
              <w:adjustRightInd/>
              <w:snapToGrid/>
              <w:spacing w:line="460" w:lineRule="exact"/>
              <w:ind w:firstLine="480"/>
              <w:textAlignment w:val="auto"/>
              <w:rPr>
                <w:color w:val="000000"/>
              </w:rPr>
            </w:pPr>
            <w:r>
              <w:rPr>
                <w:rFonts w:hint="eastAsia"/>
                <w:color w:val="000000"/>
                <w:lang w:eastAsia="zh-CN"/>
              </w:rPr>
              <w:t>④</w:t>
            </w:r>
            <w:r>
              <w:rPr>
                <w:rFonts w:hint="eastAsia"/>
                <w:color w:val="000000"/>
              </w:rPr>
              <w:t>危险废物转出</w:t>
            </w:r>
          </w:p>
          <w:p w14:paraId="646BDC61">
            <w:pPr>
              <w:keepNext w:val="0"/>
              <w:keepLines w:val="0"/>
              <w:pageBreakBefore w:val="0"/>
              <w:widowControl w:val="0"/>
              <w:kinsoku/>
              <w:wordWrap/>
              <w:overflowPunct/>
              <w:topLinePunct w:val="0"/>
              <w:autoSpaceDE/>
              <w:autoSpaceDN/>
              <w:bidi w:val="0"/>
              <w:adjustRightInd/>
              <w:snapToGrid/>
              <w:spacing w:line="460" w:lineRule="exact"/>
              <w:ind w:firstLine="480"/>
              <w:textAlignment w:val="auto"/>
              <w:rPr>
                <w:rFonts w:hint="eastAsia"/>
                <w:color w:val="000000"/>
              </w:rPr>
            </w:pPr>
            <w:r>
              <w:rPr>
                <w:rFonts w:hint="eastAsia"/>
                <w:color w:val="000000"/>
              </w:rPr>
              <w:t>当贮存设施内贮存的危险废物达到一定数量时，危险废物</w:t>
            </w:r>
            <w:r>
              <w:rPr>
                <w:rFonts w:hint="eastAsia"/>
                <w:color w:val="000000"/>
                <w:lang w:eastAsia="zh-CN"/>
              </w:rPr>
              <w:t>直接从贮存设施人工转移至“地牛</w:t>
            </w:r>
            <w:r>
              <w:rPr>
                <w:rFonts w:hint="eastAsia"/>
                <w:color w:val="000000"/>
                <w:lang w:val="en-US" w:eastAsia="zh-CN"/>
              </w:rPr>
              <w:t>+托盘</w:t>
            </w:r>
            <w:r>
              <w:rPr>
                <w:rFonts w:hint="eastAsia"/>
                <w:color w:val="000000"/>
                <w:lang w:eastAsia="zh-CN"/>
              </w:rPr>
              <w:t>”中，经专用电梯运输至</w:t>
            </w:r>
            <w:r>
              <w:rPr>
                <w:rFonts w:hint="eastAsia"/>
                <w:color w:val="000000"/>
                <w:lang w:val="en-US" w:eastAsia="zh-CN"/>
              </w:rPr>
              <w:t>1F的装卸区，最终人工装车后</w:t>
            </w:r>
            <w:r>
              <w:rPr>
                <w:rFonts w:hint="eastAsia"/>
                <w:color w:val="000000"/>
              </w:rPr>
              <w:t>由具有危险废物运输资质的单位按照规定路线运送至危险废物处置单位进行最终处置，本项目不对收集的危险废物进行最终处置。</w:t>
            </w:r>
          </w:p>
          <w:p w14:paraId="49B3E65F">
            <w:pPr>
              <w:keepNext w:val="0"/>
              <w:keepLines w:val="0"/>
              <w:pageBreakBefore w:val="0"/>
              <w:widowControl w:val="0"/>
              <w:kinsoku/>
              <w:wordWrap/>
              <w:overflowPunct/>
              <w:topLinePunct w:val="0"/>
              <w:autoSpaceDE/>
              <w:autoSpaceDN/>
              <w:bidi w:val="0"/>
              <w:adjustRightInd/>
              <w:snapToGrid/>
              <w:spacing w:line="460" w:lineRule="exact"/>
              <w:ind w:firstLine="480"/>
              <w:textAlignment w:val="auto"/>
              <w:rPr>
                <w:rFonts w:hint="eastAsia"/>
                <w:color w:val="000000"/>
                <w:lang w:eastAsia="zh-CN"/>
              </w:rPr>
            </w:pPr>
            <w:r>
              <w:rPr>
                <w:rFonts w:hint="eastAsia"/>
                <w:color w:val="000000"/>
                <w:lang w:eastAsia="zh-CN"/>
              </w:rPr>
              <w:t>说明：本项目危险废物运输委托有资质单位进行，运输车辆的维护保养、清洗等由建设单位委托的资质运输单位自行解决。</w:t>
            </w:r>
          </w:p>
          <w:p w14:paraId="69D8594C">
            <w:pPr>
              <w:pStyle w:val="8"/>
              <w:rPr>
                <w:rFonts w:hint="eastAsia"/>
                <w:lang w:val="en-US" w:eastAsia="en-US"/>
              </w:rPr>
            </w:pPr>
          </w:p>
          <w:p w14:paraId="1FAE8EE3">
            <w:pPr>
              <w:pStyle w:val="51"/>
              <w:rPr>
                <w:rFonts w:hint="default" w:eastAsia="宋体" w:cs="Times New Roman" w:asciiTheme="minorHAnsi" w:hAnsiTheme="minorHAnsi"/>
                <w:b/>
                <w:bCs/>
                <w:snapToGrid w:val="0"/>
                <w:color w:val="000000" w:themeColor="text1"/>
                <w:kern w:val="2"/>
                <w:sz w:val="24"/>
                <w:szCs w:val="24"/>
                <w:highlight w:val="none"/>
                <w:lang w:val="en-US" w:eastAsia="en-US" w:bidi="ar-SA"/>
                <w14:textFill>
                  <w14:solidFill>
                    <w14:schemeClr w14:val="tx1"/>
                  </w14:solidFill>
                </w14:textFill>
              </w:rPr>
            </w:pPr>
            <w:r>
              <w:rPr>
                <w:rFonts w:hint="default" w:eastAsia="宋体" w:cs="Times New Roman" w:asciiTheme="minorHAnsi" w:hAnsiTheme="minorHAnsi"/>
                <w:b/>
                <w:bCs/>
                <w:snapToGrid w:val="0"/>
                <w:color w:val="000000" w:themeColor="text1"/>
                <w:kern w:val="2"/>
                <w:sz w:val="24"/>
                <w:szCs w:val="24"/>
                <w:highlight w:val="none"/>
                <w:lang w:val="en-US" w:eastAsia="en-US" w:bidi="ar-SA"/>
                <w14:textFill>
                  <w14:solidFill>
                    <w14:schemeClr w14:val="tx1"/>
                  </w14:solidFill>
                </w14:textFill>
              </w:rPr>
              <w:t>2.4 项目变动情况</w:t>
            </w:r>
          </w:p>
          <w:p w14:paraId="60B986DB">
            <w:pPr>
              <w:pStyle w:val="29"/>
              <w:bidi w:val="0"/>
              <w:rPr>
                <w:rFonts w:hint="eastAsia" w:ascii="Times New Roman" w:hAnsi="Times New Roman" w:eastAsia="宋体" w:cs="Times New Roman"/>
                <w:b w:val="0"/>
                <w:bCs w:val="0"/>
                <w:color w:val="000000" w:themeColor="text1"/>
                <w:sz w:val="24"/>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4"/>
                <w:lang w:val="en-US" w:eastAsia="en-US"/>
                <w14:textFill>
                  <w14:solidFill>
                    <w14:schemeClr w14:val="tx1"/>
                  </w14:solidFill>
                </w14:textFill>
              </w:rPr>
              <w:t>通过对照《污染影响类建设项目重大变动清单（试行）》，对本项目的变动逐项进行分析，与环评及批复内容相比未发生变化。因此，本项目实际建设的内容不构成重大变动，不需要重新报批环评文件，应纳入竣工环境保护验收管理</w:t>
            </w:r>
            <w:r>
              <w:rPr>
                <w:rFonts w:hint="eastAsia" w:ascii="Times New Roman" w:hAnsi="Times New Roman" w:eastAsia="宋体" w:cs="Times New Roman"/>
                <w:b w:val="0"/>
                <w:bCs w:val="0"/>
                <w:color w:val="000000" w:themeColor="text1"/>
                <w:sz w:val="24"/>
                <w:lang w:val="en-US" w:eastAsia="zh-CN"/>
                <w14:textFill>
                  <w14:solidFill>
                    <w14:schemeClr w14:val="tx1"/>
                  </w14:solidFill>
                </w14:textFill>
              </w:rPr>
              <w:t>。</w:t>
            </w:r>
          </w:p>
          <w:p w14:paraId="2CCFA342">
            <w:pPr>
              <w:pStyle w:val="29"/>
              <w:bidi w:val="0"/>
              <w:ind w:left="0" w:leftChars="0" w:firstLine="0" w:firstLineChars="0"/>
              <w:jc w:val="both"/>
              <w:rPr>
                <w:rFonts w:hint="default"/>
                <w:b w:val="0"/>
                <w:bCs w:val="0"/>
                <w:color w:val="000000" w:themeColor="text1"/>
                <w:lang w:val="en-US" w:eastAsia="zh-CN"/>
                <w14:textFill>
                  <w14:solidFill>
                    <w14:schemeClr w14:val="tx1"/>
                  </w14:solidFill>
                </w14:textFill>
              </w:rPr>
            </w:pPr>
          </w:p>
        </w:tc>
      </w:tr>
    </w:tbl>
    <w:p w14:paraId="56B70293">
      <w:pPr>
        <w:pStyle w:val="11"/>
        <w:rPr>
          <w:color w:val="000000" w:themeColor="text1"/>
          <w14:textFill>
            <w14:solidFill>
              <w14:schemeClr w14:val="tx1"/>
            </w14:solidFill>
          </w14:textFill>
        </w:rPr>
      </w:pPr>
    </w:p>
    <w:p w14:paraId="0BE083CF">
      <w:pPr>
        <w:pStyle w:val="15"/>
        <w:widowControl w:val="0"/>
        <w:numPr>
          <w:ilvl w:val="0"/>
          <w:numId w:val="0"/>
        </w:numPr>
        <w:jc w:val="both"/>
        <w:rPr>
          <w:color w:val="000000" w:themeColor="text1"/>
          <w14:textFill>
            <w14:solidFill>
              <w14:schemeClr w14:val="tx1"/>
            </w14:solidFill>
          </w14:textFill>
        </w:rPr>
      </w:pPr>
    </w:p>
    <w:tbl>
      <w:tblPr>
        <w:tblStyle w:val="23"/>
        <w:tblW w:w="5745"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9792"/>
      </w:tblGrid>
      <w:tr w14:paraId="20D226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3571" w:hRule="atLeast"/>
          <w:jc w:val="center"/>
        </w:trPr>
        <w:tc>
          <w:tcPr>
            <w:tcW w:w="5000" w:type="pct"/>
            <w:noWrap w:val="0"/>
            <w:vAlign w:val="top"/>
          </w:tcPr>
          <w:p w14:paraId="724602F5">
            <w:pPr>
              <w:pStyle w:val="29"/>
              <w:bidi w:val="0"/>
              <w:ind w:left="0" w:leftChars="0" w:firstLine="0" w:firstLineChars="0"/>
              <w:jc w:val="both"/>
              <w:rPr>
                <w:rFonts w:hint="eastAsia"/>
                <w:b/>
                <w:bCs/>
                <w:lang w:val="en-US" w:eastAsia="zh-CN"/>
              </w:rPr>
            </w:pPr>
            <w:r>
              <w:rPr>
                <w:rFonts w:hint="eastAsia"/>
                <w:b/>
                <w:bCs/>
                <w:lang w:val="en-US" w:eastAsia="zh-CN"/>
              </w:rPr>
              <w:t>3 主要污染源、污染物处理和排放</w:t>
            </w:r>
          </w:p>
          <w:tbl>
            <w:tblPr>
              <w:tblStyle w:val="24"/>
              <w:tblW w:w="986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3"/>
              <w:gridCol w:w="1742"/>
              <w:gridCol w:w="1919"/>
              <w:gridCol w:w="4093"/>
              <w:gridCol w:w="1395"/>
            </w:tblGrid>
            <w:tr w14:paraId="4B724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361" w:type="pct"/>
                  <w:noWrap w:val="0"/>
                  <w:vAlign w:val="center"/>
                </w:tcPr>
                <w:p w14:paraId="02C16B8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000000"/>
                      <w:sz w:val="21"/>
                      <w:szCs w:val="21"/>
                      <w:vertAlign w:val="baseline"/>
                      <w:lang w:eastAsia="zh-CN"/>
                    </w:rPr>
                  </w:pPr>
                  <w:r>
                    <w:rPr>
                      <w:rFonts w:hint="eastAsia"/>
                      <w:color w:val="000000"/>
                      <w:sz w:val="21"/>
                      <w:szCs w:val="21"/>
                      <w:vertAlign w:val="baseline"/>
                      <w:lang w:eastAsia="zh-CN"/>
                    </w:rPr>
                    <w:t>类型</w:t>
                  </w:r>
                </w:p>
              </w:tc>
              <w:tc>
                <w:tcPr>
                  <w:tcW w:w="883" w:type="pct"/>
                  <w:noWrap w:val="0"/>
                  <w:vAlign w:val="center"/>
                </w:tcPr>
                <w:p w14:paraId="4E984E9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000000"/>
                      <w:sz w:val="21"/>
                      <w:szCs w:val="21"/>
                      <w:vertAlign w:val="baseline"/>
                      <w:lang w:eastAsia="zh-CN"/>
                    </w:rPr>
                  </w:pPr>
                  <w:r>
                    <w:rPr>
                      <w:rFonts w:hint="eastAsia"/>
                      <w:color w:val="000000"/>
                      <w:sz w:val="21"/>
                      <w:szCs w:val="21"/>
                      <w:vertAlign w:val="baseline"/>
                      <w:lang w:eastAsia="zh-CN"/>
                    </w:rPr>
                    <w:t>污染源</w:t>
                  </w:r>
                </w:p>
              </w:tc>
              <w:tc>
                <w:tcPr>
                  <w:tcW w:w="972" w:type="pct"/>
                  <w:noWrap w:val="0"/>
                  <w:vAlign w:val="center"/>
                </w:tcPr>
                <w:p w14:paraId="1BE1650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000000"/>
                      <w:sz w:val="21"/>
                      <w:szCs w:val="21"/>
                      <w:vertAlign w:val="baseline"/>
                      <w:lang w:eastAsia="zh-CN"/>
                    </w:rPr>
                  </w:pPr>
                  <w:r>
                    <w:rPr>
                      <w:rFonts w:hint="eastAsia"/>
                      <w:color w:val="000000"/>
                      <w:sz w:val="21"/>
                      <w:szCs w:val="21"/>
                      <w:vertAlign w:val="baseline"/>
                      <w:lang w:eastAsia="zh-CN"/>
                    </w:rPr>
                    <w:t>污染物</w:t>
                  </w:r>
                </w:p>
              </w:tc>
              <w:tc>
                <w:tcPr>
                  <w:tcW w:w="2075" w:type="pct"/>
                  <w:noWrap w:val="0"/>
                  <w:vAlign w:val="center"/>
                </w:tcPr>
                <w:p w14:paraId="69C642C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000000"/>
                      <w:sz w:val="21"/>
                      <w:szCs w:val="21"/>
                      <w:vertAlign w:val="baseline"/>
                      <w:lang w:eastAsia="zh-CN"/>
                    </w:rPr>
                  </w:pPr>
                  <w:r>
                    <w:rPr>
                      <w:rFonts w:hint="eastAsia"/>
                      <w:color w:val="000000"/>
                      <w:sz w:val="21"/>
                      <w:szCs w:val="21"/>
                      <w:vertAlign w:val="baseline"/>
                      <w:lang w:eastAsia="zh-CN"/>
                    </w:rPr>
                    <w:t>污染防治措施</w:t>
                  </w:r>
                </w:p>
              </w:tc>
              <w:tc>
                <w:tcPr>
                  <w:tcW w:w="707" w:type="pct"/>
                  <w:noWrap w:val="0"/>
                  <w:vAlign w:val="center"/>
                </w:tcPr>
                <w:p w14:paraId="0DF0782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000000"/>
                      <w:sz w:val="21"/>
                      <w:szCs w:val="21"/>
                      <w:vertAlign w:val="baseline"/>
                      <w:lang w:val="en-US" w:eastAsia="zh-CN"/>
                    </w:rPr>
                  </w:pPr>
                  <w:r>
                    <w:rPr>
                      <w:rFonts w:hint="eastAsia"/>
                      <w:color w:val="000000"/>
                      <w:sz w:val="21"/>
                      <w:szCs w:val="21"/>
                      <w:vertAlign w:val="baseline"/>
                      <w:lang w:val="en-US" w:eastAsia="zh-CN"/>
                    </w:rPr>
                    <w:t>与环评对比</w:t>
                  </w:r>
                </w:p>
              </w:tc>
            </w:tr>
            <w:tr w14:paraId="26FAC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361" w:type="pct"/>
                  <w:vMerge w:val="restart"/>
                  <w:noWrap w:val="0"/>
                  <w:vAlign w:val="center"/>
                </w:tcPr>
                <w:p w14:paraId="58AA577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000000"/>
                      <w:sz w:val="21"/>
                      <w:szCs w:val="21"/>
                      <w:vertAlign w:val="baseline"/>
                      <w:lang w:eastAsia="zh-CN"/>
                    </w:rPr>
                  </w:pPr>
                  <w:r>
                    <w:rPr>
                      <w:rFonts w:hint="eastAsia"/>
                      <w:color w:val="000000"/>
                      <w:sz w:val="21"/>
                      <w:szCs w:val="21"/>
                      <w:vertAlign w:val="baseline"/>
                      <w:lang w:eastAsia="zh-CN"/>
                    </w:rPr>
                    <w:t>废气</w:t>
                  </w:r>
                </w:p>
              </w:tc>
              <w:tc>
                <w:tcPr>
                  <w:tcW w:w="883" w:type="pct"/>
                  <w:noWrap w:val="0"/>
                  <w:vAlign w:val="center"/>
                </w:tcPr>
                <w:p w14:paraId="7350360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000000"/>
                      <w:sz w:val="21"/>
                      <w:szCs w:val="21"/>
                      <w:vertAlign w:val="baseline"/>
                      <w:lang w:eastAsia="zh-CN"/>
                    </w:rPr>
                  </w:pPr>
                  <w:r>
                    <w:rPr>
                      <w:rFonts w:hint="eastAsia"/>
                      <w:color w:val="000000"/>
                      <w:sz w:val="21"/>
                      <w:szCs w:val="21"/>
                      <w:vertAlign w:val="baseline"/>
                      <w:lang w:eastAsia="zh-CN"/>
                    </w:rPr>
                    <w:t>破损废铅蓄电池逸散废气（硫酸雾）</w:t>
                  </w:r>
                </w:p>
              </w:tc>
              <w:tc>
                <w:tcPr>
                  <w:tcW w:w="972" w:type="pct"/>
                  <w:noWrap w:val="0"/>
                  <w:vAlign w:val="center"/>
                </w:tcPr>
                <w:p w14:paraId="6155E6D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000000"/>
                      <w:sz w:val="21"/>
                      <w:szCs w:val="21"/>
                      <w:vertAlign w:val="baseline"/>
                      <w:lang w:eastAsia="zh-CN"/>
                    </w:rPr>
                  </w:pPr>
                  <w:r>
                    <w:rPr>
                      <w:rFonts w:hint="eastAsia"/>
                      <w:color w:val="000000"/>
                      <w:sz w:val="21"/>
                      <w:szCs w:val="21"/>
                      <w:vertAlign w:val="baseline"/>
                      <w:lang w:eastAsia="zh-CN"/>
                    </w:rPr>
                    <w:t>硫酸雾</w:t>
                  </w:r>
                </w:p>
              </w:tc>
              <w:tc>
                <w:tcPr>
                  <w:tcW w:w="2075" w:type="pct"/>
                  <w:vMerge w:val="restart"/>
                  <w:noWrap w:val="0"/>
                  <w:vAlign w:val="center"/>
                </w:tcPr>
                <w:p w14:paraId="157E24F7">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default"/>
                      <w:color w:val="000000"/>
                      <w:sz w:val="21"/>
                      <w:szCs w:val="21"/>
                      <w:vertAlign w:val="baseline"/>
                      <w:lang w:val="en-US" w:eastAsia="zh-CN"/>
                    </w:rPr>
                  </w:pPr>
                  <w:r>
                    <w:rPr>
                      <w:rFonts w:hint="eastAsia"/>
                      <w:color w:val="000000"/>
                      <w:sz w:val="21"/>
                      <w:szCs w:val="21"/>
                      <w:vertAlign w:val="baseline"/>
                      <w:lang w:eastAsia="zh-CN"/>
                    </w:rPr>
                    <w:t>贮存</w:t>
                  </w:r>
                  <w:r>
                    <w:rPr>
                      <w:rFonts w:hint="eastAsia"/>
                      <w:color w:val="000000"/>
                      <w:sz w:val="21"/>
                      <w:szCs w:val="21"/>
                      <w:vertAlign w:val="baseline"/>
                      <w:lang w:val="en-US" w:eastAsia="zh-CN"/>
                    </w:rPr>
                    <w:t>二区设置为密闭间，设置抽风系统将废气引入喷淋塔（水+生石灰）中处理后由15m高排气筒排放，未收集的废气自然扩散。</w:t>
                  </w:r>
                </w:p>
              </w:tc>
              <w:tc>
                <w:tcPr>
                  <w:tcW w:w="707" w:type="pct"/>
                  <w:noWrap w:val="0"/>
                  <w:vAlign w:val="center"/>
                </w:tcPr>
                <w:p w14:paraId="7519955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000000"/>
                      <w:sz w:val="21"/>
                      <w:szCs w:val="21"/>
                      <w:vertAlign w:val="baseline"/>
                      <w:lang w:val="en-US" w:eastAsia="zh-CN"/>
                    </w:rPr>
                  </w:pPr>
                  <w:r>
                    <w:rPr>
                      <w:rFonts w:hint="eastAsia"/>
                      <w:color w:val="000000"/>
                      <w:sz w:val="21"/>
                      <w:szCs w:val="21"/>
                      <w:vertAlign w:val="baseline"/>
                      <w:lang w:val="en-US" w:eastAsia="zh-CN"/>
                    </w:rPr>
                    <w:t>无变动</w:t>
                  </w:r>
                </w:p>
              </w:tc>
            </w:tr>
            <w:tr w14:paraId="38D20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361" w:type="pct"/>
                  <w:vMerge w:val="continue"/>
                  <w:noWrap w:val="0"/>
                  <w:vAlign w:val="center"/>
                </w:tcPr>
                <w:p w14:paraId="1CF7FB1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000000"/>
                      <w:sz w:val="21"/>
                      <w:szCs w:val="21"/>
                      <w:vertAlign w:val="baseline"/>
                      <w:lang w:eastAsia="zh-CN"/>
                    </w:rPr>
                  </w:pPr>
                </w:p>
              </w:tc>
              <w:tc>
                <w:tcPr>
                  <w:tcW w:w="883" w:type="pct"/>
                  <w:noWrap w:val="0"/>
                  <w:vAlign w:val="center"/>
                </w:tcPr>
                <w:p w14:paraId="3455D76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000000"/>
                      <w:sz w:val="21"/>
                      <w:szCs w:val="21"/>
                      <w:vertAlign w:val="baseline"/>
                      <w:lang w:eastAsia="zh-CN"/>
                    </w:rPr>
                  </w:pPr>
                  <w:r>
                    <w:rPr>
                      <w:rFonts w:hint="eastAsia"/>
                      <w:color w:val="000000"/>
                      <w:sz w:val="21"/>
                      <w:szCs w:val="21"/>
                      <w:vertAlign w:val="baseline"/>
                      <w:lang w:eastAsia="zh-CN"/>
                    </w:rPr>
                    <w:t>贮存异味</w:t>
                  </w:r>
                </w:p>
              </w:tc>
              <w:tc>
                <w:tcPr>
                  <w:tcW w:w="972" w:type="pct"/>
                  <w:noWrap w:val="0"/>
                  <w:vAlign w:val="center"/>
                </w:tcPr>
                <w:p w14:paraId="4843302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000000"/>
                      <w:sz w:val="21"/>
                      <w:szCs w:val="21"/>
                      <w:vertAlign w:val="baseline"/>
                      <w:lang w:eastAsia="zh-CN"/>
                    </w:rPr>
                  </w:pPr>
                  <w:r>
                    <w:rPr>
                      <w:rFonts w:hint="eastAsia"/>
                      <w:color w:val="000000"/>
                      <w:sz w:val="21"/>
                      <w:szCs w:val="21"/>
                      <w:vertAlign w:val="baseline"/>
                      <w:lang w:eastAsia="zh-CN"/>
                    </w:rPr>
                    <w:t>臭气浓度</w:t>
                  </w:r>
                </w:p>
              </w:tc>
              <w:tc>
                <w:tcPr>
                  <w:tcW w:w="2075" w:type="pct"/>
                  <w:vMerge w:val="continue"/>
                  <w:noWrap w:val="0"/>
                  <w:vAlign w:val="center"/>
                </w:tcPr>
                <w:p w14:paraId="50CEB3E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000000"/>
                      <w:sz w:val="21"/>
                      <w:szCs w:val="21"/>
                      <w:vertAlign w:val="baseline"/>
                      <w:lang w:eastAsia="zh-CN"/>
                    </w:rPr>
                  </w:pPr>
                </w:p>
              </w:tc>
              <w:tc>
                <w:tcPr>
                  <w:tcW w:w="707" w:type="pct"/>
                  <w:noWrap w:val="0"/>
                  <w:vAlign w:val="center"/>
                </w:tcPr>
                <w:p w14:paraId="3C09C05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000000"/>
                      <w:sz w:val="21"/>
                      <w:szCs w:val="21"/>
                      <w:vertAlign w:val="baseline"/>
                      <w:lang w:eastAsia="zh-CN"/>
                    </w:rPr>
                  </w:pPr>
                  <w:r>
                    <w:rPr>
                      <w:rFonts w:hint="eastAsia"/>
                      <w:color w:val="000000"/>
                      <w:sz w:val="21"/>
                      <w:szCs w:val="21"/>
                      <w:vertAlign w:val="baseline"/>
                      <w:lang w:val="en-US" w:eastAsia="zh-CN"/>
                    </w:rPr>
                    <w:t>无变动</w:t>
                  </w:r>
                </w:p>
              </w:tc>
            </w:tr>
            <w:tr w14:paraId="29895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4" w:hRule="atLeast"/>
              </w:trPr>
              <w:tc>
                <w:tcPr>
                  <w:tcW w:w="361" w:type="pct"/>
                  <w:noWrap w:val="0"/>
                  <w:vAlign w:val="center"/>
                </w:tcPr>
                <w:p w14:paraId="5A0ADE0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000000"/>
                      <w:sz w:val="21"/>
                      <w:szCs w:val="21"/>
                      <w:vertAlign w:val="baseline"/>
                      <w:lang w:eastAsia="zh-CN"/>
                    </w:rPr>
                  </w:pPr>
                  <w:r>
                    <w:rPr>
                      <w:rFonts w:hint="eastAsia"/>
                      <w:color w:val="000000"/>
                      <w:sz w:val="21"/>
                      <w:szCs w:val="21"/>
                      <w:vertAlign w:val="baseline"/>
                      <w:lang w:eastAsia="zh-CN"/>
                    </w:rPr>
                    <w:t>废水</w:t>
                  </w:r>
                </w:p>
              </w:tc>
              <w:tc>
                <w:tcPr>
                  <w:tcW w:w="883" w:type="pct"/>
                  <w:noWrap w:val="0"/>
                  <w:vAlign w:val="center"/>
                </w:tcPr>
                <w:p w14:paraId="2F50CBB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000000"/>
                      <w:sz w:val="21"/>
                      <w:szCs w:val="21"/>
                      <w:vertAlign w:val="baseline"/>
                      <w:lang w:eastAsia="zh-CN"/>
                    </w:rPr>
                  </w:pPr>
                  <w:r>
                    <w:rPr>
                      <w:rFonts w:hint="eastAsia"/>
                      <w:color w:val="000000"/>
                      <w:sz w:val="21"/>
                      <w:szCs w:val="21"/>
                      <w:vertAlign w:val="baseline"/>
                      <w:lang w:eastAsia="zh-CN"/>
                    </w:rPr>
                    <w:t>生活污水</w:t>
                  </w:r>
                </w:p>
              </w:tc>
              <w:tc>
                <w:tcPr>
                  <w:tcW w:w="972" w:type="pct"/>
                  <w:noWrap w:val="0"/>
                  <w:vAlign w:val="center"/>
                </w:tcPr>
                <w:p w14:paraId="00ACF69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000000"/>
                      <w:sz w:val="21"/>
                      <w:szCs w:val="21"/>
                      <w:vertAlign w:val="baseline"/>
                      <w:lang w:val="en-US" w:eastAsia="zh-CN"/>
                    </w:rPr>
                  </w:pPr>
                  <w:r>
                    <w:rPr>
                      <w:rFonts w:hint="eastAsia"/>
                      <w:color w:val="000000"/>
                      <w:sz w:val="21"/>
                      <w:szCs w:val="21"/>
                      <w:vertAlign w:val="baseline"/>
                      <w:lang w:val="en-US" w:eastAsia="zh-CN"/>
                    </w:rPr>
                    <w:t>pH、化学需氧量、氨氮、悬浮物、五日生化需氧量、总磷</w:t>
                  </w:r>
                </w:p>
              </w:tc>
              <w:tc>
                <w:tcPr>
                  <w:tcW w:w="2075" w:type="pct"/>
                  <w:noWrap w:val="0"/>
                  <w:vAlign w:val="center"/>
                </w:tcPr>
                <w:p w14:paraId="0544E06D">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default"/>
                      <w:color w:val="000000"/>
                      <w:sz w:val="21"/>
                      <w:szCs w:val="21"/>
                      <w:vertAlign w:val="baseline"/>
                      <w:lang w:val="en-US" w:eastAsia="zh-CN"/>
                    </w:rPr>
                  </w:pPr>
                  <w:r>
                    <w:rPr>
                      <w:rFonts w:hint="eastAsia"/>
                      <w:color w:val="000000"/>
                      <w:sz w:val="21"/>
                      <w:szCs w:val="21"/>
                      <w:vertAlign w:val="baseline"/>
                      <w:lang w:val="en-US" w:eastAsia="zh-CN"/>
                    </w:rPr>
                    <w:t>经5m</w:t>
                  </w:r>
                  <w:r>
                    <w:rPr>
                      <w:rFonts w:hint="eastAsia"/>
                      <w:color w:val="000000"/>
                      <w:sz w:val="21"/>
                      <w:szCs w:val="21"/>
                      <w:vertAlign w:val="superscript"/>
                      <w:lang w:val="en-US" w:eastAsia="zh-CN"/>
                    </w:rPr>
                    <w:t>3</w:t>
                  </w:r>
                  <w:r>
                    <w:rPr>
                      <w:rFonts w:hint="eastAsia"/>
                      <w:color w:val="000000"/>
                      <w:sz w:val="21"/>
                      <w:szCs w:val="21"/>
                      <w:vertAlign w:val="baseline"/>
                      <w:lang w:val="en-US" w:eastAsia="zh-CN"/>
                    </w:rPr>
                    <w:t>/d生化池处理后排入园区污水管网。</w:t>
                  </w:r>
                </w:p>
              </w:tc>
              <w:tc>
                <w:tcPr>
                  <w:tcW w:w="707" w:type="pct"/>
                  <w:noWrap w:val="0"/>
                  <w:vAlign w:val="center"/>
                </w:tcPr>
                <w:p w14:paraId="3B673DE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000000"/>
                      <w:sz w:val="21"/>
                      <w:szCs w:val="21"/>
                      <w:vertAlign w:val="baseline"/>
                      <w:lang w:val="en-US" w:eastAsia="zh-CN"/>
                    </w:rPr>
                  </w:pPr>
                  <w:r>
                    <w:rPr>
                      <w:rFonts w:hint="eastAsia"/>
                      <w:color w:val="000000"/>
                      <w:sz w:val="21"/>
                      <w:szCs w:val="21"/>
                      <w:vertAlign w:val="baseline"/>
                      <w:lang w:val="en-US" w:eastAsia="zh-CN"/>
                    </w:rPr>
                    <w:t>无变动</w:t>
                  </w:r>
                </w:p>
              </w:tc>
            </w:tr>
            <w:tr w14:paraId="343D4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361" w:type="pct"/>
                  <w:noWrap w:val="0"/>
                  <w:vAlign w:val="center"/>
                </w:tcPr>
                <w:p w14:paraId="36EAEDF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000000"/>
                      <w:sz w:val="21"/>
                      <w:szCs w:val="21"/>
                      <w:vertAlign w:val="baseline"/>
                      <w:lang w:eastAsia="zh-CN"/>
                    </w:rPr>
                  </w:pPr>
                  <w:r>
                    <w:rPr>
                      <w:rFonts w:hint="eastAsia"/>
                      <w:color w:val="000000"/>
                      <w:sz w:val="21"/>
                      <w:szCs w:val="21"/>
                      <w:vertAlign w:val="baseline"/>
                      <w:lang w:eastAsia="zh-CN"/>
                    </w:rPr>
                    <w:t>噪声</w:t>
                  </w:r>
                </w:p>
              </w:tc>
              <w:tc>
                <w:tcPr>
                  <w:tcW w:w="883" w:type="pct"/>
                  <w:noWrap w:val="0"/>
                  <w:vAlign w:val="center"/>
                </w:tcPr>
                <w:p w14:paraId="09CCB94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000000"/>
                      <w:sz w:val="21"/>
                      <w:szCs w:val="21"/>
                      <w:vertAlign w:val="baseline"/>
                      <w:lang w:eastAsia="zh-CN"/>
                    </w:rPr>
                  </w:pPr>
                  <w:r>
                    <w:rPr>
                      <w:rFonts w:hint="eastAsia"/>
                      <w:color w:val="000000"/>
                      <w:sz w:val="21"/>
                      <w:szCs w:val="21"/>
                      <w:vertAlign w:val="baseline"/>
                      <w:lang w:eastAsia="zh-CN"/>
                    </w:rPr>
                    <w:t>风机等</w:t>
                  </w:r>
                </w:p>
              </w:tc>
              <w:tc>
                <w:tcPr>
                  <w:tcW w:w="972" w:type="pct"/>
                  <w:noWrap w:val="0"/>
                  <w:vAlign w:val="center"/>
                </w:tcPr>
                <w:p w14:paraId="3B04BF5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000000"/>
                      <w:sz w:val="21"/>
                      <w:szCs w:val="21"/>
                      <w:vertAlign w:val="baseline"/>
                      <w:lang w:eastAsia="zh-CN"/>
                    </w:rPr>
                  </w:pPr>
                  <w:r>
                    <w:rPr>
                      <w:rFonts w:hint="eastAsia"/>
                      <w:color w:val="000000"/>
                      <w:sz w:val="21"/>
                      <w:szCs w:val="21"/>
                      <w:vertAlign w:val="baseline"/>
                      <w:lang w:eastAsia="zh-CN"/>
                    </w:rPr>
                    <w:t>等效连续声级</w:t>
                  </w:r>
                </w:p>
              </w:tc>
              <w:tc>
                <w:tcPr>
                  <w:tcW w:w="2075" w:type="pct"/>
                  <w:noWrap w:val="0"/>
                  <w:vAlign w:val="center"/>
                </w:tcPr>
                <w:p w14:paraId="2CE5C9F7">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eastAsia"/>
                      <w:color w:val="000000"/>
                      <w:sz w:val="21"/>
                      <w:szCs w:val="21"/>
                      <w:vertAlign w:val="baseline"/>
                      <w:lang w:eastAsia="zh-CN"/>
                    </w:rPr>
                  </w:pPr>
                  <w:r>
                    <w:rPr>
                      <w:rFonts w:hint="eastAsia"/>
                      <w:color w:val="000000"/>
                      <w:sz w:val="21"/>
                      <w:szCs w:val="21"/>
                      <w:vertAlign w:val="baseline"/>
                      <w:lang w:eastAsia="zh-CN"/>
                    </w:rPr>
                    <w:t>基础减振、距离衰减，加强维修保养。</w:t>
                  </w:r>
                </w:p>
              </w:tc>
              <w:tc>
                <w:tcPr>
                  <w:tcW w:w="707" w:type="pct"/>
                  <w:noWrap w:val="0"/>
                  <w:vAlign w:val="center"/>
                </w:tcPr>
                <w:p w14:paraId="38D072D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000000"/>
                      <w:sz w:val="21"/>
                      <w:szCs w:val="21"/>
                      <w:vertAlign w:val="baseline"/>
                      <w:lang w:eastAsia="zh-CN"/>
                    </w:rPr>
                  </w:pPr>
                  <w:r>
                    <w:rPr>
                      <w:rFonts w:hint="eastAsia"/>
                      <w:color w:val="000000"/>
                      <w:sz w:val="21"/>
                      <w:szCs w:val="21"/>
                      <w:vertAlign w:val="baseline"/>
                      <w:lang w:val="en-US" w:eastAsia="zh-CN"/>
                    </w:rPr>
                    <w:t>无变动</w:t>
                  </w:r>
                </w:p>
              </w:tc>
            </w:tr>
            <w:tr w14:paraId="22210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361" w:type="pct"/>
                  <w:vMerge w:val="restart"/>
                  <w:noWrap w:val="0"/>
                  <w:vAlign w:val="center"/>
                </w:tcPr>
                <w:p w14:paraId="572B56E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000000"/>
                      <w:sz w:val="21"/>
                      <w:szCs w:val="21"/>
                      <w:vertAlign w:val="baseline"/>
                      <w:lang w:eastAsia="zh-CN"/>
                    </w:rPr>
                  </w:pPr>
                  <w:r>
                    <w:rPr>
                      <w:rFonts w:hint="eastAsia"/>
                      <w:color w:val="000000"/>
                      <w:sz w:val="21"/>
                      <w:szCs w:val="21"/>
                      <w:vertAlign w:val="baseline"/>
                      <w:lang w:eastAsia="zh-CN"/>
                    </w:rPr>
                    <w:t>固体废物</w:t>
                  </w:r>
                </w:p>
              </w:tc>
              <w:tc>
                <w:tcPr>
                  <w:tcW w:w="883" w:type="pct"/>
                  <w:noWrap w:val="0"/>
                  <w:vAlign w:val="center"/>
                </w:tcPr>
                <w:p w14:paraId="7CC8215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000000"/>
                      <w:sz w:val="21"/>
                      <w:szCs w:val="21"/>
                      <w:vertAlign w:val="baseline"/>
                      <w:lang w:eastAsia="zh-CN"/>
                    </w:rPr>
                  </w:pPr>
                  <w:r>
                    <w:rPr>
                      <w:rFonts w:hint="eastAsia"/>
                      <w:color w:val="000000"/>
                      <w:sz w:val="21"/>
                      <w:szCs w:val="21"/>
                      <w:vertAlign w:val="baseline"/>
                      <w:lang w:eastAsia="zh-CN"/>
                    </w:rPr>
                    <w:t>生活垃圾</w:t>
                  </w:r>
                </w:p>
              </w:tc>
              <w:tc>
                <w:tcPr>
                  <w:tcW w:w="972" w:type="pct"/>
                  <w:noWrap w:val="0"/>
                  <w:vAlign w:val="center"/>
                </w:tcPr>
                <w:p w14:paraId="18370CB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000000"/>
                      <w:kern w:val="2"/>
                      <w:sz w:val="21"/>
                      <w:szCs w:val="21"/>
                      <w:vertAlign w:val="baseline"/>
                      <w:lang w:val="en-US" w:eastAsia="zh-CN" w:bidi="ar-SA"/>
                    </w:rPr>
                  </w:pPr>
                  <w:r>
                    <w:rPr>
                      <w:rFonts w:hint="eastAsia"/>
                      <w:color w:val="000000"/>
                      <w:sz w:val="21"/>
                      <w:szCs w:val="21"/>
                      <w:vertAlign w:val="baseline"/>
                      <w:lang w:eastAsia="zh-CN"/>
                    </w:rPr>
                    <w:t>生活垃圾</w:t>
                  </w:r>
                </w:p>
              </w:tc>
              <w:tc>
                <w:tcPr>
                  <w:tcW w:w="2075" w:type="pct"/>
                  <w:noWrap w:val="0"/>
                  <w:vAlign w:val="center"/>
                </w:tcPr>
                <w:p w14:paraId="1407515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000000"/>
                      <w:sz w:val="21"/>
                      <w:szCs w:val="21"/>
                      <w:vertAlign w:val="baseline"/>
                      <w:lang w:eastAsia="zh-CN"/>
                    </w:rPr>
                  </w:pPr>
                  <w:r>
                    <w:rPr>
                      <w:rFonts w:hint="eastAsia"/>
                      <w:color w:val="000000"/>
                      <w:sz w:val="21"/>
                      <w:szCs w:val="21"/>
                      <w:vertAlign w:val="baseline"/>
                      <w:lang w:eastAsia="zh-CN"/>
                    </w:rPr>
                    <w:t>交由环卫部门统一处置。</w:t>
                  </w:r>
                </w:p>
              </w:tc>
              <w:tc>
                <w:tcPr>
                  <w:tcW w:w="707" w:type="pct"/>
                  <w:noWrap w:val="0"/>
                  <w:vAlign w:val="center"/>
                </w:tcPr>
                <w:p w14:paraId="4698E6A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000000"/>
                      <w:sz w:val="21"/>
                      <w:szCs w:val="21"/>
                      <w:vertAlign w:val="baseline"/>
                      <w:lang w:eastAsia="zh-CN"/>
                    </w:rPr>
                  </w:pPr>
                  <w:r>
                    <w:rPr>
                      <w:rFonts w:hint="eastAsia"/>
                      <w:color w:val="000000"/>
                      <w:sz w:val="21"/>
                      <w:szCs w:val="21"/>
                      <w:vertAlign w:val="baseline"/>
                      <w:lang w:val="en-US" w:eastAsia="zh-CN"/>
                    </w:rPr>
                    <w:t>无变动</w:t>
                  </w:r>
                </w:p>
              </w:tc>
            </w:tr>
            <w:tr w14:paraId="1DCD4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361" w:type="pct"/>
                  <w:vMerge w:val="continue"/>
                  <w:noWrap w:val="0"/>
                  <w:vAlign w:val="center"/>
                </w:tcPr>
                <w:p w14:paraId="68B8F3B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000000"/>
                      <w:sz w:val="21"/>
                      <w:szCs w:val="21"/>
                      <w:vertAlign w:val="baseline"/>
                      <w:lang w:eastAsia="zh-CN"/>
                    </w:rPr>
                  </w:pPr>
                </w:p>
              </w:tc>
              <w:tc>
                <w:tcPr>
                  <w:tcW w:w="883" w:type="pct"/>
                  <w:noWrap w:val="0"/>
                  <w:vAlign w:val="center"/>
                </w:tcPr>
                <w:p w14:paraId="605709F8">
                  <w:pPr>
                    <w:pStyle w:val="81"/>
                    <w:keepNext w:val="0"/>
                    <w:keepLines w:val="0"/>
                    <w:pageBreakBefore w:val="0"/>
                    <w:widowControl w:val="0"/>
                    <w:kinsoku/>
                    <w:wordWrap/>
                    <w:overflowPunct/>
                    <w:topLinePunct w:val="0"/>
                    <w:autoSpaceDE/>
                    <w:autoSpaceDN/>
                    <w:bidi w:val="0"/>
                    <w:adjustRightInd/>
                    <w:snapToGrid/>
                    <w:spacing w:beforeLines="0" w:afterLines="0" w:line="240" w:lineRule="auto"/>
                    <w:ind w:firstLine="0" w:firstLineChars="0"/>
                    <w:textAlignment w:val="auto"/>
                    <w:rPr>
                      <w:rFonts w:hint="eastAsia" w:ascii="宋体" w:hAnsi="Calibri" w:eastAsia="宋体" w:cs="宋体"/>
                      <w:snapToGrid w:val="0"/>
                      <w:color w:val="000000"/>
                      <w:kern w:val="21"/>
                      <w:sz w:val="21"/>
                      <w:szCs w:val="21"/>
                      <w:lang w:val="en-US" w:eastAsia="zh-CN" w:bidi="ar-SA"/>
                    </w:rPr>
                  </w:pPr>
                  <w:r>
                    <w:rPr>
                      <w:rFonts w:hint="eastAsia" w:ascii="Times New Roman" w:cs="Times New Roman"/>
                      <w:color w:val="000000"/>
                      <w:sz w:val="21"/>
                      <w:szCs w:val="21"/>
                      <w:lang w:eastAsia="zh-CN"/>
                    </w:rPr>
                    <w:t>地面清洁废水</w:t>
                  </w:r>
                </w:p>
              </w:tc>
              <w:tc>
                <w:tcPr>
                  <w:tcW w:w="972" w:type="pct"/>
                  <w:noWrap w:val="0"/>
                  <w:vAlign w:val="center"/>
                </w:tcPr>
                <w:p w14:paraId="42D6C914">
                  <w:pPr>
                    <w:pStyle w:val="81"/>
                    <w:keepNext w:val="0"/>
                    <w:keepLines w:val="0"/>
                    <w:pageBreakBefore w:val="0"/>
                    <w:widowControl w:val="0"/>
                    <w:kinsoku/>
                    <w:wordWrap/>
                    <w:overflowPunct/>
                    <w:topLinePunct w:val="0"/>
                    <w:autoSpaceDE/>
                    <w:autoSpaceDN/>
                    <w:bidi w:val="0"/>
                    <w:adjustRightInd/>
                    <w:snapToGrid/>
                    <w:spacing w:beforeLines="0" w:afterLines="0" w:line="240" w:lineRule="auto"/>
                    <w:ind w:firstLine="0" w:firstLineChars="0"/>
                    <w:textAlignment w:val="auto"/>
                    <w:rPr>
                      <w:rFonts w:hint="eastAsia" w:ascii="宋体" w:hAnsi="Calibri" w:eastAsia="宋体" w:cs="宋体"/>
                      <w:snapToGrid w:val="0"/>
                      <w:color w:val="000000"/>
                      <w:kern w:val="21"/>
                      <w:sz w:val="21"/>
                      <w:szCs w:val="21"/>
                      <w:lang w:val="en-US" w:eastAsia="zh-CN" w:bidi="ar-SA"/>
                    </w:rPr>
                  </w:pPr>
                  <w:r>
                    <w:rPr>
                      <w:rFonts w:hint="eastAsia" w:ascii="Times New Roman" w:cs="Times New Roman"/>
                      <w:color w:val="000000"/>
                      <w:sz w:val="21"/>
                      <w:szCs w:val="21"/>
                      <w:lang w:eastAsia="zh-CN"/>
                    </w:rPr>
                    <w:t>地面清洁废水</w:t>
                  </w:r>
                </w:p>
              </w:tc>
              <w:tc>
                <w:tcPr>
                  <w:tcW w:w="2075" w:type="pct"/>
                  <w:vMerge w:val="restart"/>
                  <w:noWrap w:val="0"/>
                  <w:vAlign w:val="center"/>
                </w:tcPr>
                <w:p w14:paraId="095196B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000000"/>
                      <w:sz w:val="21"/>
                      <w:szCs w:val="21"/>
                      <w:vertAlign w:val="baseline"/>
                      <w:lang w:eastAsia="zh-CN"/>
                    </w:rPr>
                  </w:pPr>
                  <w:r>
                    <w:rPr>
                      <w:rFonts w:hint="eastAsia"/>
                      <w:color w:val="000000"/>
                      <w:sz w:val="21"/>
                      <w:szCs w:val="21"/>
                      <w:vertAlign w:val="baseline"/>
                      <w:lang w:eastAsia="zh-CN"/>
                    </w:rPr>
                    <w:t>收集后密封包装存放于危废贮存点，定期交有资质单位处置。</w:t>
                  </w:r>
                </w:p>
              </w:tc>
              <w:tc>
                <w:tcPr>
                  <w:tcW w:w="707" w:type="pct"/>
                  <w:noWrap w:val="0"/>
                  <w:vAlign w:val="center"/>
                </w:tcPr>
                <w:p w14:paraId="12F975E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000000"/>
                      <w:sz w:val="21"/>
                      <w:szCs w:val="21"/>
                      <w:vertAlign w:val="baseline"/>
                      <w:lang w:eastAsia="zh-CN"/>
                    </w:rPr>
                  </w:pPr>
                  <w:r>
                    <w:rPr>
                      <w:rFonts w:hint="eastAsia"/>
                      <w:color w:val="000000"/>
                      <w:sz w:val="21"/>
                      <w:szCs w:val="21"/>
                      <w:vertAlign w:val="baseline"/>
                      <w:lang w:val="en-US" w:eastAsia="zh-CN"/>
                    </w:rPr>
                    <w:t>无变动</w:t>
                  </w:r>
                </w:p>
              </w:tc>
            </w:tr>
            <w:tr w14:paraId="0786A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361" w:type="pct"/>
                  <w:vMerge w:val="continue"/>
                  <w:noWrap w:val="0"/>
                  <w:vAlign w:val="center"/>
                </w:tcPr>
                <w:p w14:paraId="2539EBC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000000"/>
                      <w:sz w:val="21"/>
                      <w:szCs w:val="21"/>
                      <w:vertAlign w:val="baseline"/>
                      <w:lang w:eastAsia="zh-CN"/>
                    </w:rPr>
                  </w:pPr>
                </w:p>
              </w:tc>
              <w:tc>
                <w:tcPr>
                  <w:tcW w:w="883" w:type="pct"/>
                  <w:noWrap w:val="0"/>
                  <w:vAlign w:val="center"/>
                </w:tcPr>
                <w:p w14:paraId="7687DEC1">
                  <w:pPr>
                    <w:pStyle w:val="81"/>
                    <w:keepNext w:val="0"/>
                    <w:keepLines w:val="0"/>
                    <w:pageBreakBefore w:val="0"/>
                    <w:widowControl w:val="0"/>
                    <w:kinsoku/>
                    <w:wordWrap/>
                    <w:overflowPunct/>
                    <w:topLinePunct w:val="0"/>
                    <w:autoSpaceDE/>
                    <w:autoSpaceDN/>
                    <w:bidi w:val="0"/>
                    <w:adjustRightInd/>
                    <w:snapToGrid/>
                    <w:spacing w:beforeLines="0" w:afterLines="0" w:line="240" w:lineRule="auto"/>
                    <w:ind w:firstLine="0" w:firstLineChars="0"/>
                    <w:textAlignment w:val="auto"/>
                    <w:rPr>
                      <w:rFonts w:hint="eastAsia" w:ascii="宋体" w:hAnsi="Calibri" w:eastAsia="宋体" w:cs="宋体"/>
                      <w:snapToGrid w:val="0"/>
                      <w:color w:val="000000"/>
                      <w:kern w:val="21"/>
                      <w:sz w:val="21"/>
                      <w:szCs w:val="21"/>
                      <w:lang w:val="en-US" w:eastAsia="zh-CN" w:bidi="ar-SA"/>
                    </w:rPr>
                  </w:pPr>
                  <w:r>
                    <w:rPr>
                      <w:rFonts w:hint="eastAsia" w:ascii="Times New Roman" w:hAnsi="Times New Roman" w:cs="Times New Roman"/>
                      <w:color w:val="000000"/>
                      <w:sz w:val="21"/>
                      <w:szCs w:val="21"/>
                      <w:lang w:eastAsia="zh-CN"/>
                    </w:rPr>
                    <w:t>废拖布及劳保用品</w:t>
                  </w:r>
                </w:p>
              </w:tc>
              <w:tc>
                <w:tcPr>
                  <w:tcW w:w="972" w:type="pct"/>
                  <w:noWrap w:val="0"/>
                  <w:vAlign w:val="center"/>
                </w:tcPr>
                <w:p w14:paraId="682134E2">
                  <w:pPr>
                    <w:pStyle w:val="81"/>
                    <w:keepNext w:val="0"/>
                    <w:keepLines w:val="0"/>
                    <w:pageBreakBefore w:val="0"/>
                    <w:widowControl w:val="0"/>
                    <w:kinsoku/>
                    <w:wordWrap/>
                    <w:overflowPunct/>
                    <w:topLinePunct w:val="0"/>
                    <w:autoSpaceDE/>
                    <w:autoSpaceDN/>
                    <w:bidi w:val="0"/>
                    <w:adjustRightInd/>
                    <w:snapToGrid/>
                    <w:spacing w:beforeLines="0" w:afterLines="0" w:line="240" w:lineRule="auto"/>
                    <w:ind w:firstLine="0" w:firstLineChars="0"/>
                    <w:textAlignment w:val="auto"/>
                    <w:rPr>
                      <w:rFonts w:hint="eastAsia" w:ascii="宋体" w:hAnsi="Calibri" w:eastAsia="宋体" w:cs="宋体"/>
                      <w:snapToGrid w:val="0"/>
                      <w:color w:val="000000"/>
                      <w:kern w:val="21"/>
                      <w:sz w:val="21"/>
                      <w:szCs w:val="21"/>
                      <w:lang w:val="en-US" w:eastAsia="zh-CN" w:bidi="ar-SA"/>
                    </w:rPr>
                  </w:pPr>
                  <w:r>
                    <w:rPr>
                      <w:rFonts w:hint="eastAsia" w:ascii="Times New Roman" w:hAnsi="Times New Roman" w:cs="Times New Roman"/>
                      <w:color w:val="000000"/>
                      <w:sz w:val="21"/>
                      <w:szCs w:val="21"/>
                      <w:lang w:eastAsia="zh-CN"/>
                    </w:rPr>
                    <w:t>废拖布及劳保用品</w:t>
                  </w:r>
                </w:p>
              </w:tc>
              <w:tc>
                <w:tcPr>
                  <w:tcW w:w="2075" w:type="pct"/>
                  <w:vMerge w:val="continue"/>
                  <w:noWrap w:val="0"/>
                  <w:vAlign w:val="center"/>
                </w:tcPr>
                <w:p w14:paraId="66FFA76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000000"/>
                      <w:sz w:val="21"/>
                      <w:szCs w:val="21"/>
                      <w:vertAlign w:val="baseline"/>
                      <w:lang w:eastAsia="zh-CN"/>
                    </w:rPr>
                  </w:pPr>
                </w:p>
              </w:tc>
              <w:tc>
                <w:tcPr>
                  <w:tcW w:w="707" w:type="pct"/>
                  <w:noWrap w:val="0"/>
                  <w:vAlign w:val="center"/>
                </w:tcPr>
                <w:p w14:paraId="3FD16B4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000000"/>
                      <w:sz w:val="21"/>
                      <w:szCs w:val="21"/>
                      <w:vertAlign w:val="baseline"/>
                      <w:lang w:eastAsia="zh-CN"/>
                    </w:rPr>
                  </w:pPr>
                  <w:r>
                    <w:rPr>
                      <w:rFonts w:hint="eastAsia"/>
                      <w:color w:val="000000"/>
                      <w:sz w:val="21"/>
                      <w:szCs w:val="21"/>
                      <w:vertAlign w:val="baseline"/>
                      <w:lang w:val="en-US" w:eastAsia="zh-CN"/>
                    </w:rPr>
                    <w:t>无变动</w:t>
                  </w:r>
                </w:p>
              </w:tc>
            </w:tr>
            <w:tr w14:paraId="6BF97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361" w:type="pct"/>
                  <w:vMerge w:val="continue"/>
                  <w:noWrap w:val="0"/>
                  <w:vAlign w:val="center"/>
                </w:tcPr>
                <w:p w14:paraId="238E570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000000"/>
                      <w:sz w:val="21"/>
                      <w:szCs w:val="21"/>
                      <w:vertAlign w:val="baseline"/>
                      <w:lang w:eastAsia="zh-CN"/>
                    </w:rPr>
                  </w:pPr>
                </w:p>
              </w:tc>
              <w:tc>
                <w:tcPr>
                  <w:tcW w:w="883" w:type="pct"/>
                  <w:noWrap w:val="0"/>
                  <w:vAlign w:val="center"/>
                </w:tcPr>
                <w:p w14:paraId="67B813D8">
                  <w:pPr>
                    <w:pStyle w:val="81"/>
                    <w:keepNext w:val="0"/>
                    <w:keepLines w:val="0"/>
                    <w:pageBreakBefore w:val="0"/>
                    <w:widowControl w:val="0"/>
                    <w:kinsoku/>
                    <w:wordWrap/>
                    <w:overflowPunct/>
                    <w:topLinePunct w:val="0"/>
                    <w:autoSpaceDE/>
                    <w:autoSpaceDN/>
                    <w:bidi w:val="0"/>
                    <w:adjustRightInd/>
                    <w:snapToGrid/>
                    <w:spacing w:beforeLines="0" w:afterLines="0" w:line="240" w:lineRule="auto"/>
                    <w:ind w:firstLine="0" w:firstLineChars="0"/>
                    <w:textAlignment w:val="auto"/>
                    <w:rPr>
                      <w:rFonts w:hint="eastAsia" w:ascii="宋体" w:hAnsi="Calibri" w:eastAsia="宋体" w:cs="宋体"/>
                      <w:snapToGrid w:val="0"/>
                      <w:color w:val="000000"/>
                      <w:kern w:val="21"/>
                      <w:sz w:val="21"/>
                      <w:szCs w:val="21"/>
                      <w:lang w:val="en-US" w:eastAsia="zh-CN" w:bidi="ar-SA"/>
                    </w:rPr>
                  </w:pPr>
                  <w:r>
                    <w:rPr>
                      <w:rFonts w:hint="eastAsia" w:ascii="Times New Roman" w:hAnsi="Times New Roman" w:cs="Times New Roman"/>
                      <w:color w:val="000000"/>
                      <w:sz w:val="21"/>
                      <w:szCs w:val="21"/>
                      <w:lang w:eastAsia="zh-CN"/>
                    </w:rPr>
                    <w:t>破损包装容器</w:t>
                  </w:r>
                </w:p>
              </w:tc>
              <w:tc>
                <w:tcPr>
                  <w:tcW w:w="972" w:type="pct"/>
                  <w:noWrap w:val="0"/>
                  <w:vAlign w:val="center"/>
                </w:tcPr>
                <w:p w14:paraId="320D34D6">
                  <w:pPr>
                    <w:pStyle w:val="81"/>
                    <w:keepNext w:val="0"/>
                    <w:keepLines w:val="0"/>
                    <w:pageBreakBefore w:val="0"/>
                    <w:widowControl w:val="0"/>
                    <w:kinsoku/>
                    <w:wordWrap/>
                    <w:overflowPunct/>
                    <w:topLinePunct w:val="0"/>
                    <w:autoSpaceDE/>
                    <w:autoSpaceDN/>
                    <w:bidi w:val="0"/>
                    <w:adjustRightInd/>
                    <w:snapToGrid/>
                    <w:spacing w:beforeLines="0" w:afterLines="0" w:line="240" w:lineRule="auto"/>
                    <w:ind w:firstLine="0" w:firstLineChars="0"/>
                    <w:textAlignment w:val="auto"/>
                    <w:rPr>
                      <w:rFonts w:hint="eastAsia" w:ascii="宋体" w:hAnsi="Calibri" w:eastAsia="宋体" w:cs="宋体"/>
                      <w:snapToGrid w:val="0"/>
                      <w:color w:val="000000"/>
                      <w:kern w:val="21"/>
                      <w:sz w:val="21"/>
                      <w:szCs w:val="21"/>
                      <w:lang w:val="en-US" w:eastAsia="zh-CN" w:bidi="ar-SA"/>
                    </w:rPr>
                  </w:pPr>
                  <w:r>
                    <w:rPr>
                      <w:rFonts w:hint="eastAsia" w:ascii="Times New Roman" w:hAnsi="Times New Roman" w:cs="Times New Roman"/>
                      <w:color w:val="000000"/>
                      <w:sz w:val="21"/>
                      <w:szCs w:val="21"/>
                      <w:lang w:eastAsia="zh-CN"/>
                    </w:rPr>
                    <w:t>破损包装容器</w:t>
                  </w:r>
                </w:p>
              </w:tc>
              <w:tc>
                <w:tcPr>
                  <w:tcW w:w="2075" w:type="pct"/>
                  <w:vMerge w:val="continue"/>
                  <w:noWrap w:val="0"/>
                  <w:vAlign w:val="center"/>
                </w:tcPr>
                <w:p w14:paraId="2F7EAB3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000000"/>
                      <w:sz w:val="21"/>
                      <w:szCs w:val="21"/>
                      <w:vertAlign w:val="baseline"/>
                      <w:lang w:eastAsia="zh-CN"/>
                    </w:rPr>
                  </w:pPr>
                </w:p>
              </w:tc>
              <w:tc>
                <w:tcPr>
                  <w:tcW w:w="707" w:type="pct"/>
                  <w:noWrap w:val="0"/>
                  <w:vAlign w:val="center"/>
                </w:tcPr>
                <w:p w14:paraId="0FF7E7A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000000"/>
                      <w:sz w:val="21"/>
                      <w:szCs w:val="21"/>
                      <w:vertAlign w:val="baseline"/>
                      <w:lang w:eastAsia="zh-CN"/>
                    </w:rPr>
                  </w:pPr>
                  <w:r>
                    <w:rPr>
                      <w:rFonts w:hint="eastAsia"/>
                      <w:color w:val="000000"/>
                      <w:sz w:val="21"/>
                      <w:szCs w:val="21"/>
                      <w:vertAlign w:val="baseline"/>
                      <w:lang w:val="en-US" w:eastAsia="zh-CN"/>
                    </w:rPr>
                    <w:t>无变动</w:t>
                  </w:r>
                </w:p>
              </w:tc>
            </w:tr>
            <w:tr w14:paraId="3C570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trPr>
              <w:tc>
                <w:tcPr>
                  <w:tcW w:w="361" w:type="pct"/>
                  <w:vMerge w:val="continue"/>
                  <w:noWrap w:val="0"/>
                  <w:vAlign w:val="center"/>
                </w:tcPr>
                <w:p w14:paraId="7A032FE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000000"/>
                      <w:sz w:val="21"/>
                      <w:szCs w:val="21"/>
                      <w:vertAlign w:val="baseline"/>
                      <w:lang w:eastAsia="zh-CN"/>
                    </w:rPr>
                  </w:pPr>
                </w:p>
              </w:tc>
              <w:tc>
                <w:tcPr>
                  <w:tcW w:w="883" w:type="pct"/>
                  <w:noWrap w:val="0"/>
                  <w:vAlign w:val="center"/>
                </w:tcPr>
                <w:p w14:paraId="673DBF0C">
                  <w:pPr>
                    <w:pStyle w:val="81"/>
                    <w:keepNext w:val="0"/>
                    <w:keepLines w:val="0"/>
                    <w:pageBreakBefore w:val="0"/>
                    <w:widowControl w:val="0"/>
                    <w:kinsoku/>
                    <w:wordWrap/>
                    <w:overflowPunct/>
                    <w:topLinePunct w:val="0"/>
                    <w:autoSpaceDE/>
                    <w:autoSpaceDN/>
                    <w:bidi w:val="0"/>
                    <w:adjustRightInd/>
                    <w:snapToGrid/>
                    <w:spacing w:beforeLines="0" w:afterLines="0" w:line="240" w:lineRule="auto"/>
                    <w:ind w:firstLine="0" w:firstLineChars="0"/>
                    <w:textAlignment w:val="auto"/>
                    <w:rPr>
                      <w:rFonts w:hint="eastAsia" w:ascii="Times New Roman" w:hAnsi="Times New Roman" w:cs="Times New Roman"/>
                      <w:color w:val="000000"/>
                      <w:sz w:val="21"/>
                      <w:szCs w:val="21"/>
                      <w:lang w:eastAsia="zh-CN"/>
                    </w:rPr>
                  </w:pPr>
                  <w:r>
                    <w:rPr>
                      <w:rFonts w:hint="eastAsia" w:ascii="Times New Roman" w:hAnsi="Times New Roman" w:cs="Times New Roman"/>
                      <w:color w:val="000000"/>
                      <w:sz w:val="21"/>
                      <w:szCs w:val="21"/>
                      <w:lang w:eastAsia="zh-CN"/>
                    </w:rPr>
                    <w:t>喷淋塔沉淀污泥</w:t>
                  </w:r>
                </w:p>
              </w:tc>
              <w:tc>
                <w:tcPr>
                  <w:tcW w:w="972" w:type="pct"/>
                  <w:noWrap w:val="0"/>
                  <w:vAlign w:val="center"/>
                </w:tcPr>
                <w:p w14:paraId="0E3EBDED">
                  <w:pPr>
                    <w:pStyle w:val="81"/>
                    <w:keepNext w:val="0"/>
                    <w:keepLines w:val="0"/>
                    <w:pageBreakBefore w:val="0"/>
                    <w:widowControl w:val="0"/>
                    <w:kinsoku/>
                    <w:wordWrap/>
                    <w:overflowPunct/>
                    <w:topLinePunct w:val="0"/>
                    <w:autoSpaceDE/>
                    <w:autoSpaceDN/>
                    <w:bidi w:val="0"/>
                    <w:adjustRightInd/>
                    <w:snapToGrid/>
                    <w:spacing w:beforeLines="0" w:afterLines="0" w:line="240" w:lineRule="auto"/>
                    <w:ind w:firstLine="0" w:firstLineChars="0"/>
                    <w:textAlignment w:val="auto"/>
                    <w:rPr>
                      <w:rFonts w:hint="eastAsia" w:ascii="Times New Roman" w:hAnsi="Times New Roman" w:eastAsia="宋体" w:cs="Times New Roman"/>
                      <w:color w:val="000000"/>
                      <w:kern w:val="0"/>
                      <w:sz w:val="21"/>
                      <w:szCs w:val="21"/>
                      <w:lang w:val="en-US" w:eastAsia="zh-CN" w:bidi="ar-SA"/>
                    </w:rPr>
                  </w:pPr>
                  <w:r>
                    <w:rPr>
                      <w:rFonts w:hint="eastAsia" w:ascii="Times New Roman" w:hAnsi="Times New Roman" w:cs="Times New Roman"/>
                      <w:color w:val="000000"/>
                      <w:sz w:val="21"/>
                      <w:szCs w:val="21"/>
                      <w:lang w:eastAsia="zh-CN"/>
                    </w:rPr>
                    <w:t>沉淀污泥</w:t>
                  </w:r>
                </w:p>
              </w:tc>
              <w:tc>
                <w:tcPr>
                  <w:tcW w:w="2075" w:type="pct"/>
                  <w:vMerge w:val="continue"/>
                  <w:noWrap w:val="0"/>
                  <w:vAlign w:val="center"/>
                </w:tcPr>
                <w:p w14:paraId="0EEAA32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000000"/>
                      <w:sz w:val="21"/>
                      <w:szCs w:val="21"/>
                      <w:vertAlign w:val="baseline"/>
                      <w:lang w:eastAsia="zh-CN"/>
                    </w:rPr>
                  </w:pPr>
                </w:p>
              </w:tc>
              <w:tc>
                <w:tcPr>
                  <w:tcW w:w="707" w:type="pct"/>
                  <w:noWrap w:val="0"/>
                  <w:vAlign w:val="center"/>
                </w:tcPr>
                <w:p w14:paraId="68D849D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000000"/>
                      <w:sz w:val="21"/>
                      <w:szCs w:val="21"/>
                      <w:vertAlign w:val="baseline"/>
                      <w:lang w:eastAsia="zh-CN"/>
                    </w:rPr>
                  </w:pPr>
                  <w:r>
                    <w:rPr>
                      <w:rFonts w:hint="eastAsia"/>
                      <w:color w:val="000000"/>
                      <w:sz w:val="21"/>
                      <w:szCs w:val="21"/>
                      <w:vertAlign w:val="baseline"/>
                      <w:lang w:val="en-US" w:eastAsia="zh-CN"/>
                    </w:rPr>
                    <w:t>无变动</w:t>
                  </w:r>
                </w:p>
              </w:tc>
            </w:tr>
          </w:tbl>
          <w:p w14:paraId="07A11A4F">
            <w:pPr>
              <w:pStyle w:val="29"/>
              <w:bidi w:val="0"/>
              <w:ind w:left="0" w:leftChars="0" w:firstLine="0" w:firstLineChars="0"/>
              <w:jc w:val="both"/>
              <w:rPr>
                <w:rFonts w:hint="eastAsia"/>
                <w:color w:val="000000" w:themeColor="text1"/>
                <w:lang w:val="en-US" w:eastAsia="zh-CN"/>
                <w14:textFill>
                  <w14:solidFill>
                    <w14:schemeClr w14:val="tx1"/>
                  </w14:solidFill>
                </w14:textFill>
              </w:rPr>
            </w:pPr>
          </w:p>
          <w:p w14:paraId="55DC5D01">
            <w:pPr>
              <w:pStyle w:val="29"/>
              <w:bidi w:val="0"/>
              <w:ind w:left="0" w:leftChars="0" w:firstLine="0" w:firstLineChars="0"/>
              <w:jc w:val="both"/>
              <w:rPr>
                <w:rFonts w:hint="default"/>
                <w:b/>
                <w:bCs/>
                <w:color w:val="000000" w:themeColor="text1"/>
                <w:lang w:val="en-US" w:eastAsia="zh-CN"/>
                <w14:textFill>
                  <w14:solidFill>
                    <w14:schemeClr w14:val="tx1"/>
                  </w14:solidFill>
                </w14:textFill>
              </w:rPr>
            </w:pPr>
            <w:r>
              <w:rPr>
                <w:rFonts w:hint="default"/>
                <w:b/>
                <w:bCs/>
                <w:color w:val="000000" w:themeColor="text1"/>
                <w:lang w:val="en-US" w:eastAsia="zh-CN"/>
                <w14:textFill>
                  <w14:solidFill>
                    <w14:schemeClr w14:val="tx1"/>
                  </w14:solidFill>
                </w14:textFill>
              </w:rPr>
              <w:t>3.5 环保设施投资及“三同时”落实情况</w:t>
            </w:r>
          </w:p>
          <w:p w14:paraId="09DEF79E">
            <w:pPr>
              <w:pStyle w:val="29"/>
              <w:bidi w:val="0"/>
              <w:ind w:left="0" w:leftChars="0" w:firstLine="0" w:firstLineChars="0"/>
              <w:jc w:val="both"/>
              <w:rPr>
                <w:rFonts w:hint="default"/>
                <w:b/>
                <w:bCs/>
                <w:color w:val="000000" w:themeColor="text1"/>
                <w:lang w:val="en-US" w:eastAsia="zh-CN"/>
                <w14:textFill>
                  <w14:solidFill>
                    <w14:schemeClr w14:val="tx1"/>
                  </w14:solidFill>
                </w14:textFill>
              </w:rPr>
            </w:pPr>
            <w:r>
              <w:rPr>
                <w:rFonts w:hint="default"/>
                <w:b/>
                <w:bCs/>
                <w:color w:val="000000" w:themeColor="text1"/>
                <w:lang w:val="en-US" w:eastAsia="zh-CN"/>
                <w14:textFill>
                  <w14:solidFill>
                    <w14:schemeClr w14:val="tx1"/>
                  </w14:solidFill>
                </w14:textFill>
              </w:rPr>
              <w:t>3.5.1 环保设施投资</w:t>
            </w:r>
          </w:p>
          <w:p w14:paraId="0BA48255">
            <w:pPr>
              <w:pStyle w:val="29"/>
              <w:bidi w:val="0"/>
              <w:ind w:left="0" w:leftChars="0" w:firstLine="0" w:firstLineChars="0"/>
              <w:jc w:val="both"/>
              <w:rPr>
                <w:rFonts w:hint="eastAsia"/>
                <w:color w:val="auto"/>
                <w:sz w:val="24"/>
                <w:highlight w:val="none"/>
                <w:lang w:val="en-US" w:eastAsia="zh-CN"/>
              </w:rPr>
            </w:pPr>
            <w:r>
              <w:rPr>
                <w:rFonts w:hint="eastAsia"/>
                <w:color w:val="000000" w:themeColor="text1"/>
                <w:lang w:val="en-US" w:eastAsia="zh-CN"/>
                <w14:textFill>
                  <w14:solidFill>
                    <w14:schemeClr w14:val="tx1"/>
                  </w14:solidFill>
                </w14:textFill>
              </w:rPr>
              <w:t>项目实际投资</w:t>
            </w:r>
            <w:r>
              <w:rPr>
                <w:rFonts w:hint="eastAsia"/>
                <w:color w:val="auto"/>
                <w:sz w:val="24"/>
                <w:highlight w:val="none"/>
                <w:lang w:val="en-US" w:eastAsia="zh-CN"/>
              </w:rPr>
              <w:t>500万元，其中环保投资50万元，所占比例为百分之10。</w:t>
            </w:r>
          </w:p>
          <w:p w14:paraId="254084BE">
            <w:pPr>
              <w:pStyle w:val="29"/>
              <w:bidi w:val="0"/>
              <w:ind w:left="0" w:leftChars="0" w:firstLine="0" w:firstLineChars="0"/>
              <w:jc w:val="both"/>
              <w:rPr>
                <w:rFonts w:hint="default"/>
                <w:b/>
                <w:bCs/>
                <w:color w:val="000000" w:themeColor="text1"/>
                <w:lang w:val="en-US" w:eastAsia="zh-CN"/>
                <w14:textFill>
                  <w14:solidFill>
                    <w14:schemeClr w14:val="tx1"/>
                  </w14:solidFill>
                </w14:textFill>
              </w:rPr>
            </w:pPr>
            <w:r>
              <w:rPr>
                <w:rFonts w:hint="default"/>
                <w:b/>
                <w:bCs/>
                <w:color w:val="000000" w:themeColor="text1"/>
                <w:lang w:val="en-US" w:eastAsia="zh-CN"/>
                <w14:textFill>
                  <w14:solidFill>
                    <w14:schemeClr w14:val="tx1"/>
                  </w14:solidFill>
                </w14:textFill>
              </w:rPr>
              <w:t>3.5.2 环保设施“三同时”落实情况</w:t>
            </w:r>
          </w:p>
          <w:p w14:paraId="0ECC6562">
            <w:pPr>
              <w:pStyle w:val="29"/>
              <w:bidi w:val="0"/>
              <w:ind w:left="0" w:leftChars="0" w:firstLine="0" w:firstLineChars="0"/>
              <w:jc w:val="both"/>
              <w:rPr>
                <w:rFonts w:hint="default"/>
                <w:color w:val="auto"/>
                <w:sz w:val="24"/>
                <w:highlight w:val="none"/>
                <w:lang w:val="en-US" w:eastAsia="zh-CN"/>
              </w:rPr>
            </w:pPr>
            <w:r>
              <w:rPr>
                <w:rFonts w:hint="default"/>
                <w:color w:val="auto"/>
                <w:sz w:val="24"/>
                <w:highlight w:val="none"/>
                <w:lang w:val="en-US" w:eastAsia="zh-CN"/>
              </w:rPr>
              <w:t>环境影响报告表和重庆市</w:t>
            </w:r>
            <w:r>
              <w:rPr>
                <w:rFonts w:hint="eastAsia"/>
                <w:color w:val="auto"/>
                <w:sz w:val="24"/>
                <w:highlight w:val="none"/>
                <w:lang w:val="en-US" w:eastAsia="zh-CN"/>
              </w:rPr>
              <w:t>万州区</w:t>
            </w:r>
            <w:r>
              <w:rPr>
                <w:rFonts w:hint="default"/>
                <w:color w:val="auto"/>
                <w:sz w:val="24"/>
                <w:highlight w:val="none"/>
                <w:lang w:val="en-US" w:eastAsia="zh-CN"/>
              </w:rPr>
              <w:t>生态环境局</w:t>
            </w:r>
            <w:r>
              <w:rPr>
                <w:rFonts w:hint="eastAsia"/>
                <w:color w:val="auto"/>
                <w:sz w:val="24"/>
                <w:highlight w:val="none"/>
                <w:lang w:val="en-US" w:eastAsia="zh-CN"/>
              </w:rPr>
              <w:t>审</w:t>
            </w:r>
            <w:r>
              <w:rPr>
                <w:rFonts w:hint="default"/>
                <w:color w:val="auto"/>
                <w:sz w:val="24"/>
                <w:highlight w:val="none"/>
                <w:lang w:val="en-US" w:eastAsia="zh-CN"/>
              </w:rPr>
              <w:t>批意见提出的环保措施要求的“三同时”落实情况见表 3.5-1。</w:t>
            </w:r>
          </w:p>
          <w:p w14:paraId="770B4A18">
            <w:pPr>
              <w:pStyle w:val="29"/>
              <w:bidi w:val="0"/>
              <w:ind w:left="0" w:leftChars="0" w:firstLine="0" w:firstLineChars="0"/>
              <w:jc w:val="both"/>
              <w:rPr>
                <w:rFonts w:hint="default"/>
                <w:color w:val="auto"/>
                <w:sz w:val="24"/>
                <w:highlight w:val="none"/>
                <w:lang w:val="en-US" w:eastAsia="zh-CN"/>
              </w:rPr>
            </w:pPr>
            <w:r>
              <w:drawing>
                <wp:inline distT="0" distB="0" distL="114300" distR="114300">
                  <wp:extent cx="5871845" cy="8272145"/>
                  <wp:effectExtent l="0" t="0" r="14605" b="14605"/>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8"/>
                          <a:stretch>
                            <a:fillRect/>
                          </a:stretch>
                        </pic:blipFill>
                        <pic:spPr>
                          <a:xfrm>
                            <a:off x="0" y="0"/>
                            <a:ext cx="5871845" cy="8272145"/>
                          </a:xfrm>
                          <a:prstGeom prst="rect">
                            <a:avLst/>
                          </a:prstGeom>
                          <a:noFill/>
                          <a:ln>
                            <a:noFill/>
                          </a:ln>
                        </pic:spPr>
                      </pic:pic>
                    </a:graphicData>
                  </a:graphic>
                </wp:inline>
              </w:drawing>
            </w:r>
          </w:p>
          <w:p w14:paraId="24E86816">
            <w:pPr>
              <w:pStyle w:val="29"/>
              <w:bidi w:val="0"/>
              <w:ind w:left="0" w:leftChars="0" w:firstLine="0" w:firstLineChars="0"/>
              <w:jc w:val="both"/>
              <w:rPr>
                <w:rFonts w:hint="default"/>
                <w:color w:val="auto"/>
                <w:sz w:val="24"/>
                <w:highlight w:val="none"/>
                <w:lang w:val="en-US" w:eastAsia="zh-CN"/>
              </w:rPr>
            </w:pPr>
          </w:p>
          <w:p w14:paraId="3920F75B">
            <w:pPr>
              <w:pStyle w:val="29"/>
              <w:bidi w:val="0"/>
              <w:ind w:left="0" w:leftChars="0" w:firstLine="0" w:firstLineChars="0"/>
              <w:jc w:val="both"/>
              <w:rPr>
                <w:rFonts w:hint="default"/>
                <w:color w:val="auto"/>
                <w:sz w:val="24"/>
                <w:highlight w:val="none"/>
                <w:lang w:val="en-US" w:eastAsia="zh-CN"/>
              </w:rPr>
            </w:pPr>
          </w:p>
          <w:p w14:paraId="13EC246A">
            <w:pPr>
              <w:pStyle w:val="29"/>
              <w:bidi w:val="0"/>
              <w:ind w:left="0" w:leftChars="0" w:firstLine="480" w:firstLineChars="200"/>
              <w:jc w:val="both"/>
              <w:rPr>
                <w:rFonts w:hint="default"/>
                <w:color w:val="auto"/>
                <w:sz w:val="24"/>
                <w:highlight w:val="none"/>
                <w:lang w:val="en-US" w:eastAsia="zh-CN"/>
              </w:rPr>
            </w:pPr>
            <w:r>
              <w:rPr>
                <w:rFonts w:hint="default"/>
                <w:color w:val="auto"/>
                <w:sz w:val="24"/>
                <w:highlight w:val="none"/>
                <w:lang w:val="en-US" w:eastAsia="zh-CN"/>
              </w:rPr>
              <w:t>由上表可以看出，环境影响报告表和审批意见提出的环保措施要求已在</w:t>
            </w:r>
            <w:r>
              <w:rPr>
                <w:rFonts w:hint="eastAsia"/>
                <w:color w:val="auto"/>
                <w:sz w:val="24"/>
                <w:highlight w:val="none"/>
                <w:lang w:val="en-US" w:eastAsia="zh-CN"/>
              </w:rPr>
              <w:t>已建设的</w:t>
            </w:r>
            <w:r>
              <w:rPr>
                <w:rFonts w:hint="default"/>
                <w:color w:val="auto"/>
                <w:sz w:val="24"/>
                <w:highlight w:val="none"/>
                <w:lang w:val="en-US" w:eastAsia="zh-CN"/>
              </w:rPr>
              <w:t>工程实</w:t>
            </w:r>
          </w:p>
          <w:p w14:paraId="221DD90B">
            <w:pPr>
              <w:pStyle w:val="29"/>
              <w:bidi w:val="0"/>
              <w:ind w:left="0" w:leftChars="0" w:firstLine="0" w:firstLineChars="0"/>
              <w:jc w:val="both"/>
              <w:rPr>
                <w:rFonts w:hint="default"/>
                <w:color w:val="auto"/>
                <w:sz w:val="24"/>
                <w:highlight w:val="none"/>
                <w:lang w:val="en-US" w:eastAsia="zh-CN"/>
              </w:rPr>
            </w:pPr>
            <w:r>
              <w:rPr>
                <w:rFonts w:hint="default"/>
                <w:color w:val="auto"/>
                <w:sz w:val="24"/>
                <w:highlight w:val="none"/>
                <w:lang w:val="en-US" w:eastAsia="zh-CN"/>
              </w:rPr>
              <w:t>际中得到落实。</w:t>
            </w:r>
          </w:p>
        </w:tc>
      </w:tr>
    </w:tbl>
    <w:p w14:paraId="5D9A9249">
      <w:pPr>
        <w:pStyle w:val="15"/>
        <w:widowControl w:val="0"/>
        <w:numPr>
          <w:ilvl w:val="0"/>
          <w:numId w:val="0"/>
        </w:numPr>
        <w:jc w:val="both"/>
      </w:pPr>
    </w:p>
    <w:tbl>
      <w:tblPr>
        <w:tblStyle w:val="23"/>
        <w:tblW w:w="5745"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9792"/>
      </w:tblGrid>
      <w:tr w14:paraId="71B6AC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3571" w:hRule="atLeast"/>
          <w:jc w:val="center"/>
        </w:trPr>
        <w:tc>
          <w:tcPr>
            <w:tcW w:w="5000" w:type="pct"/>
            <w:noWrap w:val="0"/>
            <w:vAlign w:val="top"/>
          </w:tcPr>
          <w:p w14:paraId="4F0F31D3">
            <w:pPr>
              <w:pStyle w:val="29"/>
              <w:bidi w:val="0"/>
              <w:ind w:left="0" w:leftChars="0" w:firstLine="0" w:firstLineChars="0"/>
              <w:jc w:val="both"/>
              <w:rPr>
                <w:rFonts w:hint="default"/>
                <w:b/>
                <w:bCs/>
                <w:color w:val="auto"/>
                <w:sz w:val="24"/>
                <w:highlight w:val="none"/>
                <w:lang w:val="en-US" w:eastAsia="zh-CN"/>
              </w:rPr>
            </w:pPr>
            <w:r>
              <w:rPr>
                <w:rFonts w:hint="default"/>
                <w:b/>
                <w:bCs/>
                <w:color w:val="auto"/>
                <w:sz w:val="24"/>
                <w:highlight w:val="none"/>
                <w:lang w:val="en-US" w:eastAsia="zh-CN"/>
              </w:rPr>
              <w:t>4.1 建设项目环境影响报告表主要结论（摘录）</w:t>
            </w:r>
          </w:p>
          <w:p w14:paraId="145404A8">
            <w:pPr>
              <w:pStyle w:val="29"/>
              <w:bidi w:val="0"/>
              <w:ind w:left="0" w:leftChars="0" w:firstLine="0" w:firstLineChars="0"/>
              <w:jc w:val="both"/>
              <w:rPr>
                <w:rFonts w:hint="eastAsia"/>
                <w:color w:val="000000" w:themeColor="text1"/>
                <w14:textFill>
                  <w14:solidFill>
                    <w14:schemeClr w14:val="tx1"/>
                  </w14:solidFill>
                </w14:textFill>
              </w:rPr>
            </w:pPr>
            <w:r>
              <w:rPr>
                <w:rFonts w:hint="eastAsia"/>
                <w:color w:val="000000" w:themeColor="text1"/>
                <w:lang w:eastAsia="zh-CN"/>
                <w14:textFill>
                  <w14:solidFill>
                    <w14:schemeClr w14:val="tx1"/>
                  </w14:solidFill>
                </w14:textFill>
              </w:rPr>
              <w:t>重庆创池再生资源回收有限公司</w:t>
            </w:r>
            <w:r>
              <w:rPr>
                <w:rFonts w:hint="eastAsia"/>
                <w:color w:val="000000" w:themeColor="text1"/>
                <w14:textFill>
                  <w14:solidFill>
                    <w14:schemeClr w14:val="tx1"/>
                  </w14:solidFill>
                </w14:textFill>
              </w:rPr>
              <w:t>:</w:t>
            </w:r>
          </w:p>
          <w:p w14:paraId="0039A997">
            <w:pPr>
              <w:pStyle w:val="29"/>
              <w:bidi w:val="0"/>
              <w:ind w:left="0" w:leftChars="0" w:firstLine="480" w:firstLineChars="200"/>
              <w:jc w:val="both"/>
              <w:rPr>
                <w:rFonts w:hint="default"/>
                <w:b/>
                <w:bCs/>
                <w:color w:val="auto"/>
                <w:sz w:val="24"/>
                <w:highlight w:val="none"/>
                <w:lang w:val="en-US" w:eastAsia="zh-CN"/>
              </w:rPr>
            </w:pPr>
            <w:r>
              <w:rPr>
                <w:rFonts w:hint="eastAsia"/>
                <w:color w:val="000000" w:themeColor="text1"/>
                <w14:textFill>
                  <w14:solidFill>
                    <w14:schemeClr w14:val="tx1"/>
                  </w14:solidFill>
                </w14:textFill>
              </w:rPr>
              <w:t>你单位报送的</w:t>
            </w:r>
            <w:r>
              <w:rPr>
                <w:rFonts w:hint="eastAsia"/>
                <w:color w:val="000000" w:themeColor="text1"/>
                <w:lang w:eastAsia="zh-CN"/>
                <w14:textFill>
                  <w14:solidFill>
                    <w14:schemeClr w14:val="tx1"/>
                  </w14:solidFill>
                </w14:textFill>
              </w:rPr>
              <w:t>创池危险废物集中收集转运项目</w:t>
            </w:r>
            <w:r>
              <w:rPr>
                <w:rFonts w:hint="eastAsia"/>
                <w:color w:val="000000" w:themeColor="text1"/>
                <w14:textFill>
                  <w14:solidFill>
                    <w14:schemeClr w14:val="tx1"/>
                  </w14:solidFill>
                </w14:textFill>
              </w:rPr>
              <w:t>(项目编码:2211-500236-04-05-913389)环境影响评价文件审批申请表及相关材料收悉，根据《中华人民共和国环境影响评价法》等法律法规的有关规定，我局原则同意重庆东驰环保工程有限公司(统一社会信用代码:91500101MAC8Y4CN7G)编制的项目环境影响报告表结论及其提出的环境保护措施。</w:t>
            </w:r>
            <w:r>
              <w:rPr>
                <w:rFonts w:hint="default"/>
                <w:b/>
                <w:bCs/>
                <w:color w:val="auto"/>
                <w:sz w:val="24"/>
                <w:highlight w:val="none"/>
                <w:lang w:val="en-US" w:eastAsia="zh-CN"/>
              </w:rPr>
              <w:t>4.2 环境保护行政主管部门的批复意见（摘录）</w:t>
            </w:r>
          </w:p>
          <w:p w14:paraId="72337085">
            <w:pPr>
              <w:pStyle w:val="29"/>
              <w:numPr>
                <w:ilvl w:val="0"/>
                <w:numId w:val="0"/>
              </w:numPr>
              <w:bidi w:val="0"/>
              <w:ind w:leftChars="200" w:firstLine="480" w:firstLineChars="200"/>
              <w:jc w:val="both"/>
              <w:rPr>
                <w:rFonts w:hint="default"/>
                <w:color w:val="auto"/>
                <w:sz w:val="24"/>
                <w:highlight w:val="none"/>
                <w:lang w:val="en-US" w:eastAsia="zh-CN"/>
              </w:rPr>
            </w:pPr>
            <w:r>
              <w:rPr>
                <w:rFonts w:hint="default"/>
                <w:color w:val="auto"/>
                <w:sz w:val="24"/>
                <w:highlight w:val="none"/>
                <w:lang w:val="en-US" w:eastAsia="zh-CN"/>
              </w:rPr>
              <w:t>重庆创池再生资源回收有限公司:</w:t>
            </w:r>
          </w:p>
          <w:p w14:paraId="688EC94E">
            <w:pPr>
              <w:pStyle w:val="29"/>
              <w:numPr>
                <w:ilvl w:val="0"/>
                <w:numId w:val="0"/>
              </w:numPr>
              <w:bidi w:val="0"/>
              <w:ind w:leftChars="200" w:firstLine="480" w:firstLineChars="200"/>
              <w:jc w:val="both"/>
              <w:rPr>
                <w:rFonts w:hint="default"/>
                <w:color w:val="auto"/>
                <w:sz w:val="24"/>
                <w:highlight w:val="none"/>
                <w:lang w:val="en-US" w:eastAsia="zh-CN"/>
              </w:rPr>
            </w:pPr>
            <w:r>
              <w:rPr>
                <w:rFonts w:hint="default"/>
                <w:color w:val="auto"/>
                <w:sz w:val="24"/>
                <w:highlight w:val="none"/>
                <w:lang w:val="en-US" w:eastAsia="zh-CN"/>
              </w:rPr>
              <w:t>你公司报送的创池危险废物集中收集转运项目(项目代码:2506-500101-04-05-280381)环境影响评价文件审批申请表及相关材料收悉。经研究，现审批如下。</w:t>
            </w:r>
          </w:p>
          <w:p w14:paraId="2FC5B570">
            <w:pPr>
              <w:pStyle w:val="29"/>
              <w:numPr>
                <w:ilvl w:val="0"/>
                <w:numId w:val="0"/>
              </w:numPr>
              <w:bidi w:val="0"/>
              <w:ind w:leftChars="200" w:firstLine="480" w:firstLineChars="200"/>
              <w:jc w:val="both"/>
              <w:rPr>
                <w:rFonts w:hint="default"/>
                <w:color w:val="auto"/>
                <w:sz w:val="24"/>
                <w:highlight w:val="none"/>
                <w:lang w:val="en-US" w:eastAsia="zh-CN"/>
              </w:rPr>
            </w:pPr>
            <w:r>
              <w:rPr>
                <w:rFonts w:hint="default"/>
                <w:color w:val="auto"/>
                <w:sz w:val="24"/>
                <w:highlight w:val="none"/>
                <w:lang w:val="en-US" w:eastAsia="zh-CN"/>
              </w:rPr>
              <w:t>一、项目的建设内容和规模:</w:t>
            </w:r>
          </w:p>
          <w:p w14:paraId="1AC6188A">
            <w:pPr>
              <w:pStyle w:val="29"/>
              <w:numPr>
                <w:ilvl w:val="0"/>
                <w:numId w:val="0"/>
              </w:numPr>
              <w:bidi w:val="0"/>
              <w:ind w:leftChars="200" w:firstLine="480" w:firstLineChars="200"/>
              <w:jc w:val="both"/>
              <w:rPr>
                <w:rFonts w:hint="default"/>
                <w:color w:val="auto"/>
                <w:sz w:val="24"/>
                <w:highlight w:val="none"/>
                <w:lang w:val="en-US" w:eastAsia="zh-CN"/>
              </w:rPr>
            </w:pPr>
            <w:r>
              <w:rPr>
                <w:rFonts w:hint="default"/>
                <w:color w:val="auto"/>
                <w:sz w:val="24"/>
                <w:highlight w:val="none"/>
                <w:lang w:val="en-US" w:eastAsia="zh-CN"/>
              </w:rPr>
              <w:t>一、根据《中华人民共和国环境影响评价法》等法律法规的有关规定，我局原则同意重庆东驰环保工程有限公司编制的《重庆创池再生资源回收有限公司创池危险废物集中收集转运项目环境影响报告表》结论和提出的生态环境保护措施。二、项目主要建设内容为:拟建项目位于万州经开区天子园(重庆长安跨越厂区内)，租用园区标准厂房662.74m2，建设废铅蓄电池贮存仓库(不含废铅蓄电池处置)，危险废物贮存设施面积530.97m2，设置两个贮存区，其中贮存一区设置为未破损废铅蓄电池贮存区，贮存二区设置为破损废铅蓄电池贮存区，贮存设施最大储存废铅蓄电池25吨，年收集转运废铅蓄电池1000吨。项目总投资500万元，其中环保投资50万元。</w:t>
            </w:r>
          </w:p>
          <w:p w14:paraId="75772635">
            <w:pPr>
              <w:pStyle w:val="29"/>
              <w:numPr>
                <w:ilvl w:val="0"/>
                <w:numId w:val="0"/>
              </w:numPr>
              <w:bidi w:val="0"/>
              <w:ind w:leftChars="200" w:firstLine="480" w:firstLineChars="200"/>
              <w:jc w:val="both"/>
              <w:rPr>
                <w:rFonts w:hint="default"/>
                <w:color w:val="auto"/>
                <w:sz w:val="24"/>
                <w:highlight w:val="none"/>
                <w:lang w:val="en-US" w:eastAsia="zh-CN"/>
              </w:rPr>
            </w:pPr>
            <w:r>
              <w:rPr>
                <w:rFonts w:hint="default"/>
                <w:color w:val="auto"/>
                <w:sz w:val="24"/>
                <w:highlight w:val="none"/>
                <w:lang w:val="en-US" w:eastAsia="zh-CN"/>
              </w:rPr>
              <w:t>三、项目建设与运营管理中，必须认真落实《环境影响报告表》提出的各项污染防治措施及环境风险防范措施，实施清洁生产，减少污染物产生和排放，重点应做好以下工作:(一)加强大气污染防治。贮存二区采取密闭设置，产生的废气经抽风系统收集引入喷淋塔(生石灰+水)处理，硫酸雾满足《大气污染物综合排放标准》(DB50/418-2016)要求，臭气浓度满足《恶臭污染物排放标准》(GB14554-93)要求后，通过15m高排气筒排放。加强通风换气;项目以贮存设施边界外扩50m设置为环境防护距离，该范围位于园区规划范围内。</w:t>
            </w:r>
          </w:p>
          <w:p w14:paraId="65A7BD0A">
            <w:pPr>
              <w:pStyle w:val="29"/>
              <w:numPr>
                <w:ilvl w:val="0"/>
                <w:numId w:val="0"/>
              </w:numPr>
              <w:bidi w:val="0"/>
              <w:ind w:leftChars="200" w:firstLine="480" w:firstLineChars="200"/>
              <w:jc w:val="both"/>
              <w:rPr>
                <w:rFonts w:hint="default"/>
                <w:color w:val="auto"/>
                <w:sz w:val="24"/>
                <w:highlight w:val="none"/>
                <w:lang w:val="en-US" w:eastAsia="zh-CN"/>
              </w:rPr>
            </w:pPr>
            <w:r>
              <w:rPr>
                <w:rFonts w:hint="default"/>
                <w:color w:val="auto"/>
                <w:sz w:val="24"/>
                <w:highlight w:val="none"/>
                <w:lang w:val="en-US" w:eastAsia="zh-CN"/>
              </w:rPr>
              <w:t>(二)落实废水处理措施。项目无生产废水排放，地面及拖布清洗废水收集后作危险废物管理，不外排。生活污水依托厂房已建生化池处理达《污水综合排放标准》(GB8978-1996)三级标准后排入申明坝污水处理厂进一步处理</w:t>
            </w:r>
          </w:p>
          <w:p w14:paraId="3C27A935">
            <w:pPr>
              <w:pStyle w:val="29"/>
              <w:numPr>
                <w:ilvl w:val="0"/>
                <w:numId w:val="0"/>
              </w:numPr>
              <w:bidi w:val="0"/>
              <w:ind w:leftChars="200" w:firstLine="480" w:firstLineChars="200"/>
              <w:jc w:val="both"/>
              <w:rPr>
                <w:rFonts w:hint="default"/>
                <w:color w:val="auto"/>
                <w:sz w:val="24"/>
                <w:highlight w:val="none"/>
                <w:lang w:val="en-US" w:eastAsia="zh-CN"/>
              </w:rPr>
            </w:pPr>
            <w:r>
              <w:rPr>
                <w:rFonts w:hint="default"/>
                <w:color w:val="auto"/>
                <w:sz w:val="24"/>
                <w:highlight w:val="none"/>
                <w:lang w:val="en-US" w:eastAsia="zh-CN"/>
              </w:rPr>
              <w:t>(三)做好噪声防治工作。选用低噪声设备，合理布局，并采取减振、隔声、消声等降噪措施，确保厂界噪声达到《工业企业厂界环境噪声排放标准》(GB12348-2008)3类标准。</w:t>
            </w:r>
          </w:p>
          <w:p w14:paraId="02898474">
            <w:pPr>
              <w:pStyle w:val="29"/>
              <w:numPr>
                <w:ilvl w:val="0"/>
                <w:numId w:val="0"/>
              </w:numPr>
              <w:bidi w:val="0"/>
              <w:ind w:leftChars="200" w:firstLine="480" w:firstLineChars="200"/>
              <w:jc w:val="both"/>
              <w:rPr>
                <w:rFonts w:hint="default"/>
                <w:color w:val="auto"/>
                <w:sz w:val="24"/>
                <w:highlight w:val="none"/>
                <w:lang w:val="en-US" w:eastAsia="zh-CN"/>
              </w:rPr>
            </w:pPr>
            <w:r>
              <w:rPr>
                <w:rFonts w:hint="default"/>
                <w:color w:val="auto"/>
                <w:sz w:val="24"/>
                <w:highlight w:val="none"/>
                <w:lang w:val="en-US" w:eastAsia="zh-CN"/>
              </w:rPr>
              <w:t>(四)妥善处理固体废物。实施分类收集和处置，做到“减量化、资源化、无害化”。生活垃圾分类收集后交由环卫部门清运;项目收集贮存的废铅蓄电池和产生的危险废物按规定交有危险废物处理资质的单位处置。危险废物厂内贮存应符合《危险废物贮存污染控制标准》(GB18597-2023)要求，转移危险废物应符合《危险废物转移管理办法》要求。企业委托他人运输、利用、处置危险废物时，应当对受托方的主体资格和技术能力进行核实，依法签订书面合同，并在合同中约定污染防治要求及相关责任。拟建项目应依法取得危险废物经营许可。</w:t>
            </w:r>
          </w:p>
          <w:p w14:paraId="77AA2228">
            <w:pPr>
              <w:pStyle w:val="29"/>
              <w:numPr>
                <w:ilvl w:val="0"/>
                <w:numId w:val="0"/>
              </w:numPr>
              <w:bidi w:val="0"/>
              <w:ind w:leftChars="200" w:firstLine="480" w:firstLineChars="200"/>
              <w:jc w:val="both"/>
              <w:rPr>
                <w:rFonts w:hint="default"/>
                <w:color w:val="auto"/>
                <w:sz w:val="24"/>
                <w:highlight w:val="none"/>
                <w:lang w:val="en-US" w:eastAsia="zh-CN"/>
              </w:rPr>
            </w:pPr>
            <w:r>
              <w:rPr>
                <w:rFonts w:hint="default"/>
                <w:color w:val="auto"/>
                <w:sz w:val="24"/>
                <w:highlight w:val="none"/>
                <w:lang w:val="en-US" w:eastAsia="zh-CN"/>
              </w:rPr>
              <w:t>(五)强化环境风险防范。项目在工程设计、建设和管理中应严格执行国家相关安全规范和要求，落实各项环境风险防范措施。按环评要求设置围堰、截流沟和1座容积35m3事故池，截流沟采取可视化设计，并与事故池连通;配备报警系统、消防器材和应急物资;贮存设施地面及裙角、挡水线、事故池、截流沟、装卸区、危废贮存点等落实重点防腐防渗措施，贮存二区危险废物在托盘内贮存;制定突发环境事件应急预案并备案，开展应急培训与演练。加强环境风险管理，杜绝环境风险事故发生。</w:t>
            </w:r>
          </w:p>
          <w:p w14:paraId="224FC4CE">
            <w:pPr>
              <w:pStyle w:val="29"/>
              <w:numPr>
                <w:ilvl w:val="0"/>
                <w:numId w:val="0"/>
              </w:numPr>
              <w:bidi w:val="0"/>
              <w:ind w:leftChars="200" w:firstLine="480" w:firstLineChars="200"/>
              <w:jc w:val="both"/>
              <w:rPr>
                <w:rFonts w:hint="default"/>
                <w:color w:val="auto"/>
                <w:sz w:val="24"/>
                <w:highlight w:val="none"/>
                <w:lang w:val="en-US" w:eastAsia="zh-CN"/>
              </w:rPr>
            </w:pPr>
            <w:r>
              <w:rPr>
                <w:rFonts w:hint="default"/>
                <w:color w:val="auto"/>
                <w:sz w:val="24"/>
                <w:highlight w:val="none"/>
                <w:lang w:val="en-US" w:eastAsia="zh-CN"/>
              </w:rPr>
              <w:t>(六)执行排污总量控制。项目废水污染物化学需氧量、氨氮排放总量分别为0.0287吨/年、0.0055吨/年。</w:t>
            </w:r>
          </w:p>
          <w:p w14:paraId="68324FC0">
            <w:pPr>
              <w:pStyle w:val="29"/>
              <w:numPr>
                <w:ilvl w:val="0"/>
                <w:numId w:val="0"/>
              </w:numPr>
              <w:bidi w:val="0"/>
              <w:ind w:leftChars="200" w:firstLine="480" w:firstLineChars="200"/>
              <w:jc w:val="both"/>
              <w:rPr>
                <w:rFonts w:hint="default"/>
                <w:color w:val="auto"/>
                <w:sz w:val="24"/>
                <w:highlight w:val="none"/>
                <w:lang w:val="en-US" w:eastAsia="zh-CN"/>
              </w:rPr>
            </w:pPr>
            <w:r>
              <w:rPr>
                <w:rFonts w:hint="default"/>
                <w:color w:val="auto"/>
                <w:sz w:val="24"/>
                <w:highlight w:val="none"/>
                <w:lang w:val="en-US" w:eastAsia="zh-CN"/>
              </w:rPr>
              <w:t>(七)建立企业内部生态环境管理机构和管理制度，明确人员和职责，严格落实环评提出的环境管理要求和自行监测计划。项目的环保日常监督管理由万州经开区应急环保局和重庆市万州区生态环境保护综合行政执法支队按照有关职责实施。</w:t>
            </w:r>
          </w:p>
          <w:p w14:paraId="3F56298B">
            <w:pPr>
              <w:pStyle w:val="29"/>
              <w:numPr>
                <w:ilvl w:val="0"/>
                <w:numId w:val="0"/>
              </w:numPr>
              <w:bidi w:val="0"/>
              <w:ind w:leftChars="200" w:firstLine="480" w:firstLineChars="200"/>
              <w:jc w:val="both"/>
              <w:rPr>
                <w:rFonts w:hint="default"/>
                <w:color w:val="auto"/>
                <w:sz w:val="24"/>
                <w:highlight w:val="none"/>
                <w:lang w:val="en-US" w:eastAsia="zh-CN"/>
              </w:rPr>
            </w:pPr>
            <w:r>
              <w:rPr>
                <w:rFonts w:hint="default"/>
                <w:color w:val="auto"/>
                <w:sz w:val="24"/>
                <w:highlight w:val="none"/>
                <w:lang w:val="en-US" w:eastAsia="zh-CN"/>
              </w:rPr>
              <w:t>四、项目建设必须严格执行环境保护设施与主体工程同时设计、同时施工、同时投入使用的环境保护“三同时”制度。项目投入运行前，及时向我局申请排污许可，不得无证排污或不按证排污。项目竣工后，应按照《建设项目竣工环境保护验收暂行办法》等规定对环境保护设施进行验收，编制验收报告并依法向社会公开验收报告，公示期满5个工作日内，登录全国建设项目竣工环境保护验收信息平台，填报验收等相关信息。</w:t>
            </w:r>
          </w:p>
          <w:p w14:paraId="52E09EC3">
            <w:pPr>
              <w:pStyle w:val="29"/>
              <w:numPr>
                <w:ilvl w:val="0"/>
                <w:numId w:val="0"/>
              </w:numPr>
              <w:bidi w:val="0"/>
              <w:ind w:leftChars="200" w:firstLine="480" w:firstLineChars="200"/>
              <w:jc w:val="both"/>
              <w:rPr>
                <w:rFonts w:hint="default"/>
                <w:color w:val="auto"/>
                <w:sz w:val="24"/>
                <w:highlight w:val="none"/>
                <w:lang w:val="en-US" w:eastAsia="zh-CN"/>
              </w:rPr>
            </w:pPr>
            <w:r>
              <w:rPr>
                <w:rFonts w:hint="default"/>
                <w:color w:val="auto"/>
                <w:sz w:val="24"/>
                <w:highlight w:val="none"/>
                <w:lang w:val="en-US" w:eastAsia="zh-CN"/>
              </w:rPr>
              <w:t>五、项目的性质、规模、地点、采用的生产工艺或者防治污染、防止生态破坏的措施发生重大变动的，你公司应当重新报批该项目的环境影响评价文件。</w:t>
            </w:r>
          </w:p>
          <w:p w14:paraId="50BC4125">
            <w:pPr>
              <w:pStyle w:val="29"/>
              <w:numPr>
                <w:ilvl w:val="0"/>
                <w:numId w:val="0"/>
              </w:numPr>
              <w:bidi w:val="0"/>
              <w:ind w:leftChars="200" w:firstLine="480" w:firstLineChars="200"/>
              <w:jc w:val="both"/>
              <w:rPr>
                <w:rFonts w:hint="default"/>
                <w:color w:val="auto"/>
                <w:sz w:val="24"/>
                <w:highlight w:val="none"/>
                <w:lang w:val="en-US" w:eastAsia="zh-CN"/>
              </w:rPr>
            </w:pPr>
            <w:r>
              <w:rPr>
                <w:rFonts w:hint="default"/>
                <w:color w:val="auto"/>
                <w:sz w:val="24"/>
                <w:highlight w:val="none"/>
                <w:lang w:val="en-US" w:eastAsia="zh-CN"/>
              </w:rPr>
              <w:t>六、若项目实施或运行后，国家和重庆市提出新的环境管控要求，或发布更加严格的污染物排放标准，你公司有义务采取有效的改进措施确保项目满足新的环境保护管理规定。</w:t>
            </w:r>
          </w:p>
        </w:tc>
      </w:tr>
    </w:tbl>
    <w:p w14:paraId="3E08E526">
      <w:pPr>
        <w:pStyle w:val="15"/>
        <w:widowControl w:val="0"/>
        <w:numPr>
          <w:ilvl w:val="0"/>
          <w:numId w:val="0"/>
        </w:numPr>
        <w:jc w:val="both"/>
      </w:pPr>
    </w:p>
    <w:tbl>
      <w:tblPr>
        <w:tblStyle w:val="23"/>
        <w:tblW w:w="5745"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9792"/>
      </w:tblGrid>
      <w:tr w14:paraId="48BB17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3571" w:hRule="atLeast"/>
          <w:jc w:val="center"/>
        </w:trPr>
        <w:tc>
          <w:tcPr>
            <w:tcW w:w="5000" w:type="pct"/>
            <w:noWrap w:val="0"/>
            <w:vAlign w:val="top"/>
          </w:tcPr>
          <w:p w14:paraId="73AC5A0E">
            <w:pPr>
              <w:pStyle w:val="29"/>
              <w:bidi w:val="0"/>
              <w:ind w:left="0" w:leftChars="0" w:firstLine="482" w:firstLineChars="200"/>
              <w:jc w:val="both"/>
              <w:rPr>
                <w:rFonts w:hint="default"/>
                <w:b/>
                <w:bCs/>
                <w:color w:val="auto"/>
                <w:sz w:val="24"/>
                <w:highlight w:val="none"/>
                <w:lang w:val="en-US" w:eastAsia="zh-CN"/>
              </w:rPr>
            </w:pPr>
            <w:r>
              <w:rPr>
                <w:rFonts w:hint="default"/>
                <w:b/>
                <w:bCs/>
                <w:color w:val="auto"/>
                <w:sz w:val="24"/>
                <w:highlight w:val="none"/>
                <w:lang w:val="en-US" w:eastAsia="zh-CN"/>
              </w:rPr>
              <w:t>5 验收监测质量保证及质量控制</w:t>
            </w:r>
          </w:p>
          <w:p w14:paraId="4AC19BB9">
            <w:pPr>
              <w:pStyle w:val="29"/>
              <w:bidi w:val="0"/>
              <w:ind w:left="0" w:leftChars="0" w:firstLine="482" w:firstLineChars="200"/>
              <w:jc w:val="both"/>
              <w:rPr>
                <w:rFonts w:hint="default"/>
                <w:b/>
                <w:bCs/>
                <w:color w:val="auto"/>
                <w:sz w:val="24"/>
                <w:highlight w:val="none"/>
                <w:lang w:val="en-US" w:eastAsia="zh-CN"/>
              </w:rPr>
            </w:pPr>
            <w:r>
              <w:rPr>
                <w:rFonts w:hint="default"/>
                <w:b/>
                <w:bCs/>
                <w:color w:val="auto"/>
                <w:sz w:val="24"/>
                <w:highlight w:val="none"/>
                <w:lang w:val="en-US" w:eastAsia="zh-CN"/>
              </w:rPr>
              <w:t>5.1 监测分析方法</w:t>
            </w:r>
          </w:p>
          <w:p w14:paraId="18D98CA4">
            <w:pPr>
              <w:pStyle w:val="29"/>
              <w:bidi w:val="0"/>
              <w:ind w:left="0" w:leftChars="0" w:firstLine="480" w:firstLineChars="200"/>
              <w:jc w:val="both"/>
              <w:rPr>
                <w:rFonts w:hint="default"/>
                <w:color w:val="auto"/>
                <w:sz w:val="24"/>
                <w:highlight w:val="none"/>
                <w:lang w:val="en-US" w:eastAsia="zh-CN"/>
              </w:rPr>
            </w:pPr>
            <w:r>
              <w:rPr>
                <w:rFonts w:hint="default"/>
                <w:color w:val="auto"/>
                <w:sz w:val="24"/>
                <w:highlight w:val="none"/>
                <w:lang w:val="en-US" w:eastAsia="zh-CN"/>
              </w:rPr>
              <w:t>按国家污染物排放标准和环境质量标准要求，优先选用国家环境监测分析方法标准方法；对国内目前尚未建立标准分析方法的污染物，可参考使用国内（外）现行的标准分析方法。分析方法应能满足评价标准要求。</w:t>
            </w:r>
          </w:p>
          <w:p w14:paraId="74FC685A">
            <w:pPr>
              <w:pStyle w:val="29"/>
              <w:bidi w:val="0"/>
              <w:ind w:left="0" w:leftChars="0" w:firstLine="480" w:firstLineChars="200"/>
              <w:jc w:val="both"/>
              <w:rPr>
                <w:rFonts w:hint="default"/>
                <w:color w:val="auto"/>
                <w:sz w:val="24"/>
                <w:highlight w:val="none"/>
                <w:lang w:val="en-US" w:eastAsia="zh-CN"/>
              </w:rPr>
            </w:pPr>
            <w:r>
              <w:rPr>
                <w:rFonts w:hint="default"/>
                <w:color w:val="auto"/>
                <w:sz w:val="24"/>
                <w:highlight w:val="none"/>
                <w:lang w:val="en-US" w:eastAsia="zh-CN"/>
              </w:rPr>
              <w:t>本项</w:t>
            </w:r>
            <w:r>
              <w:rPr>
                <w:rFonts w:hint="eastAsia"/>
                <w:color w:val="auto"/>
                <w:sz w:val="24"/>
                <w:highlight w:val="none"/>
                <w:lang w:val="en-US" w:eastAsia="zh-CN"/>
              </w:rPr>
              <w:t>监测</w:t>
            </w:r>
            <w:r>
              <w:rPr>
                <w:rFonts w:hint="default"/>
                <w:color w:val="auto"/>
                <w:sz w:val="24"/>
                <w:highlight w:val="none"/>
                <w:lang w:val="en-US" w:eastAsia="zh-CN"/>
              </w:rPr>
              <w:t>测方法依据及仪器见表 5-1。</w:t>
            </w:r>
          </w:p>
          <w:p w14:paraId="3184BF74">
            <w:pPr>
              <w:pStyle w:val="29"/>
              <w:bidi w:val="0"/>
              <w:ind w:left="0" w:leftChars="0" w:firstLine="480" w:firstLineChars="200"/>
              <w:jc w:val="both"/>
              <w:rPr>
                <w:rFonts w:hint="default"/>
                <w:color w:val="auto"/>
                <w:sz w:val="24"/>
                <w:highlight w:val="none"/>
                <w:lang w:val="en-US" w:eastAsia="zh-CN"/>
              </w:rPr>
            </w:pPr>
            <w:r>
              <w:drawing>
                <wp:inline distT="0" distB="0" distL="114300" distR="114300">
                  <wp:extent cx="5238750" cy="3609975"/>
                  <wp:effectExtent l="0" t="0" r="0" b="9525"/>
                  <wp:docPr id="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pic:cNvPicPr>
                            <a:picLocks noChangeAspect="1"/>
                          </pic:cNvPicPr>
                        </pic:nvPicPr>
                        <pic:blipFill>
                          <a:blip r:embed="rId9"/>
                          <a:stretch>
                            <a:fillRect/>
                          </a:stretch>
                        </pic:blipFill>
                        <pic:spPr>
                          <a:xfrm>
                            <a:off x="0" y="0"/>
                            <a:ext cx="5238750" cy="3609975"/>
                          </a:xfrm>
                          <a:prstGeom prst="rect">
                            <a:avLst/>
                          </a:prstGeom>
                          <a:noFill/>
                          <a:ln>
                            <a:noFill/>
                          </a:ln>
                        </pic:spPr>
                      </pic:pic>
                    </a:graphicData>
                  </a:graphic>
                </wp:inline>
              </w:drawing>
            </w:r>
          </w:p>
          <w:p w14:paraId="52E81F61">
            <w:pPr>
              <w:pStyle w:val="29"/>
              <w:bidi w:val="0"/>
              <w:ind w:left="0" w:leftChars="0" w:firstLine="0" w:firstLineChars="0"/>
              <w:rPr>
                <w:rFonts w:hint="eastAsia" w:ascii="Times New Roman" w:hAnsi="Times New Roman" w:eastAsia="宋体" w:cs="Times New Roman"/>
                <w:b/>
                <w:bCs/>
                <w:color w:val="000000" w:themeColor="text1"/>
                <w:sz w:val="24"/>
                <w:lang w:val="en-US" w:eastAsia="zh-CN"/>
                <w14:textFill>
                  <w14:solidFill>
                    <w14:schemeClr w14:val="tx1"/>
                  </w14:solidFill>
                </w14:textFill>
              </w:rPr>
            </w:pPr>
            <w:r>
              <w:rPr>
                <w:rFonts w:hint="eastAsia" w:ascii="Times New Roman" w:hAnsi="Times New Roman" w:eastAsia="宋体" w:cs="Times New Roman"/>
                <w:b/>
                <w:bCs/>
                <w:color w:val="000000" w:themeColor="text1"/>
                <w:sz w:val="24"/>
                <w:lang w:val="en-US" w:eastAsia="zh-CN"/>
                <w14:textFill>
                  <w14:solidFill>
                    <w14:schemeClr w14:val="tx1"/>
                  </w14:solidFill>
                </w14:textFill>
              </w:rPr>
              <w:t>5.2 监测</w:t>
            </w:r>
            <w:r>
              <w:rPr>
                <w:rFonts w:hint="eastAsia" w:cs="Times New Roman"/>
                <w:b/>
                <w:bCs/>
                <w:color w:val="000000" w:themeColor="text1"/>
                <w:sz w:val="24"/>
                <w:lang w:val="en-US" w:eastAsia="zh-CN"/>
                <w14:textFill>
                  <w14:solidFill>
                    <w14:schemeClr w14:val="tx1"/>
                  </w14:solidFill>
                </w14:textFill>
              </w:rPr>
              <w:t>时间</w:t>
            </w:r>
          </w:p>
          <w:p w14:paraId="728585F1">
            <w:pPr>
              <w:pStyle w:val="29"/>
              <w:bidi w:val="0"/>
              <w:ind w:left="0" w:leftChars="0" w:firstLine="0" w:firstLineChars="0"/>
              <w:rPr>
                <w:rFonts w:hint="default" w:ascii="Times New Roman" w:hAnsi="Times New Roman" w:eastAsia="宋体" w:cs="Times New Roman"/>
                <w:b/>
                <w:bCs/>
                <w:color w:val="000000" w:themeColor="text1"/>
                <w:sz w:val="24"/>
                <w:lang w:val="en-US" w:eastAsia="zh-CN"/>
                <w14:textFill>
                  <w14:solidFill>
                    <w14:schemeClr w14:val="tx1"/>
                  </w14:solidFill>
                </w14:textFill>
              </w:rPr>
            </w:pPr>
            <w:r>
              <w:rPr>
                <w:rFonts w:hint="default" w:ascii="Times New Roman" w:hAnsi="Times New Roman" w:eastAsia="宋体" w:cs="Times New Roman"/>
                <w:b/>
                <w:bCs/>
                <w:color w:val="000000" w:themeColor="text1"/>
                <w:sz w:val="24"/>
                <w:lang w:val="en-US" w:eastAsia="zh-CN"/>
                <w14:textFill>
                  <w14:solidFill>
                    <w14:schemeClr w14:val="tx1"/>
                  </w14:solidFill>
                </w14:textFill>
              </w:rPr>
              <w:t>5.3 质量保证和质量控制</w:t>
            </w:r>
          </w:p>
          <w:p w14:paraId="78DEEEE8">
            <w:pPr>
              <w:pStyle w:val="29"/>
              <w:bidi w:val="0"/>
              <w:ind w:left="0" w:leftChars="0" w:firstLine="480" w:firstLineChars="200"/>
              <w:rPr>
                <w:rFonts w:hint="default" w:ascii="Times New Roman" w:hAnsi="Times New Roman" w:eastAsia="宋体" w:cs="Times New Roman"/>
                <w:color w:val="000000" w:themeColor="text1"/>
                <w:sz w:val="24"/>
                <w:lang w:val="en-US" w:eastAsia="zh-CN"/>
                <w14:textFill>
                  <w14:solidFill>
                    <w14:schemeClr w14:val="tx1"/>
                  </w14:solidFill>
                </w14:textFill>
              </w:rPr>
            </w:pPr>
            <w:r>
              <w:rPr>
                <w:rFonts w:hint="default" w:ascii="Times New Roman" w:hAnsi="Times New Roman" w:eastAsia="宋体" w:cs="Times New Roman"/>
                <w:color w:val="000000" w:themeColor="text1"/>
                <w:sz w:val="24"/>
                <w:lang w:val="en-US" w:eastAsia="zh-CN"/>
                <w14:textFill>
                  <w14:solidFill>
                    <w14:schemeClr w14:val="tx1"/>
                  </w14:solidFill>
                </w14:textFill>
              </w:rPr>
              <w:t>监测过程中的质量保证措施按国家环境保护总局颁发的《环境监测质量管理规定》和《环境监测质量管理技术导则》（HJ630-2011）的要求进行，实施全过程质量保证。保证了监测过程中生产工况负荷满足验收监测技术规范要求和各监测点位布置的科学性和可比性；监测分析方法采用国家有关部门颁布的标准（或推荐）分析方法，监测人员经过考核并持有合格证书；监测数据实行了三级审核制度。</w:t>
            </w:r>
          </w:p>
          <w:p w14:paraId="72EA39A4">
            <w:pPr>
              <w:pStyle w:val="29"/>
              <w:bidi w:val="0"/>
              <w:ind w:left="0" w:leftChars="0" w:firstLine="480" w:firstLineChars="200"/>
              <w:rPr>
                <w:rFonts w:hint="default" w:ascii="Times New Roman" w:hAnsi="Times New Roman" w:eastAsia="宋体" w:cs="Times New Roman"/>
                <w:color w:val="000000" w:themeColor="text1"/>
                <w:sz w:val="24"/>
                <w:lang w:val="en-US" w:eastAsia="zh-CN"/>
                <w14:textFill>
                  <w14:solidFill>
                    <w14:schemeClr w14:val="tx1"/>
                  </w14:solidFill>
                </w14:textFill>
              </w:rPr>
            </w:pPr>
            <w:r>
              <w:rPr>
                <w:rFonts w:hint="default" w:ascii="Times New Roman" w:hAnsi="Times New Roman" w:eastAsia="宋体" w:cs="Times New Roman"/>
                <w:color w:val="000000" w:themeColor="text1"/>
                <w:sz w:val="24"/>
                <w:lang w:val="en-US" w:eastAsia="zh-CN"/>
                <w14:textFill>
                  <w14:solidFill>
                    <w14:schemeClr w14:val="tx1"/>
                  </w14:solidFill>
                </w14:textFill>
              </w:rPr>
              <w:t>1、监测分析方法采用国家和行业标准分析方法，监测人员经过持证上岗考核并持有合格证书，所用监测仪器设备状态正常且均在有效检定周期内。</w:t>
            </w:r>
          </w:p>
          <w:p w14:paraId="463CE996">
            <w:pPr>
              <w:pStyle w:val="29"/>
              <w:bidi w:val="0"/>
              <w:ind w:left="0" w:leftChars="0" w:firstLine="480" w:firstLineChars="200"/>
              <w:rPr>
                <w:rFonts w:hint="default" w:ascii="Times New Roman" w:hAnsi="Times New Roman" w:eastAsia="宋体" w:cs="Times New Roman"/>
                <w:color w:val="000000" w:themeColor="text1"/>
                <w:sz w:val="24"/>
                <w:lang w:val="en-US" w:eastAsia="zh-CN"/>
                <w14:textFill>
                  <w14:solidFill>
                    <w14:schemeClr w14:val="tx1"/>
                  </w14:solidFill>
                </w14:textFill>
              </w:rPr>
            </w:pPr>
            <w:r>
              <w:rPr>
                <w:rFonts w:hint="default" w:ascii="Times New Roman" w:hAnsi="Times New Roman" w:eastAsia="宋体" w:cs="Times New Roman"/>
                <w:color w:val="000000" w:themeColor="text1"/>
                <w:sz w:val="24"/>
                <w:lang w:val="en-US" w:eastAsia="zh-CN"/>
                <w14:textFill>
                  <w14:solidFill>
                    <w14:schemeClr w14:val="tx1"/>
                  </w14:solidFill>
                </w14:textFill>
              </w:rPr>
              <w:t>2、采样期间保证在生产工况稳定，生产负荷达 75%以上；采样前后对采样仪器及设备进行校准和检查，气态样品现场测试前，有证标准物质校准，并按照国家标准、技术规范和质量保证的要求进行全过程质量控制。</w:t>
            </w:r>
          </w:p>
          <w:p w14:paraId="64B77ED0">
            <w:pPr>
              <w:pStyle w:val="29"/>
              <w:bidi w:val="0"/>
              <w:ind w:left="0" w:leftChars="0" w:firstLine="480" w:firstLineChars="200"/>
              <w:rPr>
                <w:rFonts w:hint="default" w:ascii="Times New Roman" w:hAnsi="Times New Roman" w:eastAsia="宋体" w:cs="Times New Roman"/>
                <w:color w:val="000000" w:themeColor="text1"/>
                <w:sz w:val="24"/>
                <w:lang w:val="en-US" w:eastAsia="zh-CN"/>
                <w14:textFill>
                  <w14:solidFill>
                    <w14:schemeClr w14:val="tx1"/>
                  </w14:solidFill>
                </w14:textFill>
              </w:rPr>
            </w:pPr>
            <w:r>
              <w:rPr>
                <w:rFonts w:hint="default" w:ascii="Times New Roman" w:hAnsi="Times New Roman" w:eastAsia="宋体" w:cs="Times New Roman"/>
                <w:color w:val="000000" w:themeColor="text1"/>
                <w:sz w:val="24"/>
                <w:lang w:val="en-US" w:eastAsia="zh-CN"/>
                <w14:textFill>
                  <w14:solidFill>
                    <w14:schemeClr w14:val="tx1"/>
                  </w14:solidFill>
                </w14:textFill>
              </w:rPr>
              <w:t>3、在监测期间，样品采集、运输、保存均按照环境保护部发布的《环境监测质量管理技术导则》（HJ630-2011）的要求进行。</w:t>
            </w:r>
          </w:p>
          <w:p w14:paraId="55D83611">
            <w:pPr>
              <w:pStyle w:val="29"/>
              <w:bidi w:val="0"/>
              <w:ind w:left="0" w:leftChars="0" w:firstLine="480" w:firstLineChars="200"/>
              <w:rPr>
                <w:rFonts w:hint="default"/>
                <w:color w:val="auto"/>
                <w:sz w:val="24"/>
                <w:highlight w:val="none"/>
                <w:lang w:val="en-US" w:eastAsia="zh-CN"/>
              </w:rPr>
            </w:pPr>
            <w:r>
              <w:rPr>
                <w:rFonts w:hint="default" w:ascii="Times New Roman" w:hAnsi="Times New Roman" w:eastAsia="宋体" w:cs="Times New Roman"/>
                <w:color w:val="000000" w:themeColor="text1"/>
                <w:sz w:val="24"/>
                <w:lang w:val="en-US" w:eastAsia="zh-CN"/>
                <w14:textFill>
                  <w14:solidFill>
                    <w14:schemeClr w14:val="tx1"/>
                  </w14:solidFill>
                </w14:textFill>
              </w:rPr>
              <w:t>4、水样的采集、运输、保存、实验室分析和数据计算的全过程均按《环境水质监测质量保证手册》（第四版）的要求进行。采样过程中应采集一定比例的平行样；实验室分析过程一般应使用标准物质、采用空白试验、平行样测定、加标回收率测定等，并对质控数据分析，附质控数据分析表。</w:t>
            </w:r>
          </w:p>
        </w:tc>
      </w:tr>
    </w:tbl>
    <w:p w14:paraId="0BC49603">
      <w:pPr>
        <w:pStyle w:val="15"/>
        <w:widowControl w:val="0"/>
        <w:numPr>
          <w:ilvl w:val="0"/>
          <w:numId w:val="0"/>
        </w:numPr>
        <w:jc w:val="both"/>
      </w:pPr>
    </w:p>
    <w:tbl>
      <w:tblPr>
        <w:tblStyle w:val="23"/>
        <w:tblW w:w="5745"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9792"/>
      </w:tblGrid>
      <w:tr w14:paraId="50FA2B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3571" w:hRule="atLeast"/>
          <w:jc w:val="center"/>
        </w:trPr>
        <w:tc>
          <w:tcPr>
            <w:tcW w:w="5000" w:type="pct"/>
            <w:noWrap w:val="0"/>
            <w:vAlign w:val="top"/>
          </w:tcPr>
          <w:p w14:paraId="0686642C">
            <w:pPr>
              <w:pStyle w:val="29"/>
              <w:bidi w:val="0"/>
              <w:ind w:left="0" w:leftChars="0" w:firstLine="0" w:firstLineChars="0"/>
              <w:jc w:val="both"/>
              <w:rPr>
                <w:rFonts w:hint="default"/>
                <w:b/>
                <w:bCs/>
                <w:color w:val="auto"/>
                <w:sz w:val="24"/>
                <w:highlight w:val="none"/>
                <w:lang w:val="en-US" w:eastAsia="zh-CN"/>
              </w:rPr>
            </w:pPr>
            <w:r>
              <w:rPr>
                <w:rFonts w:hint="eastAsia"/>
                <w:b/>
                <w:bCs/>
                <w:color w:val="auto"/>
                <w:sz w:val="24"/>
                <w:highlight w:val="none"/>
                <w:lang w:val="en-US" w:eastAsia="zh-CN"/>
              </w:rPr>
              <w:t>6.</w:t>
            </w:r>
            <w:r>
              <w:rPr>
                <w:rFonts w:hint="default"/>
                <w:b/>
                <w:bCs/>
                <w:color w:val="auto"/>
                <w:sz w:val="24"/>
                <w:highlight w:val="none"/>
                <w:lang w:val="en-US" w:eastAsia="zh-CN"/>
              </w:rPr>
              <w:t>验收监测内容</w:t>
            </w:r>
          </w:p>
          <w:p w14:paraId="73533E40">
            <w:pPr>
              <w:pStyle w:val="29"/>
              <w:bidi w:val="0"/>
              <w:ind w:left="0" w:leftChars="0" w:firstLine="0" w:firstLineChars="0"/>
              <w:jc w:val="both"/>
              <w:rPr>
                <w:rFonts w:hint="default"/>
                <w:b/>
                <w:bCs/>
                <w:color w:val="auto"/>
                <w:sz w:val="24"/>
                <w:highlight w:val="none"/>
                <w:lang w:val="en-US" w:eastAsia="zh-CN"/>
              </w:rPr>
            </w:pPr>
            <w:r>
              <w:rPr>
                <w:rFonts w:hint="default"/>
                <w:b/>
                <w:bCs/>
                <w:color w:val="auto"/>
                <w:sz w:val="24"/>
                <w:highlight w:val="none"/>
                <w:lang w:val="en-US" w:eastAsia="zh-CN"/>
              </w:rPr>
              <w:t>验收监测内容如下：</w:t>
            </w:r>
          </w:p>
          <w:p w14:paraId="16A59CA6">
            <w:pPr>
              <w:pStyle w:val="29"/>
              <w:bidi w:val="0"/>
              <w:ind w:left="0" w:leftChars="0" w:firstLine="0" w:firstLineChars="0"/>
              <w:jc w:val="center"/>
              <w:rPr>
                <w:rFonts w:hint="eastAsia"/>
                <w:color w:val="auto"/>
                <w:sz w:val="24"/>
                <w:highlight w:val="none"/>
                <w:lang w:val="en-US" w:eastAsia="zh-CN"/>
              </w:rPr>
            </w:pPr>
            <w:r>
              <w:rPr>
                <w:rFonts w:hint="eastAsia"/>
                <w:color w:val="auto"/>
                <w:sz w:val="24"/>
                <w:highlight w:val="none"/>
                <w:lang w:val="en-US" w:eastAsia="zh-CN"/>
              </w:rPr>
              <w:t>表6-1</w:t>
            </w:r>
          </w:p>
          <w:p w14:paraId="635E3084">
            <w:pPr>
              <w:pStyle w:val="29"/>
              <w:bidi w:val="0"/>
              <w:ind w:left="0" w:leftChars="0" w:firstLine="0" w:firstLineChars="0"/>
              <w:jc w:val="center"/>
              <w:rPr>
                <w:rFonts w:hint="default"/>
                <w:lang w:val="en-US" w:eastAsia="zh-CN"/>
              </w:rPr>
            </w:pPr>
            <w:r>
              <w:drawing>
                <wp:inline distT="0" distB="0" distL="114300" distR="114300">
                  <wp:extent cx="5162550" cy="2590800"/>
                  <wp:effectExtent l="0" t="0" r="0" b="0"/>
                  <wp:docPr id="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4"/>
                          <pic:cNvPicPr>
                            <a:picLocks noChangeAspect="1"/>
                          </pic:cNvPicPr>
                        </pic:nvPicPr>
                        <pic:blipFill>
                          <a:blip r:embed="rId10"/>
                          <a:stretch>
                            <a:fillRect/>
                          </a:stretch>
                        </pic:blipFill>
                        <pic:spPr>
                          <a:xfrm>
                            <a:off x="0" y="0"/>
                            <a:ext cx="5162550" cy="2590800"/>
                          </a:xfrm>
                          <a:prstGeom prst="rect">
                            <a:avLst/>
                          </a:prstGeom>
                          <a:noFill/>
                          <a:ln>
                            <a:noFill/>
                          </a:ln>
                        </pic:spPr>
                      </pic:pic>
                    </a:graphicData>
                  </a:graphic>
                </wp:inline>
              </w:drawing>
            </w:r>
          </w:p>
        </w:tc>
      </w:tr>
    </w:tbl>
    <w:p w14:paraId="70C64A88">
      <w:pPr>
        <w:pStyle w:val="15"/>
        <w:widowControl w:val="0"/>
        <w:numPr>
          <w:ilvl w:val="0"/>
          <w:numId w:val="0"/>
        </w:numPr>
        <w:jc w:val="both"/>
      </w:pPr>
    </w:p>
    <w:tbl>
      <w:tblPr>
        <w:tblStyle w:val="23"/>
        <w:tblW w:w="5745"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9792"/>
      </w:tblGrid>
      <w:tr w14:paraId="1A74CC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3571" w:hRule="atLeast"/>
          <w:jc w:val="center"/>
        </w:trPr>
        <w:tc>
          <w:tcPr>
            <w:tcW w:w="5000" w:type="pct"/>
            <w:noWrap w:val="0"/>
            <w:vAlign w:val="top"/>
          </w:tcPr>
          <w:p w14:paraId="14889E16">
            <w:pPr>
              <w:pStyle w:val="29"/>
              <w:bidi w:val="0"/>
              <w:ind w:left="0" w:leftChars="0" w:firstLine="0" w:firstLineChars="0"/>
              <w:jc w:val="both"/>
              <w:rPr>
                <w:rFonts w:hint="default"/>
                <w:b/>
                <w:bCs/>
                <w:color w:val="auto"/>
                <w:sz w:val="24"/>
                <w:highlight w:val="none"/>
                <w:lang w:val="en-US" w:eastAsia="zh-CN"/>
              </w:rPr>
            </w:pPr>
            <w:r>
              <w:rPr>
                <w:rFonts w:hint="default"/>
                <w:b/>
                <w:bCs/>
                <w:color w:val="auto"/>
                <w:sz w:val="24"/>
                <w:highlight w:val="none"/>
                <w:lang w:val="en-US" w:eastAsia="zh-CN"/>
              </w:rPr>
              <w:t>7.1 验收监测期间生产工况记录</w:t>
            </w:r>
          </w:p>
          <w:p w14:paraId="7E352D25">
            <w:pPr>
              <w:pStyle w:val="29"/>
              <w:bidi w:val="0"/>
              <w:ind w:left="0" w:leftChars="0" w:firstLine="480" w:firstLineChars="200"/>
              <w:jc w:val="both"/>
              <w:rPr>
                <w:rFonts w:hint="default"/>
                <w:color w:val="auto"/>
                <w:sz w:val="24"/>
                <w:highlight w:val="none"/>
                <w:lang w:val="en-US" w:eastAsia="zh-CN"/>
              </w:rPr>
            </w:pPr>
            <w:r>
              <w:rPr>
                <w:rFonts w:hint="default"/>
                <w:color w:val="auto"/>
                <w:sz w:val="24"/>
                <w:highlight w:val="none"/>
                <w:lang w:val="en-US" w:eastAsia="zh-CN"/>
              </w:rPr>
              <w:t>监测期间，环保设施与主体工程运行较为稳定，满足验收要求。</w:t>
            </w:r>
          </w:p>
          <w:p w14:paraId="2DC527C0">
            <w:pPr>
              <w:pStyle w:val="29"/>
              <w:bidi w:val="0"/>
              <w:ind w:left="0" w:leftChars="0" w:firstLine="0" w:firstLineChars="0"/>
              <w:jc w:val="both"/>
              <w:rPr>
                <w:rFonts w:hint="default"/>
                <w:b/>
                <w:bCs/>
                <w:color w:val="auto"/>
                <w:sz w:val="24"/>
                <w:highlight w:val="none"/>
                <w:lang w:val="en-US" w:eastAsia="zh-CN"/>
              </w:rPr>
            </w:pPr>
            <w:r>
              <w:drawing>
                <wp:anchor distT="0" distB="0" distL="114300" distR="114300" simplePos="0" relativeHeight="251661312" behindDoc="0" locked="0" layoutInCell="1" allowOverlap="1">
                  <wp:simplePos x="0" y="0"/>
                  <wp:positionH relativeFrom="column">
                    <wp:posOffset>210185</wp:posOffset>
                  </wp:positionH>
                  <wp:positionV relativeFrom="paragraph">
                    <wp:posOffset>1086485</wp:posOffset>
                  </wp:positionV>
                  <wp:extent cx="5974080" cy="3552825"/>
                  <wp:effectExtent l="0" t="0" r="7620" b="9525"/>
                  <wp:wrapTopAndBottom/>
                  <wp:docPr id="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5"/>
                          <pic:cNvPicPr>
                            <a:picLocks noChangeAspect="1"/>
                          </pic:cNvPicPr>
                        </pic:nvPicPr>
                        <pic:blipFill>
                          <a:blip r:embed="rId11"/>
                          <a:stretch>
                            <a:fillRect/>
                          </a:stretch>
                        </pic:blipFill>
                        <pic:spPr>
                          <a:xfrm>
                            <a:off x="0" y="0"/>
                            <a:ext cx="5974080" cy="3552825"/>
                          </a:xfrm>
                          <a:prstGeom prst="rect">
                            <a:avLst/>
                          </a:prstGeom>
                          <a:noFill/>
                          <a:ln>
                            <a:noFill/>
                          </a:ln>
                        </pic:spPr>
                      </pic:pic>
                    </a:graphicData>
                  </a:graphic>
                </wp:anchor>
              </w:drawing>
            </w:r>
            <w:r>
              <w:rPr>
                <w:rFonts w:hint="default"/>
                <w:b/>
                <w:bCs/>
                <w:color w:val="auto"/>
                <w:sz w:val="24"/>
                <w:highlight w:val="none"/>
                <w:lang w:val="en-US" w:eastAsia="zh-CN"/>
              </w:rPr>
              <w:t>7.2   验收监测结果</w:t>
            </w:r>
          </w:p>
          <w:p w14:paraId="766B62A1">
            <w:pPr>
              <w:pStyle w:val="29"/>
              <w:bidi w:val="0"/>
              <w:ind w:left="0" w:leftChars="0" w:firstLine="0" w:firstLineChars="0"/>
              <w:jc w:val="center"/>
            </w:pPr>
            <w:r>
              <w:drawing>
                <wp:inline distT="0" distB="0" distL="114300" distR="114300">
                  <wp:extent cx="5238750" cy="7482205"/>
                  <wp:effectExtent l="0" t="0" r="0" b="4445"/>
                  <wp:docPr id="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6"/>
                          <pic:cNvPicPr>
                            <a:picLocks noChangeAspect="1"/>
                          </pic:cNvPicPr>
                        </pic:nvPicPr>
                        <pic:blipFill>
                          <a:blip r:embed="rId12"/>
                          <a:stretch>
                            <a:fillRect/>
                          </a:stretch>
                        </pic:blipFill>
                        <pic:spPr>
                          <a:xfrm>
                            <a:off x="0" y="0"/>
                            <a:ext cx="5238750" cy="7482205"/>
                          </a:xfrm>
                          <a:prstGeom prst="rect">
                            <a:avLst/>
                          </a:prstGeom>
                          <a:noFill/>
                          <a:ln>
                            <a:noFill/>
                          </a:ln>
                        </pic:spPr>
                      </pic:pic>
                    </a:graphicData>
                  </a:graphic>
                </wp:inline>
              </w:drawing>
            </w:r>
          </w:p>
          <w:p w14:paraId="5ADF7E76">
            <w:pPr>
              <w:pStyle w:val="29"/>
              <w:bidi w:val="0"/>
              <w:ind w:left="0" w:leftChars="0" w:firstLine="0" w:firstLineChars="0"/>
              <w:jc w:val="center"/>
              <w:rPr>
                <w:rFonts w:hint="default"/>
                <w:color w:val="auto"/>
                <w:sz w:val="24"/>
                <w:highlight w:val="none"/>
                <w:lang w:val="en-US" w:eastAsia="zh-CN"/>
              </w:rPr>
            </w:pPr>
            <w:r>
              <w:drawing>
                <wp:inline distT="0" distB="0" distL="114300" distR="114300">
                  <wp:extent cx="5372100" cy="7858125"/>
                  <wp:effectExtent l="0" t="0" r="0" b="9525"/>
                  <wp:docPr id="1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7"/>
                          <pic:cNvPicPr>
                            <a:picLocks noChangeAspect="1"/>
                          </pic:cNvPicPr>
                        </pic:nvPicPr>
                        <pic:blipFill>
                          <a:blip r:embed="rId13"/>
                          <a:stretch>
                            <a:fillRect/>
                          </a:stretch>
                        </pic:blipFill>
                        <pic:spPr>
                          <a:xfrm>
                            <a:off x="0" y="0"/>
                            <a:ext cx="5372100" cy="7858125"/>
                          </a:xfrm>
                          <a:prstGeom prst="rect">
                            <a:avLst/>
                          </a:prstGeom>
                          <a:noFill/>
                          <a:ln>
                            <a:noFill/>
                          </a:ln>
                        </pic:spPr>
                      </pic:pic>
                    </a:graphicData>
                  </a:graphic>
                </wp:inline>
              </w:drawing>
            </w:r>
          </w:p>
          <w:p w14:paraId="4873B798">
            <w:pPr>
              <w:pStyle w:val="29"/>
              <w:bidi w:val="0"/>
              <w:ind w:left="0" w:leftChars="0" w:firstLine="0" w:firstLineChars="0"/>
              <w:jc w:val="both"/>
              <w:rPr>
                <w:rFonts w:hint="default"/>
                <w:color w:val="auto"/>
                <w:sz w:val="24"/>
                <w:highlight w:val="none"/>
                <w:lang w:val="en-US" w:eastAsia="zh-CN"/>
              </w:rPr>
            </w:pPr>
            <w:r>
              <w:rPr>
                <w:rFonts w:hint="default"/>
                <w:color w:val="auto"/>
                <w:sz w:val="24"/>
                <w:highlight w:val="none"/>
                <w:lang w:val="en-US" w:eastAsia="zh-CN"/>
              </w:rPr>
              <w:t>7.2.4 污染物排放总量</w:t>
            </w:r>
          </w:p>
          <w:p w14:paraId="26ECC5E3">
            <w:pPr>
              <w:pStyle w:val="29"/>
              <w:ind w:firstLine="480"/>
              <w:rPr>
                <w:rFonts w:hint="eastAsia"/>
                <w:color w:val="auto"/>
                <w:highlight w:val="none"/>
                <w:lang w:val="en-US" w:eastAsia="zh-CN"/>
              </w:rPr>
            </w:pPr>
            <w:r>
              <w:rPr>
                <w:color w:val="auto"/>
                <w:highlight w:val="none"/>
              </w:rPr>
              <w:t>项目建成后排放的重点污染物的量</w:t>
            </w:r>
            <w:r>
              <w:rPr>
                <w:rFonts w:hint="eastAsia"/>
                <w:color w:val="auto"/>
                <w:highlight w:val="none"/>
                <w:lang w:val="en-US" w:eastAsia="zh-CN"/>
              </w:rPr>
              <w:t>如下：</w:t>
            </w:r>
          </w:p>
          <w:p w14:paraId="72D13CC2">
            <w:pPr>
              <w:keepNext w:val="0"/>
              <w:keepLines w:val="0"/>
              <w:pageBreakBefore w:val="0"/>
              <w:widowControl w:val="0"/>
              <w:kinsoku/>
              <w:wordWrap/>
              <w:overflowPunct/>
              <w:topLinePunct w:val="0"/>
              <w:autoSpaceDE/>
              <w:autoSpaceDN/>
              <w:bidi w:val="0"/>
              <w:adjustRightInd w:val="0"/>
              <w:snapToGrid w:val="0"/>
              <w:spacing w:line="460" w:lineRule="exact"/>
              <w:ind w:right="0" w:firstLine="480" w:firstLineChars="200"/>
              <w:jc w:val="both"/>
              <w:textAlignment w:val="auto"/>
              <w:rPr>
                <w:rFonts w:hint="eastAsia" w:ascii="Times New Roman" w:hAnsi="Times New Roman" w:eastAsia="宋体"/>
                <w:bCs/>
                <w:color w:val="000000"/>
                <w:sz w:val="24"/>
                <w:lang w:val="en-US" w:eastAsia="zh-CN"/>
              </w:rPr>
            </w:pPr>
            <w:r>
              <w:rPr>
                <w:rFonts w:hint="eastAsia"/>
                <w:bCs/>
                <w:color w:val="000000"/>
                <w:sz w:val="24"/>
                <w:lang w:val="en-US" w:eastAsia="zh-CN"/>
              </w:rPr>
              <w:t>本项目实施后全厂污染物排放总量控制指标</w:t>
            </w:r>
          </w:p>
          <w:p w14:paraId="3BD2EA03">
            <w:pPr>
              <w:keepNext w:val="0"/>
              <w:keepLines w:val="0"/>
              <w:pageBreakBefore w:val="0"/>
              <w:widowControl w:val="0"/>
              <w:kinsoku/>
              <w:wordWrap/>
              <w:overflowPunct/>
              <w:topLinePunct w:val="0"/>
              <w:autoSpaceDE/>
              <w:autoSpaceDN/>
              <w:bidi w:val="0"/>
              <w:adjustRightInd w:val="0"/>
              <w:snapToGrid w:val="0"/>
              <w:spacing w:line="460" w:lineRule="exact"/>
              <w:ind w:right="0" w:firstLine="480" w:firstLineChars="200"/>
              <w:jc w:val="both"/>
              <w:textAlignment w:val="auto"/>
              <w:rPr>
                <w:rFonts w:hint="default" w:ascii="Times New Roman" w:hAnsi="Times New Roman" w:eastAsia="宋体"/>
                <w:bCs/>
                <w:color w:val="000000"/>
                <w:sz w:val="24"/>
                <w:lang w:val="en-US" w:eastAsia="zh-CN"/>
              </w:rPr>
            </w:pPr>
            <w:r>
              <w:rPr>
                <w:rFonts w:hint="eastAsia"/>
                <w:bCs/>
                <w:color w:val="000000"/>
                <w:sz w:val="24"/>
                <w:lang w:eastAsia="zh-CN"/>
              </w:rPr>
              <w:t>废水：</w:t>
            </w:r>
            <w:r>
              <w:rPr>
                <w:rFonts w:hint="eastAsia"/>
                <w:bCs/>
                <w:color w:val="000000"/>
                <w:sz w:val="24"/>
                <w:lang w:val="en-US" w:eastAsia="zh-CN"/>
              </w:rPr>
              <w:t>COD0.0287t/a、氨氮0.0055t/a。</w:t>
            </w:r>
          </w:p>
          <w:p w14:paraId="72644E20">
            <w:pPr>
              <w:keepNext w:val="0"/>
              <w:keepLines w:val="0"/>
              <w:pageBreakBefore w:val="0"/>
              <w:widowControl w:val="0"/>
              <w:kinsoku/>
              <w:wordWrap/>
              <w:overflowPunct/>
              <w:topLinePunct w:val="0"/>
              <w:autoSpaceDE/>
              <w:autoSpaceDN/>
              <w:bidi w:val="0"/>
              <w:adjustRightInd w:val="0"/>
              <w:snapToGrid w:val="0"/>
              <w:spacing w:line="460" w:lineRule="exact"/>
              <w:ind w:right="0" w:firstLine="480" w:firstLineChars="200"/>
              <w:jc w:val="both"/>
              <w:textAlignment w:val="auto"/>
              <w:rPr>
                <w:rFonts w:hint="default" w:ascii="Times New Roman" w:hAnsi="Times New Roman" w:eastAsia="宋体"/>
                <w:bCs/>
                <w:color w:val="000000"/>
                <w:sz w:val="24"/>
                <w:lang w:val="en-US" w:eastAsia="zh-CN"/>
              </w:rPr>
            </w:pPr>
            <w:r>
              <w:rPr>
                <w:rFonts w:hint="eastAsia"/>
                <w:bCs/>
                <w:color w:val="000000"/>
                <w:sz w:val="24"/>
                <w:lang w:eastAsia="zh-CN"/>
              </w:rPr>
              <w:t>本项目</w:t>
            </w:r>
            <w:r>
              <w:rPr>
                <w:rFonts w:hint="eastAsia"/>
                <w:bCs/>
                <w:color w:val="000000"/>
                <w:sz w:val="24"/>
                <w:lang w:val="en-US" w:eastAsia="zh-CN"/>
              </w:rPr>
              <w:t>COD、氨氮总量指标已通过万州区生态环境局从区域削减源中统筹调配解决。</w:t>
            </w:r>
          </w:p>
          <w:p w14:paraId="5EC41B8F">
            <w:pPr>
              <w:keepNext w:val="0"/>
              <w:keepLines w:val="0"/>
              <w:pageBreakBefore w:val="0"/>
              <w:widowControl w:val="0"/>
              <w:kinsoku/>
              <w:wordWrap/>
              <w:overflowPunct/>
              <w:topLinePunct w:val="0"/>
              <w:autoSpaceDE/>
              <w:autoSpaceDN/>
              <w:bidi w:val="0"/>
              <w:adjustRightInd w:val="0"/>
              <w:snapToGrid w:val="0"/>
              <w:spacing w:line="460" w:lineRule="exact"/>
              <w:ind w:right="0" w:firstLine="480" w:firstLineChars="200"/>
              <w:jc w:val="both"/>
              <w:textAlignment w:val="auto"/>
              <w:rPr>
                <w:rFonts w:hint="default" w:ascii="Times New Roman" w:hAnsi="Times New Roman" w:eastAsia="宋体"/>
                <w:bCs/>
                <w:color w:val="000000"/>
                <w:sz w:val="24"/>
                <w:lang w:val="en-US" w:eastAsia="zh-CN"/>
              </w:rPr>
            </w:pPr>
            <w:r>
              <w:rPr>
                <w:rFonts w:hint="eastAsia"/>
                <w:bCs/>
                <w:color w:val="000000"/>
                <w:sz w:val="24"/>
                <w:lang w:val="en-US" w:eastAsia="zh-CN"/>
              </w:rPr>
              <w:t>COD、氨氮区域削减总量指标来源为重庆市渝东水务有限公司万州镇级分公司（小岭污水处理厂），COD的削减量为19.98t/a，氨氮的削减量为1.606t/a，可满足本项目的总量需求，余量由万州区生态环境局统筹管理。</w:t>
            </w:r>
          </w:p>
          <w:p w14:paraId="3F97DDE0">
            <w:pPr>
              <w:keepNext w:val="0"/>
              <w:keepLines w:val="0"/>
              <w:pageBreakBefore w:val="0"/>
              <w:widowControl w:val="0"/>
              <w:kinsoku/>
              <w:wordWrap/>
              <w:overflowPunct/>
              <w:topLinePunct w:val="0"/>
              <w:autoSpaceDE/>
              <w:autoSpaceDN/>
              <w:bidi w:val="0"/>
              <w:adjustRightInd w:val="0"/>
              <w:snapToGrid w:val="0"/>
              <w:spacing w:line="460" w:lineRule="exact"/>
              <w:ind w:right="0" w:firstLine="0" w:firstLineChars="0"/>
              <w:jc w:val="center"/>
              <w:textAlignment w:val="auto"/>
              <w:rPr>
                <w:rFonts w:hint="eastAsia"/>
                <w:b/>
                <w:bCs w:val="0"/>
                <w:color w:val="000000"/>
                <w:sz w:val="24"/>
                <w:szCs w:val="24"/>
                <w:highlight w:val="none"/>
                <w:lang w:val="en-US" w:eastAsia="zh-CN"/>
              </w:rPr>
            </w:pPr>
            <w:r>
              <w:rPr>
                <w:rFonts w:hint="eastAsia"/>
                <w:b/>
                <w:bCs w:val="0"/>
                <w:color w:val="000000"/>
                <w:sz w:val="24"/>
                <w:szCs w:val="24"/>
                <w:highlight w:val="none"/>
                <w:lang w:eastAsia="zh-CN"/>
              </w:rPr>
              <w:t>表</w:t>
            </w:r>
            <w:r>
              <w:rPr>
                <w:rFonts w:hint="eastAsia"/>
                <w:b/>
                <w:bCs w:val="0"/>
                <w:color w:val="000000"/>
                <w:sz w:val="24"/>
                <w:szCs w:val="24"/>
                <w:highlight w:val="none"/>
                <w:lang w:val="en-US" w:eastAsia="zh-CN"/>
              </w:rPr>
              <w:t>3-10  重庆创池再生资源回收有限公司所需污染物排放总量替代详表</w:t>
            </w:r>
          </w:p>
          <w:tbl>
            <w:tblPr>
              <w:tblStyle w:val="24"/>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6"/>
              <w:gridCol w:w="2065"/>
              <w:gridCol w:w="1106"/>
              <w:gridCol w:w="1135"/>
              <w:gridCol w:w="2005"/>
              <w:gridCol w:w="1418"/>
              <w:gridCol w:w="1347"/>
            </w:tblGrid>
            <w:tr w14:paraId="4C456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254" w:type="pct"/>
                  <w:noWrap w:val="0"/>
                  <w:vAlign w:val="center"/>
                </w:tcPr>
                <w:p w14:paraId="020BB88B">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eastAsia"/>
                      <w:bCs/>
                      <w:color w:val="000000"/>
                      <w:sz w:val="21"/>
                      <w:szCs w:val="21"/>
                      <w:highlight w:val="none"/>
                      <w:vertAlign w:val="baseline"/>
                      <w:lang w:eastAsia="zh-CN"/>
                    </w:rPr>
                  </w:pPr>
                  <w:r>
                    <w:rPr>
                      <w:rFonts w:hint="eastAsia"/>
                      <w:bCs/>
                      <w:color w:val="000000"/>
                      <w:sz w:val="21"/>
                      <w:szCs w:val="21"/>
                      <w:highlight w:val="none"/>
                      <w:vertAlign w:val="baseline"/>
                      <w:lang w:eastAsia="zh-CN"/>
                    </w:rPr>
                    <w:t>类别</w:t>
                  </w:r>
                </w:p>
              </w:tc>
              <w:tc>
                <w:tcPr>
                  <w:tcW w:w="1079" w:type="pct"/>
                  <w:noWrap w:val="0"/>
                  <w:vAlign w:val="center"/>
                </w:tcPr>
                <w:p w14:paraId="67215323">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eastAsia"/>
                      <w:bCs/>
                      <w:color w:val="000000"/>
                      <w:sz w:val="21"/>
                      <w:szCs w:val="21"/>
                      <w:highlight w:val="none"/>
                      <w:vertAlign w:val="baseline"/>
                      <w:lang w:eastAsia="zh-CN"/>
                    </w:rPr>
                  </w:pPr>
                  <w:r>
                    <w:rPr>
                      <w:rFonts w:hint="eastAsia"/>
                      <w:bCs/>
                      <w:color w:val="000000"/>
                      <w:sz w:val="21"/>
                      <w:szCs w:val="21"/>
                      <w:highlight w:val="none"/>
                      <w:vertAlign w:val="baseline"/>
                      <w:lang w:eastAsia="zh-CN"/>
                    </w:rPr>
                    <w:t>总量指标来源所在排污单位名称</w:t>
                  </w:r>
                </w:p>
              </w:tc>
              <w:tc>
                <w:tcPr>
                  <w:tcW w:w="578" w:type="pct"/>
                  <w:noWrap w:val="0"/>
                  <w:vAlign w:val="center"/>
                </w:tcPr>
                <w:p w14:paraId="420CB1DE">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bCs/>
                      <w:color w:val="000000"/>
                      <w:sz w:val="21"/>
                      <w:szCs w:val="21"/>
                      <w:highlight w:val="none"/>
                      <w:vertAlign w:val="baseline"/>
                      <w:lang w:val="en-US" w:eastAsia="zh-CN"/>
                    </w:rPr>
                  </w:pPr>
                  <w:r>
                    <w:rPr>
                      <w:rFonts w:hint="eastAsia"/>
                      <w:bCs/>
                      <w:color w:val="000000"/>
                      <w:sz w:val="21"/>
                      <w:szCs w:val="21"/>
                      <w:highlight w:val="none"/>
                      <w:vertAlign w:val="baseline"/>
                      <w:lang w:val="en-US" w:eastAsia="zh-CN"/>
                    </w:rPr>
                    <w:t>总量指标</w:t>
                  </w:r>
                </w:p>
              </w:tc>
              <w:tc>
                <w:tcPr>
                  <w:tcW w:w="593" w:type="pct"/>
                  <w:noWrap w:val="0"/>
                  <w:vAlign w:val="center"/>
                </w:tcPr>
                <w:p w14:paraId="514F0D70">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eastAsia"/>
                      <w:bCs/>
                      <w:color w:val="000000"/>
                      <w:sz w:val="21"/>
                      <w:szCs w:val="21"/>
                      <w:highlight w:val="none"/>
                      <w:vertAlign w:val="baseline"/>
                      <w:lang w:eastAsia="zh-CN"/>
                    </w:rPr>
                  </w:pPr>
                  <w:r>
                    <w:rPr>
                      <w:rFonts w:hint="eastAsia"/>
                      <w:bCs/>
                      <w:color w:val="000000"/>
                      <w:sz w:val="21"/>
                      <w:szCs w:val="21"/>
                      <w:highlight w:val="none"/>
                      <w:vertAlign w:val="baseline"/>
                      <w:lang w:eastAsia="zh-CN"/>
                    </w:rPr>
                    <w:t>削减量（</w:t>
                  </w:r>
                  <w:r>
                    <w:rPr>
                      <w:rFonts w:hint="eastAsia"/>
                      <w:bCs/>
                      <w:color w:val="000000"/>
                      <w:sz w:val="21"/>
                      <w:szCs w:val="21"/>
                      <w:highlight w:val="none"/>
                      <w:vertAlign w:val="baseline"/>
                      <w:lang w:val="en-US" w:eastAsia="zh-CN"/>
                    </w:rPr>
                    <w:t>t/a</w:t>
                  </w:r>
                  <w:r>
                    <w:rPr>
                      <w:rFonts w:hint="eastAsia"/>
                      <w:bCs/>
                      <w:color w:val="000000"/>
                      <w:sz w:val="21"/>
                      <w:szCs w:val="21"/>
                      <w:highlight w:val="none"/>
                      <w:vertAlign w:val="baseline"/>
                      <w:lang w:eastAsia="zh-CN"/>
                    </w:rPr>
                    <w:t>）</w:t>
                  </w:r>
                </w:p>
              </w:tc>
              <w:tc>
                <w:tcPr>
                  <w:tcW w:w="1048" w:type="pct"/>
                  <w:noWrap w:val="0"/>
                  <w:vAlign w:val="center"/>
                </w:tcPr>
                <w:p w14:paraId="7448CCCD">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eastAsia"/>
                      <w:bCs/>
                      <w:color w:val="000000"/>
                      <w:sz w:val="21"/>
                      <w:szCs w:val="21"/>
                      <w:highlight w:val="none"/>
                      <w:vertAlign w:val="baseline"/>
                      <w:lang w:eastAsia="zh-CN"/>
                    </w:rPr>
                  </w:pPr>
                  <w:r>
                    <w:rPr>
                      <w:rFonts w:hint="eastAsia"/>
                      <w:bCs/>
                      <w:color w:val="000000"/>
                      <w:sz w:val="21"/>
                      <w:szCs w:val="21"/>
                      <w:highlight w:val="none"/>
                      <w:vertAlign w:val="baseline"/>
                      <w:lang w:eastAsia="zh-CN"/>
                    </w:rPr>
                    <w:t>创池危险废物集中收集转运项目需求量（</w:t>
                  </w:r>
                  <w:r>
                    <w:rPr>
                      <w:rFonts w:hint="eastAsia"/>
                      <w:bCs/>
                      <w:color w:val="000000"/>
                      <w:sz w:val="21"/>
                      <w:szCs w:val="21"/>
                      <w:highlight w:val="none"/>
                      <w:vertAlign w:val="baseline"/>
                      <w:lang w:val="en-US" w:eastAsia="zh-CN"/>
                    </w:rPr>
                    <w:t>t/a</w:t>
                  </w:r>
                  <w:r>
                    <w:rPr>
                      <w:rFonts w:hint="eastAsia"/>
                      <w:bCs/>
                      <w:color w:val="000000"/>
                      <w:sz w:val="21"/>
                      <w:szCs w:val="21"/>
                      <w:highlight w:val="none"/>
                      <w:vertAlign w:val="baseline"/>
                      <w:lang w:eastAsia="zh-CN"/>
                    </w:rPr>
                    <w:t>）</w:t>
                  </w:r>
                </w:p>
              </w:tc>
              <w:tc>
                <w:tcPr>
                  <w:tcW w:w="741" w:type="pct"/>
                  <w:noWrap w:val="0"/>
                  <w:vAlign w:val="center"/>
                </w:tcPr>
                <w:p w14:paraId="680650C6">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eastAsia"/>
                      <w:bCs/>
                      <w:color w:val="000000"/>
                      <w:sz w:val="21"/>
                      <w:szCs w:val="21"/>
                      <w:highlight w:val="none"/>
                      <w:vertAlign w:val="baseline"/>
                      <w:lang w:eastAsia="zh-CN"/>
                    </w:rPr>
                  </w:pPr>
                  <w:r>
                    <w:rPr>
                      <w:rFonts w:hint="eastAsia"/>
                      <w:bCs/>
                      <w:color w:val="000000"/>
                      <w:sz w:val="21"/>
                      <w:szCs w:val="21"/>
                      <w:highlight w:val="none"/>
                      <w:vertAlign w:val="baseline"/>
                      <w:lang w:eastAsia="zh-CN"/>
                    </w:rPr>
                    <w:t>总量指标来源认定完成时间</w:t>
                  </w:r>
                </w:p>
              </w:tc>
              <w:tc>
                <w:tcPr>
                  <w:tcW w:w="704" w:type="pct"/>
                  <w:noWrap w:val="0"/>
                  <w:vAlign w:val="center"/>
                </w:tcPr>
                <w:p w14:paraId="5C3FD370">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eastAsia"/>
                      <w:bCs/>
                      <w:color w:val="000000"/>
                      <w:sz w:val="21"/>
                      <w:szCs w:val="21"/>
                      <w:highlight w:val="none"/>
                      <w:vertAlign w:val="baseline"/>
                      <w:lang w:eastAsia="zh-CN"/>
                    </w:rPr>
                  </w:pPr>
                  <w:r>
                    <w:rPr>
                      <w:rFonts w:hint="eastAsia"/>
                      <w:bCs/>
                      <w:color w:val="000000"/>
                      <w:sz w:val="21"/>
                      <w:szCs w:val="21"/>
                      <w:highlight w:val="none"/>
                      <w:vertAlign w:val="baseline"/>
                      <w:lang w:eastAsia="zh-CN"/>
                    </w:rPr>
                    <w:t>总量指标来源获取途径</w:t>
                  </w:r>
                </w:p>
              </w:tc>
            </w:tr>
            <w:tr w14:paraId="4C001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254" w:type="pct"/>
                  <w:noWrap w:val="0"/>
                  <w:vAlign w:val="center"/>
                </w:tcPr>
                <w:p w14:paraId="5D305D9B">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bCs/>
                      <w:color w:val="000000"/>
                      <w:sz w:val="21"/>
                      <w:szCs w:val="21"/>
                      <w:highlight w:val="none"/>
                      <w:vertAlign w:val="baseline"/>
                      <w:lang w:val="en-US" w:eastAsia="zh-CN"/>
                    </w:rPr>
                  </w:pPr>
                  <w:r>
                    <w:rPr>
                      <w:rFonts w:hint="eastAsia"/>
                      <w:bCs/>
                      <w:color w:val="000000"/>
                      <w:sz w:val="21"/>
                      <w:szCs w:val="21"/>
                      <w:highlight w:val="none"/>
                      <w:vertAlign w:val="baseline"/>
                      <w:lang w:val="en-US" w:eastAsia="zh-CN"/>
                    </w:rPr>
                    <w:t>废水</w:t>
                  </w:r>
                </w:p>
              </w:tc>
              <w:tc>
                <w:tcPr>
                  <w:tcW w:w="1079" w:type="pct"/>
                  <w:noWrap w:val="0"/>
                  <w:vAlign w:val="center"/>
                </w:tcPr>
                <w:p w14:paraId="7B28FAF9">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eastAsia"/>
                      <w:bCs/>
                      <w:color w:val="000000"/>
                      <w:sz w:val="21"/>
                      <w:szCs w:val="21"/>
                      <w:highlight w:val="none"/>
                      <w:vertAlign w:val="baseline"/>
                      <w:lang w:eastAsia="zh-CN"/>
                    </w:rPr>
                  </w:pPr>
                  <w:r>
                    <w:rPr>
                      <w:rFonts w:hint="eastAsia"/>
                      <w:bCs/>
                      <w:color w:val="000000"/>
                      <w:sz w:val="21"/>
                      <w:szCs w:val="21"/>
                      <w:highlight w:val="none"/>
                      <w:vertAlign w:val="baseline"/>
                      <w:lang w:eastAsia="zh-CN"/>
                    </w:rPr>
                    <w:t>重庆市渝东水务有限公司万州镇级分公司（小岭污水处理厂）</w:t>
                  </w:r>
                </w:p>
              </w:tc>
              <w:tc>
                <w:tcPr>
                  <w:tcW w:w="578" w:type="pct"/>
                  <w:noWrap w:val="0"/>
                  <w:vAlign w:val="center"/>
                </w:tcPr>
                <w:p w14:paraId="0C0F16C9">
                  <w:pPr>
                    <w:spacing w:line="240" w:lineRule="auto"/>
                    <w:ind w:firstLine="0" w:firstLineChars="0"/>
                    <w:jc w:val="center"/>
                    <w:rPr>
                      <w:rFonts w:hint="eastAsia" w:ascii="Times New Roman" w:hAnsi="Times New Roman" w:eastAsia="宋体" w:cs="Times New Roman"/>
                      <w:snapToGrid w:val="0"/>
                      <w:color w:val="000000"/>
                      <w:kern w:val="21"/>
                      <w:sz w:val="21"/>
                      <w:szCs w:val="21"/>
                      <w:lang w:val="en-US" w:eastAsia="zh-CN" w:bidi="ar-SA"/>
                    </w:rPr>
                  </w:pPr>
                  <w:r>
                    <w:rPr>
                      <w:snapToGrid w:val="0"/>
                      <w:color w:val="000000"/>
                      <w:kern w:val="21"/>
                      <w:sz w:val="21"/>
                      <w:szCs w:val="21"/>
                    </w:rPr>
                    <w:t>COD</w:t>
                  </w:r>
                </w:p>
              </w:tc>
              <w:tc>
                <w:tcPr>
                  <w:tcW w:w="593" w:type="pct"/>
                  <w:noWrap w:val="0"/>
                  <w:vAlign w:val="center"/>
                </w:tcPr>
                <w:p w14:paraId="2A44064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firstLine="0" w:firstLineChars="0"/>
                    <w:jc w:val="center"/>
                    <w:textAlignment w:val="auto"/>
                    <w:rPr>
                      <w:rFonts w:hint="eastAsia" w:ascii="Times New Roman" w:hAnsi="Times New Roman" w:eastAsia="宋体" w:cs="Times New Roman"/>
                      <w:color w:val="000000"/>
                      <w:sz w:val="21"/>
                      <w:szCs w:val="21"/>
                      <w:vertAlign w:val="baseline"/>
                      <w:lang w:val="en-US" w:eastAsia="zh-CN"/>
                    </w:rPr>
                  </w:pPr>
                  <w:r>
                    <w:rPr>
                      <w:rFonts w:hint="eastAsia" w:cs="Times New Roman"/>
                      <w:color w:val="000000"/>
                      <w:sz w:val="21"/>
                      <w:szCs w:val="21"/>
                      <w:vertAlign w:val="baseline"/>
                      <w:lang w:val="en-US" w:eastAsia="zh-CN"/>
                    </w:rPr>
                    <w:t>19.98</w:t>
                  </w:r>
                  <w:r>
                    <w:rPr>
                      <w:rFonts w:hint="eastAsia" w:ascii="Times New Roman" w:hAnsi="Times New Roman" w:eastAsia="宋体" w:cs="Times New Roman"/>
                      <w:color w:val="000000"/>
                      <w:sz w:val="21"/>
                      <w:szCs w:val="21"/>
                      <w:vertAlign w:val="baseline"/>
                      <w:lang w:val="en-US" w:eastAsia="zh-CN"/>
                    </w:rPr>
                    <w:t xml:space="preserve"> </w:t>
                  </w:r>
                </w:p>
              </w:tc>
              <w:tc>
                <w:tcPr>
                  <w:tcW w:w="1048" w:type="pct"/>
                  <w:noWrap w:val="0"/>
                  <w:vAlign w:val="center"/>
                </w:tcPr>
                <w:p w14:paraId="67B41D5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firstLine="0" w:firstLineChars="0"/>
                    <w:jc w:val="center"/>
                    <w:textAlignment w:val="auto"/>
                    <w:rPr>
                      <w:rFonts w:hint="default" w:ascii="Times New Roman" w:hAnsi="Times New Roman" w:eastAsia="宋体" w:cs="Times New Roman"/>
                      <w:color w:val="000000"/>
                      <w:sz w:val="21"/>
                      <w:szCs w:val="21"/>
                      <w:vertAlign w:val="baseline"/>
                      <w:lang w:val="en-US" w:eastAsia="zh-CN"/>
                    </w:rPr>
                  </w:pPr>
                  <w:r>
                    <w:rPr>
                      <w:rFonts w:hint="eastAsia" w:cs="Times New Roman"/>
                      <w:color w:val="000000"/>
                      <w:sz w:val="21"/>
                      <w:szCs w:val="21"/>
                      <w:vertAlign w:val="baseline"/>
                      <w:lang w:val="en-US" w:eastAsia="zh-CN"/>
                    </w:rPr>
                    <w:t>0.0287</w:t>
                  </w:r>
                </w:p>
              </w:tc>
              <w:tc>
                <w:tcPr>
                  <w:tcW w:w="741" w:type="pct"/>
                  <w:noWrap w:val="0"/>
                  <w:vAlign w:val="center"/>
                </w:tcPr>
                <w:p w14:paraId="3006F37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firstLine="0" w:firstLineChars="0"/>
                    <w:jc w:val="center"/>
                    <w:textAlignment w:val="auto"/>
                    <w:rPr>
                      <w:rFonts w:hint="default" w:ascii="Times New Roman" w:hAnsi="Times New Roman" w:eastAsia="宋体" w:cs="Times New Roman"/>
                      <w:color w:val="000000"/>
                      <w:sz w:val="21"/>
                      <w:szCs w:val="21"/>
                      <w:vertAlign w:val="baseline"/>
                      <w:lang w:val="en-US" w:eastAsia="zh-CN"/>
                    </w:rPr>
                  </w:pPr>
                  <w:r>
                    <w:rPr>
                      <w:rFonts w:hint="eastAsia" w:cs="Times New Roman"/>
                      <w:color w:val="000000"/>
                      <w:sz w:val="21"/>
                      <w:szCs w:val="21"/>
                      <w:vertAlign w:val="baseline"/>
                      <w:lang w:val="en-US" w:eastAsia="zh-CN"/>
                    </w:rPr>
                    <w:t>2022年6月</w:t>
                  </w:r>
                </w:p>
              </w:tc>
              <w:tc>
                <w:tcPr>
                  <w:tcW w:w="704" w:type="pct"/>
                  <w:noWrap w:val="0"/>
                  <w:vAlign w:val="center"/>
                </w:tcPr>
                <w:p w14:paraId="6BD8961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firstLine="0" w:firstLineChars="0"/>
                    <w:jc w:val="center"/>
                    <w:textAlignment w:val="auto"/>
                    <w:rPr>
                      <w:rFonts w:hint="eastAsia" w:ascii="Times New Roman" w:hAnsi="Times New Roman" w:eastAsia="宋体" w:cs="Times New Roman"/>
                      <w:color w:val="000000"/>
                      <w:sz w:val="21"/>
                      <w:szCs w:val="21"/>
                      <w:vertAlign w:val="baseline"/>
                      <w:lang w:val="en-US" w:eastAsia="zh-CN"/>
                    </w:rPr>
                  </w:pPr>
                  <w:r>
                    <w:rPr>
                      <w:rFonts w:hint="eastAsia" w:cs="Times New Roman"/>
                      <w:color w:val="000000"/>
                      <w:sz w:val="21"/>
                      <w:szCs w:val="21"/>
                      <w:vertAlign w:val="baseline"/>
                      <w:lang w:val="en-US" w:eastAsia="zh-CN"/>
                    </w:rPr>
                    <w:t>区内统筹调剂</w:t>
                  </w:r>
                </w:p>
              </w:tc>
            </w:tr>
            <w:tr w14:paraId="5450F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254" w:type="pct"/>
                  <w:noWrap w:val="0"/>
                  <w:vAlign w:val="center"/>
                </w:tcPr>
                <w:p w14:paraId="1BA7F876">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eastAsia"/>
                      <w:bCs/>
                      <w:color w:val="000000"/>
                      <w:sz w:val="21"/>
                      <w:szCs w:val="21"/>
                      <w:highlight w:val="none"/>
                      <w:vertAlign w:val="baseline"/>
                      <w:lang w:val="en-US" w:eastAsia="zh-CN"/>
                    </w:rPr>
                  </w:pPr>
                  <w:r>
                    <w:rPr>
                      <w:rFonts w:hint="eastAsia"/>
                      <w:bCs/>
                      <w:color w:val="000000"/>
                      <w:sz w:val="21"/>
                      <w:szCs w:val="21"/>
                      <w:highlight w:val="none"/>
                      <w:vertAlign w:val="baseline"/>
                      <w:lang w:val="en-US" w:eastAsia="zh-CN"/>
                    </w:rPr>
                    <w:t>废水</w:t>
                  </w:r>
                </w:p>
              </w:tc>
              <w:tc>
                <w:tcPr>
                  <w:tcW w:w="1079" w:type="pct"/>
                  <w:noWrap w:val="0"/>
                  <w:vAlign w:val="center"/>
                </w:tcPr>
                <w:p w14:paraId="76E25D0A">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eastAsia"/>
                      <w:bCs/>
                      <w:color w:val="000000"/>
                      <w:sz w:val="21"/>
                      <w:szCs w:val="21"/>
                      <w:highlight w:val="none"/>
                      <w:vertAlign w:val="baseline"/>
                      <w:lang w:eastAsia="zh-CN"/>
                    </w:rPr>
                  </w:pPr>
                  <w:r>
                    <w:rPr>
                      <w:rFonts w:hint="eastAsia"/>
                      <w:bCs/>
                      <w:color w:val="000000"/>
                      <w:sz w:val="21"/>
                      <w:szCs w:val="21"/>
                      <w:highlight w:val="none"/>
                      <w:vertAlign w:val="baseline"/>
                      <w:lang w:eastAsia="zh-CN"/>
                    </w:rPr>
                    <w:t>重庆市渝东水务有限公司万州镇级分公司（小岭污水处理厂）</w:t>
                  </w:r>
                </w:p>
              </w:tc>
              <w:tc>
                <w:tcPr>
                  <w:tcW w:w="578" w:type="pct"/>
                  <w:noWrap w:val="0"/>
                  <w:vAlign w:val="center"/>
                </w:tcPr>
                <w:p w14:paraId="46A04D1F">
                  <w:pPr>
                    <w:spacing w:line="240" w:lineRule="auto"/>
                    <w:ind w:firstLine="0" w:firstLineChars="0"/>
                    <w:jc w:val="center"/>
                    <w:rPr>
                      <w:rFonts w:hint="default" w:eastAsia="宋体"/>
                      <w:snapToGrid w:val="0"/>
                      <w:color w:val="000000"/>
                      <w:kern w:val="21"/>
                      <w:sz w:val="21"/>
                      <w:szCs w:val="21"/>
                      <w:lang w:val="en-US" w:eastAsia="zh-CN"/>
                    </w:rPr>
                  </w:pPr>
                  <w:r>
                    <w:rPr>
                      <w:rFonts w:hint="eastAsia"/>
                      <w:snapToGrid w:val="0"/>
                      <w:color w:val="000000"/>
                      <w:kern w:val="21"/>
                      <w:sz w:val="21"/>
                      <w:szCs w:val="21"/>
                      <w:lang w:val="en-US" w:eastAsia="zh-CN"/>
                    </w:rPr>
                    <w:t>氨氮</w:t>
                  </w:r>
                </w:p>
              </w:tc>
              <w:tc>
                <w:tcPr>
                  <w:tcW w:w="593" w:type="pct"/>
                  <w:noWrap w:val="0"/>
                  <w:vAlign w:val="center"/>
                </w:tcPr>
                <w:p w14:paraId="00FEC4A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firstLine="0" w:firstLineChars="0"/>
                    <w:jc w:val="center"/>
                    <w:textAlignment w:val="auto"/>
                    <w:rPr>
                      <w:rFonts w:hint="default" w:ascii="Times New Roman" w:hAnsi="Times New Roman" w:eastAsia="宋体" w:cs="Times New Roman"/>
                      <w:color w:val="000000"/>
                      <w:sz w:val="21"/>
                      <w:szCs w:val="21"/>
                      <w:vertAlign w:val="baseline"/>
                      <w:lang w:val="en-US" w:eastAsia="zh-CN"/>
                    </w:rPr>
                  </w:pPr>
                  <w:r>
                    <w:rPr>
                      <w:rFonts w:hint="eastAsia" w:cs="Times New Roman"/>
                      <w:color w:val="000000"/>
                      <w:sz w:val="21"/>
                      <w:szCs w:val="21"/>
                      <w:vertAlign w:val="baseline"/>
                      <w:lang w:val="en-US" w:eastAsia="zh-CN"/>
                    </w:rPr>
                    <w:t>1.606</w:t>
                  </w:r>
                </w:p>
              </w:tc>
              <w:tc>
                <w:tcPr>
                  <w:tcW w:w="1048" w:type="pct"/>
                  <w:noWrap w:val="0"/>
                  <w:vAlign w:val="center"/>
                </w:tcPr>
                <w:p w14:paraId="64C3930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firstLine="0" w:firstLineChars="0"/>
                    <w:jc w:val="center"/>
                    <w:textAlignment w:val="auto"/>
                    <w:rPr>
                      <w:rFonts w:hint="default" w:ascii="Times New Roman" w:hAnsi="Times New Roman" w:eastAsia="宋体" w:cs="Times New Roman"/>
                      <w:color w:val="000000"/>
                      <w:sz w:val="21"/>
                      <w:szCs w:val="21"/>
                      <w:vertAlign w:val="baseline"/>
                      <w:lang w:val="en-US" w:eastAsia="zh-CN"/>
                    </w:rPr>
                  </w:pPr>
                  <w:r>
                    <w:rPr>
                      <w:rFonts w:hint="eastAsia" w:cs="Times New Roman"/>
                      <w:color w:val="000000"/>
                      <w:sz w:val="21"/>
                      <w:szCs w:val="21"/>
                      <w:vertAlign w:val="baseline"/>
                      <w:lang w:val="en-US" w:eastAsia="zh-CN"/>
                    </w:rPr>
                    <w:t>0.0055</w:t>
                  </w:r>
                </w:p>
              </w:tc>
              <w:tc>
                <w:tcPr>
                  <w:tcW w:w="741" w:type="pct"/>
                  <w:noWrap w:val="0"/>
                  <w:vAlign w:val="center"/>
                </w:tcPr>
                <w:p w14:paraId="056BB2B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firstLine="0" w:firstLineChars="0"/>
                    <w:jc w:val="center"/>
                    <w:textAlignment w:val="auto"/>
                    <w:rPr>
                      <w:rFonts w:hint="eastAsia" w:ascii="Times New Roman" w:hAnsi="Times New Roman" w:eastAsia="宋体" w:cs="Times New Roman"/>
                      <w:color w:val="000000"/>
                      <w:sz w:val="21"/>
                      <w:szCs w:val="21"/>
                      <w:vertAlign w:val="baseline"/>
                      <w:lang w:val="en-US" w:eastAsia="zh-CN"/>
                    </w:rPr>
                  </w:pPr>
                  <w:r>
                    <w:rPr>
                      <w:rFonts w:hint="eastAsia" w:cs="Times New Roman"/>
                      <w:color w:val="000000"/>
                      <w:sz w:val="21"/>
                      <w:szCs w:val="21"/>
                      <w:vertAlign w:val="baseline"/>
                      <w:lang w:val="en-US" w:eastAsia="zh-CN"/>
                    </w:rPr>
                    <w:t>2022年6月</w:t>
                  </w:r>
                </w:p>
              </w:tc>
              <w:tc>
                <w:tcPr>
                  <w:tcW w:w="704" w:type="pct"/>
                  <w:noWrap w:val="0"/>
                  <w:vAlign w:val="center"/>
                </w:tcPr>
                <w:p w14:paraId="11BD526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firstLine="0" w:firstLineChars="0"/>
                    <w:jc w:val="center"/>
                    <w:textAlignment w:val="auto"/>
                    <w:rPr>
                      <w:rFonts w:hint="eastAsia" w:ascii="Times New Roman" w:hAnsi="Times New Roman" w:eastAsia="宋体" w:cs="Times New Roman"/>
                      <w:color w:val="000000"/>
                      <w:sz w:val="21"/>
                      <w:szCs w:val="21"/>
                      <w:vertAlign w:val="baseline"/>
                      <w:lang w:val="en-US" w:eastAsia="zh-CN"/>
                    </w:rPr>
                  </w:pPr>
                  <w:r>
                    <w:rPr>
                      <w:rFonts w:hint="eastAsia" w:cs="Times New Roman"/>
                      <w:color w:val="000000"/>
                      <w:sz w:val="21"/>
                      <w:szCs w:val="21"/>
                      <w:vertAlign w:val="baseline"/>
                      <w:lang w:val="en-US" w:eastAsia="zh-CN"/>
                    </w:rPr>
                    <w:t>区内统筹调剂</w:t>
                  </w:r>
                </w:p>
              </w:tc>
            </w:tr>
          </w:tbl>
          <w:p w14:paraId="4B691E80">
            <w:pPr>
              <w:pStyle w:val="29"/>
              <w:ind w:left="0" w:leftChars="0" w:firstLine="0" w:firstLineChars="0"/>
              <w:rPr>
                <w:rFonts w:hint="default"/>
                <w:b/>
                <w:bCs/>
                <w:color w:val="000000" w:themeColor="text1"/>
                <w:highlight w:val="none"/>
                <w:lang w:val="en-US" w:eastAsia="zh-CN"/>
                <w14:textFill>
                  <w14:solidFill>
                    <w14:schemeClr w14:val="tx1"/>
                  </w14:solidFill>
                </w14:textFill>
              </w:rPr>
            </w:pPr>
            <w:r>
              <w:rPr>
                <w:rFonts w:hint="default"/>
                <w:b/>
                <w:bCs/>
                <w:color w:val="000000" w:themeColor="text1"/>
                <w:highlight w:val="none"/>
                <w:lang w:val="en-US" w:eastAsia="zh-CN"/>
                <w14:textFill>
                  <w14:solidFill>
                    <w14:schemeClr w14:val="tx1"/>
                  </w14:solidFill>
                </w14:textFill>
              </w:rPr>
              <w:t>7.2.5 监测结论</w:t>
            </w:r>
          </w:p>
          <w:p w14:paraId="05D5DBEC">
            <w:pPr>
              <w:pStyle w:val="78"/>
              <w:spacing w:line="360" w:lineRule="auto"/>
              <w:ind w:left="0" w:leftChars="0" w:firstLine="560" w:firstLineChars="200"/>
              <w:jc w:val="left"/>
              <w:rPr>
                <w:rFonts w:hint="default" w:eastAsia="仿宋" w:cs="仿宋"/>
                <w:b w:val="0"/>
                <w:bCs w:val="0"/>
                <w:color w:val="000000"/>
                <w:sz w:val="28"/>
                <w:szCs w:val="28"/>
                <w:lang w:val="en-US" w:eastAsia="zh-CN"/>
              </w:rPr>
            </w:pPr>
            <w:r>
              <w:rPr>
                <w:rFonts w:eastAsia="仿宋"/>
                <w:b w:val="0"/>
                <w:bCs/>
                <w:sz w:val="28"/>
                <w:szCs w:val="28"/>
              </w:rPr>
              <w:t>本次监测</w:t>
            </w:r>
            <w:r>
              <w:rPr>
                <w:rFonts w:hint="eastAsia" w:eastAsia="仿宋"/>
                <w:b w:val="0"/>
                <w:bCs/>
                <w:sz w:val="28"/>
                <w:szCs w:val="28"/>
                <w:lang w:val="en-US" w:eastAsia="zh-CN"/>
              </w:rPr>
              <w:t>的废水、废气、噪声都达到标准排放。</w:t>
            </w:r>
          </w:p>
          <w:p w14:paraId="7B32A54C">
            <w:pPr>
              <w:pStyle w:val="29"/>
              <w:bidi w:val="0"/>
              <w:ind w:left="0" w:leftChars="0" w:firstLine="480" w:firstLineChars="200"/>
              <w:jc w:val="left"/>
              <w:rPr>
                <w:rFonts w:hint="default"/>
                <w:color w:val="auto"/>
                <w:sz w:val="24"/>
                <w:highlight w:val="none"/>
                <w:lang w:val="en-US" w:eastAsia="zh-CN"/>
              </w:rPr>
            </w:pPr>
            <w:r>
              <w:rPr>
                <w:rFonts w:hint="default"/>
                <w:color w:val="auto"/>
                <w:sz w:val="24"/>
                <w:highlight w:val="none"/>
                <w:lang w:val="en-US" w:eastAsia="zh-CN"/>
              </w:rPr>
              <w:t>总量：总量满足环评及批复要求。</w:t>
            </w:r>
          </w:p>
          <w:p w14:paraId="1D0F4DAD">
            <w:pPr>
              <w:pStyle w:val="29"/>
              <w:bidi w:val="0"/>
              <w:ind w:left="0" w:leftChars="0" w:firstLine="0" w:firstLineChars="0"/>
              <w:jc w:val="left"/>
              <w:rPr>
                <w:rFonts w:hint="default"/>
                <w:b/>
                <w:bCs/>
                <w:color w:val="auto"/>
                <w:sz w:val="24"/>
                <w:highlight w:val="none"/>
                <w:lang w:val="en-US" w:eastAsia="zh-CN"/>
              </w:rPr>
            </w:pPr>
            <w:r>
              <w:rPr>
                <w:rFonts w:hint="default"/>
                <w:b/>
                <w:bCs/>
                <w:color w:val="auto"/>
                <w:sz w:val="24"/>
                <w:highlight w:val="none"/>
                <w:lang w:val="en-US" w:eastAsia="zh-CN"/>
              </w:rPr>
              <w:t>7.3 环境质量</w:t>
            </w:r>
          </w:p>
          <w:p w14:paraId="5DA91313">
            <w:pPr>
              <w:pStyle w:val="29"/>
              <w:ind w:firstLine="480"/>
              <w:rPr>
                <w:rFonts w:hint="default"/>
                <w:color w:val="auto"/>
                <w:sz w:val="24"/>
                <w:highlight w:val="none"/>
                <w:lang w:val="en-US" w:eastAsia="zh-CN"/>
              </w:rPr>
            </w:pPr>
            <w:r>
              <w:rPr>
                <w:rFonts w:hint="eastAsia"/>
                <w:color w:val="auto"/>
              </w:rPr>
              <w:t>根据</w:t>
            </w:r>
            <w:r>
              <w:rPr>
                <w:rFonts w:hint="eastAsia"/>
                <w:color w:val="auto"/>
                <w:lang w:val="en-US" w:eastAsia="zh-CN"/>
              </w:rPr>
              <w:t>环境质量现状</w:t>
            </w:r>
            <w:r>
              <w:rPr>
                <w:rFonts w:hint="eastAsia"/>
                <w:color w:val="auto"/>
              </w:rPr>
              <w:t>监测结果可知，项目所在区域环境空气具有一定的容量。项目</w:t>
            </w:r>
            <w:r>
              <w:rPr>
                <w:rFonts w:hint="eastAsia"/>
                <w:color w:val="auto"/>
                <w:lang w:val="en-US" w:eastAsia="zh-CN"/>
              </w:rPr>
              <w:t>废气经过配套的废气治理设备处理后能够达标排放</w:t>
            </w:r>
            <w:r>
              <w:rPr>
                <w:rFonts w:hint="eastAsia"/>
                <w:color w:val="auto"/>
                <w:lang w:eastAsia="zh-CN"/>
              </w:rPr>
              <w:t>，</w:t>
            </w:r>
            <w:r>
              <w:rPr>
                <w:rFonts w:hint="eastAsia"/>
                <w:color w:val="auto"/>
                <w:lang w:val="en-US" w:eastAsia="zh-CN"/>
              </w:rPr>
              <w:t>排放浓度低，排放量少</w:t>
            </w:r>
            <w:r>
              <w:rPr>
                <w:rFonts w:hint="eastAsia"/>
                <w:color w:val="auto"/>
                <w:lang w:eastAsia="zh-CN"/>
              </w:rPr>
              <w:t>，</w:t>
            </w:r>
            <w:r>
              <w:rPr>
                <w:rFonts w:hint="eastAsia"/>
                <w:color w:val="auto"/>
                <w:lang w:val="en-US" w:eastAsia="zh-CN"/>
              </w:rPr>
              <w:t>对外环境影响小</w:t>
            </w:r>
            <w:r>
              <w:rPr>
                <w:rFonts w:hint="eastAsia"/>
                <w:color w:val="auto"/>
              </w:rPr>
              <w:t>。同时项目加强了废气收集措施</w:t>
            </w:r>
            <w:r>
              <w:rPr>
                <w:rFonts w:hint="eastAsia"/>
                <w:color w:val="auto"/>
                <w:lang w:eastAsia="zh-CN"/>
              </w:rPr>
              <w:t>，</w:t>
            </w:r>
            <w:r>
              <w:rPr>
                <w:rFonts w:hint="eastAsia"/>
                <w:color w:val="auto"/>
                <w:lang w:val="en-US" w:eastAsia="zh-CN"/>
              </w:rPr>
              <w:t>减少</w:t>
            </w:r>
            <w:r>
              <w:rPr>
                <w:rFonts w:hint="eastAsia"/>
                <w:color w:val="auto"/>
              </w:rPr>
              <w:t>无组织排放量，对周边环境影响较小。</w:t>
            </w:r>
          </w:p>
        </w:tc>
      </w:tr>
    </w:tbl>
    <w:p w14:paraId="5647EEC2">
      <w:pPr>
        <w:pStyle w:val="15"/>
        <w:widowControl w:val="0"/>
        <w:numPr>
          <w:ilvl w:val="0"/>
          <w:numId w:val="0"/>
        </w:numPr>
        <w:jc w:val="both"/>
      </w:pPr>
    </w:p>
    <w:tbl>
      <w:tblPr>
        <w:tblStyle w:val="23"/>
        <w:tblW w:w="5745"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9792"/>
      </w:tblGrid>
      <w:tr w14:paraId="368AEE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3571" w:hRule="atLeast"/>
          <w:jc w:val="center"/>
        </w:trPr>
        <w:tc>
          <w:tcPr>
            <w:tcW w:w="5000" w:type="pct"/>
            <w:noWrap w:val="0"/>
            <w:vAlign w:val="top"/>
          </w:tcPr>
          <w:p w14:paraId="69D98329">
            <w:pPr>
              <w:keepNext w:val="0"/>
              <w:keepLines w:val="0"/>
              <w:pageBreakBefore w:val="0"/>
              <w:widowControl w:val="0"/>
              <w:kinsoku/>
              <w:wordWrap/>
              <w:overflowPunct/>
              <w:topLinePunct w:val="0"/>
              <w:bidi w:val="0"/>
              <w:spacing w:line="360" w:lineRule="auto"/>
              <w:rPr>
                <w:rFonts w:hint="default" w:ascii="Times New Roman" w:hAnsi="Times New Roman" w:eastAsia="宋体" w:cstheme="minorBidi"/>
                <w:b/>
                <w:bCs/>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eastAsia="宋体" w:cstheme="minorBidi"/>
                <w:b/>
                <w:bCs/>
                <w:color w:val="000000" w:themeColor="text1"/>
                <w:kern w:val="2"/>
                <w:sz w:val="24"/>
                <w:szCs w:val="24"/>
                <w:highlight w:val="none"/>
                <w:lang w:val="en-US" w:eastAsia="zh-CN" w:bidi="ar-SA"/>
                <w14:textFill>
                  <w14:solidFill>
                    <w14:schemeClr w14:val="tx1"/>
                  </w14:solidFill>
                </w14:textFill>
              </w:rPr>
              <w:t>8 验收监测结论</w:t>
            </w:r>
          </w:p>
          <w:p w14:paraId="3E7BCD78">
            <w:pPr>
              <w:keepNext w:val="0"/>
              <w:keepLines w:val="0"/>
              <w:pageBreakBefore w:val="0"/>
              <w:widowControl w:val="0"/>
              <w:kinsoku/>
              <w:wordWrap/>
              <w:overflowPunct/>
              <w:topLinePunct w:val="0"/>
              <w:bidi w:val="0"/>
              <w:spacing w:line="360" w:lineRule="auto"/>
              <w:rPr>
                <w:rFonts w:hint="default" w:ascii="Times New Roman" w:hAnsi="Times New Roman" w:eastAsia="宋体" w:cstheme="minorBidi"/>
                <w:b/>
                <w:bCs/>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eastAsia="宋体" w:cstheme="minorBidi"/>
                <w:b/>
                <w:bCs/>
                <w:color w:val="000000" w:themeColor="text1"/>
                <w:kern w:val="2"/>
                <w:sz w:val="24"/>
                <w:szCs w:val="24"/>
                <w:highlight w:val="none"/>
                <w:lang w:val="en-US" w:eastAsia="zh-CN" w:bidi="ar-SA"/>
                <w14:textFill>
                  <w14:solidFill>
                    <w14:schemeClr w14:val="tx1"/>
                  </w14:solidFill>
                </w14:textFill>
              </w:rPr>
              <w:t>8.1项目概况</w:t>
            </w:r>
          </w:p>
          <w:p w14:paraId="6052A696">
            <w:pPr>
              <w:keepNext w:val="0"/>
              <w:keepLines w:val="0"/>
              <w:pageBreakBefore w:val="0"/>
              <w:widowControl w:val="0"/>
              <w:kinsoku/>
              <w:wordWrap/>
              <w:overflowPunct/>
              <w:topLinePunct w:val="0"/>
              <w:bidi w:val="0"/>
              <w:spacing w:line="360" w:lineRule="auto"/>
              <w:rPr>
                <w:rFonts w:hint="default" w:ascii="Times New Roman" w:hAnsi="Times New Roman" w:eastAsia="宋体" w:cstheme="minorBidi"/>
                <w:b/>
                <w:bCs/>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eastAsia="宋体" w:cstheme="minorBidi"/>
                <w:b/>
                <w:bCs/>
                <w:color w:val="000000" w:themeColor="text1"/>
                <w:kern w:val="2"/>
                <w:sz w:val="24"/>
                <w:szCs w:val="24"/>
                <w:highlight w:val="none"/>
                <w:lang w:val="en-US" w:eastAsia="zh-CN" w:bidi="ar-SA"/>
                <w14:textFill>
                  <w14:solidFill>
                    <w14:schemeClr w14:val="tx1"/>
                  </w14:solidFill>
                </w14:textFill>
              </w:rPr>
              <w:t>8.1.1建设地点、主要建设内容及规模</w:t>
            </w:r>
          </w:p>
          <w:p w14:paraId="798A6EA3">
            <w:pPr>
              <w:pStyle w:val="29"/>
              <w:bidi w:val="0"/>
              <w:ind w:left="0" w:leftChars="0" w:firstLine="480" w:firstLineChars="200"/>
              <w:jc w:val="both"/>
              <w:rPr>
                <w:rFonts w:hint="default" w:ascii="Times New Roman" w:hAnsi="Times New Roman" w:eastAsia="宋体" w:cstheme="minorBidi"/>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eastAsia="宋体" w:cstheme="minorBidi"/>
                <w:color w:val="000000" w:themeColor="text1"/>
                <w:kern w:val="2"/>
                <w:sz w:val="24"/>
                <w:szCs w:val="24"/>
                <w:highlight w:val="none"/>
                <w:lang w:val="en-US" w:eastAsia="zh-CN" w:bidi="ar-SA"/>
                <w14:textFill>
                  <w14:solidFill>
                    <w14:schemeClr w14:val="tx1"/>
                  </w14:solidFill>
                </w14:textFill>
              </w:rPr>
              <w:t>环评及批复核定的建设内容及规模：</w:t>
            </w:r>
          </w:p>
          <w:p w14:paraId="1F520940">
            <w:pPr>
              <w:keepLines w:val="0"/>
              <w:pageBreakBefore w:val="0"/>
              <w:widowControl w:val="0"/>
              <w:kinsoku/>
              <w:wordWrap/>
              <w:topLinePunct w:val="0"/>
              <w:autoSpaceDE/>
              <w:autoSpaceDN/>
              <w:bidi w:val="0"/>
              <w:adjustRightInd/>
              <w:spacing w:line="440" w:lineRule="exact"/>
              <w:ind w:firstLine="420" w:firstLineChars="200"/>
              <w:textAlignment w:val="auto"/>
              <w:rPr>
                <w:rFonts w:hint="default"/>
                <w:color w:val="000000"/>
                <w:sz w:val="24"/>
                <w:szCs w:val="24"/>
                <w:lang w:val="en-US" w:eastAsia="zh-CN"/>
              </w:rPr>
            </w:pPr>
            <w:r>
              <w:rPr>
                <w:rFonts w:hint="eastAsia"/>
                <w:color w:val="000000"/>
                <w:lang w:eastAsia="zh-CN"/>
              </w:rPr>
              <w:t>租赁标准厂房建筑面积</w:t>
            </w:r>
            <w:r>
              <w:rPr>
                <w:rFonts w:hint="eastAsia"/>
                <w:color w:val="000000"/>
                <w:lang w:val="en-US" w:eastAsia="zh-CN"/>
              </w:rPr>
              <w:t>662.74</w:t>
            </w:r>
            <w:r>
              <w:rPr>
                <w:rFonts w:hint="eastAsia"/>
                <w:color w:val="000000"/>
                <w:lang w:eastAsia="zh-CN"/>
              </w:rPr>
              <w:t>平方米，建设废铅蓄电池贮存仓库（不含废铅蓄电池处置），设置贮存一区以及贮存二区两个贮存区，其中贮存一区设置为未破损废铅蓄电池贮存区，贮存二区设置为破损废铅蓄电池贮存区，贮存设施最大储存废铅蓄电池</w:t>
            </w:r>
            <w:r>
              <w:rPr>
                <w:rFonts w:hint="eastAsia"/>
                <w:color w:val="000000"/>
                <w:lang w:val="en-US" w:eastAsia="zh-CN"/>
              </w:rPr>
              <w:t>25</w:t>
            </w:r>
            <w:r>
              <w:rPr>
                <w:rFonts w:hint="eastAsia"/>
                <w:color w:val="000000"/>
                <w:lang w:eastAsia="zh-CN"/>
              </w:rPr>
              <w:t>吨，年转运废铅蓄电池1000吨</w:t>
            </w:r>
            <w:r>
              <w:rPr>
                <w:rFonts w:hint="eastAsia"/>
                <w:color w:val="000000"/>
                <w:sz w:val="24"/>
                <w:szCs w:val="24"/>
                <w:lang w:val="en-US" w:eastAsia="zh-CN"/>
              </w:rPr>
              <w:t>。</w:t>
            </w:r>
          </w:p>
          <w:p w14:paraId="6E6E0F4C">
            <w:pPr>
              <w:pStyle w:val="12"/>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contextualSpacing/>
              <w:jc w:val="both"/>
              <w:textAlignment w:val="auto"/>
              <w:rPr>
                <w:rFonts w:hint="default" w:asciiTheme="minorHAnsi" w:hAnsiTheme="minorHAnsi" w:eastAsiaTheme="minorEastAsia" w:cstheme="minorBidi"/>
                <w:color w:val="auto"/>
                <w:kern w:val="0"/>
                <w:sz w:val="24"/>
                <w:szCs w:val="20"/>
                <w:highlight w:val="none"/>
                <w:lang w:val="en-US" w:eastAsia="en-US" w:bidi="ar-SA"/>
              </w:rPr>
            </w:pPr>
            <w:r>
              <w:rPr>
                <w:rFonts w:hint="default" w:asciiTheme="minorHAnsi" w:hAnsiTheme="minorHAnsi" w:eastAsiaTheme="minorEastAsia" w:cstheme="minorBidi"/>
                <w:color w:val="auto"/>
                <w:kern w:val="0"/>
                <w:sz w:val="24"/>
                <w:szCs w:val="20"/>
                <w:highlight w:val="none"/>
                <w:lang w:val="en-US" w:eastAsia="en-US" w:bidi="ar-SA"/>
              </w:rPr>
              <w:t>劳动定员及工作制度：</w:t>
            </w:r>
          </w:p>
          <w:p w14:paraId="63D0F7D5">
            <w:pPr>
              <w:keepLines w:val="0"/>
              <w:pageBreakBefore w:val="0"/>
              <w:widowControl w:val="0"/>
              <w:kinsoku/>
              <w:wordWrap/>
              <w:topLinePunct w:val="0"/>
              <w:autoSpaceDE/>
              <w:autoSpaceDN/>
              <w:bidi w:val="0"/>
              <w:adjustRightInd/>
              <w:spacing w:line="460" w:lineRule="exact"/>
              <w:ind w:firstLine="480" w:firstLineChars="200"/>
              <w:textAlignment w:val="auto"/>
              <w:rPr>
                <w:rFonts w:hint="default" w:eastAsia="宋体"/>
                <w:color w:val="000000"/>
                <w:sz w:val="24"/>
                <w:szCs w:val="24"/>
                <w:lang w:val="en-US" w:eastAsia="zh-CN"/>
              </w:rPr>
            </w:pPr>
            <w:r>
              <w:rPr>
                <w:rFonts w:hint="eastAsia"/>
                <w:color w:val="000000"/>
                <w:sz w:val="24"/>
                <w:szCs w:val="24"/>
                <w:lang w:eastAsia="zh-CN"/>
              </w:rPr>
              <w:t>本项目</w:t>
            </w:r>
            <w:r>
              <w:rPr>
                <w:rFonts w:hint="eastAsia"/>
                <w:color w:val="000000"/>
                <w:sz w:val="24"/>
                <w:szCs w:val="24"/>
              </w:rPr>
              <w:t>劳动定员共</w:t>
            </w:r>
            <w:r>
              <w:rPr>
                <w:rFonts w:hint="eastAsia"/>
                <w:color w:val="000000"/>
                <w:sz w:val="24"/>
                <w:szCs w:val="24"/>
                <w:lang w:val="en-US" w:eastAsia="zh-CN"/>
              </w:rPr>
              <w:t>6</w:t>
            </w:r>
            <w:r>
              <w:rPr>
                <w:rFonts w:hint="eastAsia"/>
                <w:color w:val="000000"/>
                <w:sz w:val="24"/>
                <w:szCs w:val="24"/>
              </w:rPr>
              <w:t>人，8小时工作制，年工作</w:t>
            </w:r>
            <w:r>
              <w:rPr>
                <w:color w:val="000000"/>
                <w:sz w:val="24"/>
                <w:szCs w:val="24"/>
              </w:rPr>
              <w:t>365</w:t>
            </w:r>
            <w:r>
              <w:rPr>
                <w:rFonts w:hint="eastAsia"/>
                <w:color w:val="000000"/>
                <w:sz w:val="24"/>
                <w:szCs w:val="24"/>
              </w:rPr>
              <w:t>天。</w:t>
            </w:r>
            <w:r>
              <w:rPr>
                <w:rFonts w:hint="eastAsia"/>
                <w:color w:val="000000"/>
                <w:sz w:val="24"/>
                <w:szCs w:val="24"/>
                <w:lang w:eastAsia="zh-CN"/>
              </w:rPr>
              <w:t>安排</w:t>
            </w:r>
            <w:r>
              <w:rPr>
                <w:rFonts w:hint="eastAsia"/>
                <w:color w:val="000000"/>
                <w:sz w:val="24"/>
                <w:szCs w:val="24"/>
                <w:lang w:val="en-US" w:eastAsia="zh-CN"/>
              </w:rPr>
              <w:t>1人在厂区进行全天24h监管。</w:t>
            </w:r>
          </w:p>
          <w:p w14:paraId="43B305C6">
            <w:pPr>
              <w:pStyle w:val="29"/>
              <w:bidi w:val="0"/>
              <w:rPr>
                <w:rFonts w:hint="eastAsia" w:ascii="Times New Roman" w:hAnsi="Times New Roman" w:eastAsia="宋体"/>
                <w:b w:val="0"/>
                <w:bCs w:val="0"/>
                <w:color w:val="000000" w:themeColor="text1"/>
                <w:lang w:val="en-US" w:eastAsia="zh-CN"/>
                <w14:textFill>
                  <w14:solidFill>
                    <w14:schemeClr w14:val="tx1"/>
                  </w14:solidFill>
                </w14:textFill>
              </w:rPr>
            </w:pPr>
            <w:r>
              <w:rPr>
                <w:rFonts w:hint="default" w:ascii="Times New Roman" w:hAnsi="Times New Roman" w:eastAsia="宋体"/>
                <w:b w:val="0"/>
                <w:bCs w:val="0"/>
                <w:color w:val="000000" w:themeColor="text1"/>
                <w:lang w:val="en-US"/>
                <w14:textFill>
                  <w14:solidFill>
                    <w14:schemeClr w14:val="tx1"/>
                  </w14:solidFill>
                </w14:textFill>
              </w:rPr>
              <w:t>实际验收内容</w:t>
            </w:r>
            <w:r>
              <w:rPr>
                <w:rFonts w:hint="eastAsia" w:ascii="Times New Roman" w:hAnsi="Times New Roman" w:eastAsia="宋体"/>
                <w:b w:val="0"/>
                <w:bCs w:val="0"/>
                <w:color w:val="000000" w:themeColor="text1"/>
                <w:lang w:val="en-US" w:eastAsia="zh-CN"/>
                <w14:textFill>
                  <w14:solidFill>
                    <w14:schemeClr w14:val="tx1"/>
                  </w14:solidFill>
                </w14:textFill>
              </w:rPr>
              <w:t>：</w:t>
            </w:r>
          </w:p>
          <w:p w14:paraId="6B47B98B">
            <w:pPr>
              <w:keepLines w:val="0"/>
              <w:pageBreakBefore w:val="0"/>
              <w:widowControl w:val="0"/>
              <w:kinsoku/>
              <w:wordWrap/>
              <w:topLinePunct w:val="0"/>
              <w:autoSpaceDE/>
              <w:autoSpaceDN/>
              <w:bidi w:val="0"/>
              <w:adjustRightInd/>
              <w:spacing w:line="440" w:lineRule="exact"/>
              <w:ind w:firstLine="420" w:firstLineChars="200"/>
              <w:textAlignment w:val="auto"/>
              <w:rPr>
                <w:rFonts w:hint="default"/>
                <w:color w:val="000000"/>
                <w:sz w:val="24"/>
                <w:szCs w:val="24"/>
                <w:lang w:val="en-US" w:eastAsia="zh-CN"/>
              </w:rPr>
            </w:pPr>
            <w:r>
              <w:rPr>
                <w:rFonts w:hint="eastAsia"/>
                <w:color w:val="000000"/>
                <w:lang w:eastAsia="zh-CN"/>
              </w:rPr>
              <w:t>租赁标准厂房建筑面积</w:t>
            </w:r>
            <w:r>
              <w:rPr>
                <w:rFonts w:hint="eastAsia"/>
                <w:color w:val="000000"/>
                <w:lang w:val="en-US" w:eastAsia="zh-CN"/>
              </w:rPr>
              <w:t>662.74</w:t>
            </w:r>
            <w:r>
              <w:rPr>
                <w:rFonts w:hint="eastAsia"/>
                <w:color w:val="000000"/>
                <w:lang w:eastAsia="zh-CN"/>
              </w:rPr>
              <w:t>平方米，建设废铅蓄电池贮存仓库（不含废铅蓄电池处置），设置贮存一区以及贮存二区两个贮存区，其中贮存一区设置为未破损废铅蓄电池贮存区，贮存二区设置为破损废铅蓄电池贮存区，贮存设施最大储存废铅蓄电池</w:t>
            </w:r>
            <w:r>
              <w:rPr>
                <w:rFonts w:hint="eastAsia"/>
                <w:color w:val="000000"/>
                <w:lang w:val="en-US" w:eastAsia="zh-CN"/>
              </w:rPr>
              <w:t>25</w:t>
            </w:r>
            <w:r>
              <w:rPr>
                <w:rFonts w:hint="eastAsia"/>
                <w:color w:val="000000"/>
                <w:lang w:eastAsia="zh-CN"/>
              </w:rPr>
              <w:t>吨，年转运废铅蓄电池1000吨</w:t>
            </w:r>
            <w:r>
              <w:rPr>
                <w:rFonts w:hint="eastAsia"/>
                <w:color w:val="000000"/>
                <w:sz w:val="24"/>
                <w:szCs w:val="24"/>
                <w:lang w:val="en-US" w:eastAsia="zh-CN"/>
              </w:rPr>
              <w:t>。</w:t>
            </w:r>
          </w:p>
          <w:p w14:paraId="268002A6">
            <w:pPr>
              <w:pStyle w:val="12"/>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contextualSpacing/>
              <w:jc w:val="both"/>
              <w:textAlignment w:val="auto"/>
              <w:rPr>
                <w:rFonts w:hint="default" w:asciiTheme="minorHAnsi" w:hAnsiTheme="minorHAnsi" w:eastAsiaTheme="minorEastAsia" w:cstheme="minorBidi"/>
                <w:color w:val="auto"/>
                <w:kern w:val="0"/>
                <w:sz w:val="24"/>
                <w:szCs w:val="20"/>
                <w:highlight w:val="none"/>
                <w:lang w:val="en-US" w:eastAsia="en-US" w:bidi="ar-SA"/>
              </w:rPr>
            </w:pPr>
            <w:r>
              <w:rPr>
                <w:rFonts w:hint="default" w:asciiTheme="minorHAnsi" w:hAnsiTheme="minorHAnsi" w:eastAsiaTheme="minorEastAsia" w:cstheme="minorBidi"/>
                <w:color w:val="auto"/>
                <w:kern w:val="0"/>
                <w:sz w:val="24"/>
                <w:szCs w:val="20"/>
                <w:highlight w:val="none"/>
                <w:lang w:val="en-US" w:eastAsia="en-US" w:bidi="ar-SA"/>
              </w:rPr>
              <w:t>劳动定员及工作制度：</w:t>
            </w:r>
          </w:p>
          <w:p w14:paraId="6CF6A41D">
            <w:pPr>
              <w:keepLines w:val="0"/>
              <w:pageBreakBefore w:val="0"/>
              <w:widowControl w:val="0"/>
              <w:kinsoku/>
              <w:wordWrap/>
              <w:topLinePunct w:val="0"/>
              <w:autoSpaceDE/>
              <w:autoSpaceDN/>
              <w:bidi w:val="0"/>
              <w:adjustRightInd/>
              <w:spacing w:line="460" w:lineRule="exact"/>
              <w:ind w:firstLine="480" w:firstLineChars="200"/>
              <w:textAlignment w:val="auto"/>
              <w:rPr>
                <w:rFonts w:hint="default" w:eastAsia="宋体"/>
                <w:color w:val="000000"/>
                <w:sz w:val="24"/>
                <w:szCs w:val="24"/>
                <w:lang w:val="en-US" w:eastAsia="zh-CN"/>
              </w:rPr>
            </w:pPr>
            <w:r>
              <w:rPr>
                <w:rFonts w:hint="eastAsia"/>
                <w:color w:val="000000"/>
                <w:sz w:val="24"/>
                <w:szCs w:val="24"/>
                <w:lang w:eastAsia="zh-CN"/>
              </w:rPr>
              <w:t>本项目</w:t>
            </w:r>
            <w:r>
              <w:rPr>
                <w:rFonts w:hint="eastAsia"/>
                <w:color w:val="000000"/>
                <w:sz w:val="24"/>
                <w:szCs w:val="24"/>
              </w:rPr>
              <w:t>劳动定员共</w:t>
            </w:r>
            <w:r>
              <w:rPr>
                <w:rFonts w:hint="eastAsia"/>
                <w:color w:val="000000"/>
                <w:sz w:val="24"/>
                <w:szCs w:val="24"/>
                <w:lang w:val="en-US" w:eastAsia="zh-CN"/>
              </w:rPr>
              <w:t>6</w:t>
            </w:r>
            <w:r>
              <w:rPr>
                <w:rFonts w:hint="eastAsia"/>
                <w:color w:val="000000"/>
                <w:sz w:val="24"/>
                <w:szCs w:val="24"/>
              </w:rPr>
              <w:t>人，8小时工作制，年工作</w:t>
            </w:r>
            <w:r>
              <w:rPr>
                <w:color w:val="000000"/>
                <w:sz w:val="24"/>
                <w:szCs w:val="24"/>
              </w:rPr>
              <w:t>365</w:t>
            </w:r>
            <w:r>
              <w:rPr>
                <w:rFonts w:hint="eastAsia"/>
                <w:color w:val="000000"/>
                <w:sz w:val="24"/>
                <w:szCs w:val="24"/>
              </w:rPr>
              <w:t>天。</w:t>
            </w:r>
            <w:r>
              <w:rPr>
                <w:rFonts w:hint="eastAsia"/>
                <w:color w:val="000000"/>
                <w:sz w:val="24"/>
                <w:szCs w:val="24"/>
                <w:lang w:eastAsia="zh-CN"/>
              </w:rPr>
              <w:t>安排</w:t>
            </w:r>
            <w:r>
              <w:rPr>
                <w:rFonts w:hint="eastAsia"/>
                <w:color w:val="000000"/>
                <w:sz w:val="24"/>
                <w:szCs w:val="24"/>
                <w:lang w:val="en-US" w:eastAsia="zh-CN"/>
              </w:rPr>
              <w:t>1人在厂区进行全天24h监管。</w:t>
            </w:r>
          </w:p>
          <w:p w14:paraId="24698F22">
            <w:pPr>
              <w:keepNext w:val="0"/>
              <w:keepLines w:val="0"/>
              <w:pageBreakBefore w:val="0"/>
              <w:widowControl w:val="0"/>
              <w:kinsoku/>
              <w:wordWrap/>
              <w:overflowPunct/>
              <w:topLinePunct w:val="0"/>
              <w:bidi w:val="0"/>
              <w:spacing w:line="360" w:lineRule="auto"/>
              <w:rPr>
                <w:rFonts w:hint="default" w:ascii="Times New Roman" w:hAnsi="Times New Roman" w:eastAsia="宋体" w:cstheme="minorBidi"/>
                <w:b/>
                <w:bCs/>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eastAsia="宋体" w:cstheme="minorBidi"/>
                <w:b/>
                <w:bCs/>
                <w:color w:val="000000" w:themeColor="text1"/>
                <w:kern w:val="2"/>
                <w:sz w:val="24"/>
                <w:szCs w:val="24"/>
                <w:highlight w:val="none"/>
                <w:lang w:val="en-US" w:eastAsia="zh-CN" w:bidi="ar-SA"/>
                <w14:textFill>
                  <w14:solidFill>
                    <w14:schemeClr w14:val="tx1"/>
                  </w14:solidFill>
                </w14:textFill>
              </w:rPr>
              <w:t>8.1.2项目建设过程及环保审批情况</w:t>
            </w:r>
          </w:p>
          <w:p w14:paraId="0AEF83C6">
            <w:pPr>
              <w:pStyle w:val="30"/>
              <w:ind w:firstLine="0" w:firstLineChars="0"/>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（1</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14:textFill>
                  <w14:solidFill>
                    <w14:schemeClr w14:val="tx1"/>
                  </w14:solidFill>
                </w14:textFill>
              </w:rPr>
              <w:t>20</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2</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5</w:t>
            </w:r>
            <w:r>
              <w:rPr>
                <w:rFonts w:hint="default" w:ascii="Times New Roman" w:hAnsi="Times New Roman" w:eastAsia="宋体" w:cs="Times New Roman"/>
                <w:color w:val="000000" w:themeColor="text1"/>
                <w:sz w:val="24"/>
                <w:szCs w:val="24"/>
                <w:highlight w:val="none"/>
                <w14:textFill>
                  <w14:solidFill>
                    <w14:schemeClr w14:val="tx1"/>
                  </w14:solidFill>
                </w14:textFill>
              </w:rPr>
              <w:t>年</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9</w:t>
            </w:r>
            <w:r>
              <w:rPr>
                <w:rFonts w:hint="default" w:ascii="Times New Roman" w:hAnsi="Times New Roman" w:eastAsia="宋体" w:cs="Times New Roman"/>
                <w:color w:val="000000" w:themeColor="text1"/>
                <w:sz w:val="24"/>
                <w:szCs w:val="24"/>
                <w:highlight w:val="none"/>
                <w14:textFill>
                  <w14:solidFill>
                    <w14:schemeClr w14:val="tx1"/>
                  </w14:solidFill>
                </w14:textFill>
              </w:rPr>
              <w:t>月，</w:t>
            </w:r>
            <w:r>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t>重庆东驰环保工程有限公司</w:t>
            </w:r>
            <w:r>
              <w:rPr>
                <w:rFonts w:hint="default" w:ascii="Times New Roman" w:hAnsi="Times New Roman" w:eastAsia="宋体" w:cs="Times New Roman"/>
                <w:color w:val="000000" w:themeColor="text1"/>
                <w:sz w:val="24"/>
                <w:szCs w:val="24"/>
                <w:highlight w:val="none"/>
                <w14:textFill>
                  <w14:solidFill>
                    <w14:schemeClr w14:val="tx1"/>
                  </w14:solidFill>
                </w14:textFill>
              </w:rPr>
              <w:t>编制完成了《</w:t>
            </w:r>
            <w:r>
              <w:rPr>
                <w:rFonts w:hint="eastAsia" w:ascii="Times New Roman" w:hAnsi="Times New Roman" w:eastAsia="宋体" w:cs="Times New Roman"/>
                <w:bCs/>
                <w:color w:val="000000" w:themeColor="text1"/>
                <w:sz w:val="24"/>
                <w:szCs w:val="24"/>
                <w:highlight w:val="none"/>
                <w:lang w:val="en-US" w:eastAsia="zh-CN"/>
                <w14:textFill>
                  <w14:solidFill>
                    <w14:schemeClr w14:val="tx1"/>
                  </w14:solidFill>
                </w14:textFill>
              </w:rPr>
              <w:t>重庆创池再生资源回收有限公司</w:t>
            </w:r>
            <w:r>
              <w:rPr>
                <w:rFonts w:hint="eastAsia" w:eastAsia="宋体"/>
                <w:color w:val="000000" w:themeColor="text1"/>
                <w:lang w:eastAsia="zh-CN"/>
                <w14:textFill>
                  <w14:solidFill>
                    <w14:schemeClr w14:val="tx1"/>
                  </w14:solidFill>
                </w14:textFill>
              </w:rPr>
              <w:t>创池危险废物集中收集转运项目</w:t>
            </w:r>
            <w:r>
              <w:rPr>
                <w:rFonts w:hint="default" w:ascii="Times New Roman" w:hAnsi="Times New Roman" w:eastAsia="宋体" w:cs="Times New Roman"/>
                <w:color w:val="000000" w:themeColor="text1"/>
                <w:sz w:val="24"/>
                <w:szCs w:val="24"/>
                <w:highlight w:val="none"/>
                <w14:textFill>
                  <w14:solidFill>
                    <w14:schemeClr w14:val="tx1"/>
                  </w14:solidFill>
                </w14:textFill>
              </w:rPr>
              <w:t>环境影响报告</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表</w:t>
            </w:r>
            <w:r>
              <w:rPr>
                <w:rFonts w:hint="default" w:ascii="Times New Roman" w:hAnsi="Times New Roman" w:eastAsia="宋体" w:cs="Times New Roman"/>
                <w:color w:val="000000" w:themeColor="text1"/>
                <w:sz w:val="24"/>
                <w:szCs w:val="24"/>
                <w:highlight w:val="none"/>
                <w14:textFill>
                  <w14:solidFill>
                    <w14:schemeClr w14:val="tx1"/>
                  </w14:solidFill>
                </w14:textFill>
              </w:rPr>
              <w:t>》；</w:t>
            </w:r>
          </w:p>
          <w:p w14:paraId="1412539D">
            <w:pPr>
              <w:pStyle w:val="30"/>
              <w:ind w:firstLine="0" w:firstLineChars="0"/>
              <w:rPr>
                <w:rFonts w:hint="default" w:ascii="Times New Roman" w:hAnsi="Times New Roman" w:eastAsia="宋体" w:cs="Times New Roman"/>
                <w:color w:val="FF0000"/>
                <w:sz w:val="24"/>
                <w:szCs w:val="24"/>
                <w:highlight w:val="none"/>
                <w:lang w:eastAsia="zh-CN"/>
              </w:rPr>
            </w:pPr>
            <w:r>
              <w:rPr>
                <w:rFonts w:hint="default" w:ascii="Times New Roman" w:hAnsi="Times New Roman" w:eastAsia="宋体" w:cs="Times New Roman"/>
                <w:color w:val="000000" w:themeColor="text1"/>
                <w:sz w:val="24"/>
                <w:szCs w:val="24"/>
                <w:highlight w:val="none"/>
                <w14:textFill>
                  <w14:solidFill>
                    <w14:schemeClr w14:val="tx1"/>
                  </w14:solidFill>
                </w14:textFill>
              </w:rPr>
              <w:t>（2）</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20</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25</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年</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9</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月</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10</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日，重庆市</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万州区生态环境局</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下达了《重庆市建设项目环境影响评价文件批准书》（</w:t>
            </w:r>
            <w:r>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t>渝(</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万</w:t>
            </w:r>
            <w:r>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t>)环准〔2025】</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50号）</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，同意本项目建设</w:t>
            </w:r>
            <w:r>
              <w:rPr>
                <w:rFonts w:hint="default" w:ascii="Times New Roman" w:hAnsi="Times New Roman" w:eastAsia="宋体" w:cs="Times New Roman"/>
                <w:color w:val="auto"/>
                <w:sz w:val="24"/>
                <w:szCs w:val="24"/>
                <w:highlight w:val="none"/>
                <w:lang w:eastAsia="zh-CN"/>
              </w:rPr>
              <w:t>；</w:t>
            </w:r>
          </w:p>
          <w:p w14:paraId="16CC92FF">
            <w:pPr>
              <w:pStyle w:val="30"/>
              <w:ind w:firstLine="0" w:firstLineChars="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（3）20</w:t>
            </w:r>
            <w:r>
              <w:rPr>
                <w:rFonts w:hint="default" w:ascii="Times New Roman" w:hAnsi="Times New Roman" w:eastAsia="宋体" w:cs="Times New Roman"/>
                <w:color w:val="auto"/>
                <w:sz w:val="24"/>
                <w:szCs w:val="24"/>
                <w:highlight w:val="none"/>
                <w:lang w:val="en-US" w:eastAsia="zh-CN"/>
              </w:rPr>
              <w:t>2</w:t>
            </w:r>
            <w:r>
              <w:rPr>
                <w:rFonts w:hint="eastAsia" w:ascii="Times New Roman" w:hAnsi="Times New Roman" w:eastAsia="宋体" w:cs="Times New Roman"/>
                <w:color w:val="auto"/>
                <w:sz w:val="24"/>
                <w:szCs w:val="24"/>
                <w:highlight w:val="none"/>
                <w:lang w:val="en-US" w:eastAsia="zh-CN"/>
              </w:rPr>
              <w:t>5</w:t>
            </w:r>
            <w:r>
              <w:rPr>
                <w:rFonts w:hint="default" w:ascii="Times New Roman" w:hAnsi="Times New Roman" w:eastAsia="宋体" w:cs="Times New Roman"/>
                <w:color w:val="auto"/>
                <w:sz w:val="24"/>
                <w:szCs w:val="24"/>
                <w:highlight w:val="none"/>
              </w:rPr>
              <w:t>年</w:t>
            </w:r>
            <w:r>
              <w:rPr>
                <w:rFonts w:hint="eastAsia" w:ascii="Times New Roman" w:hAnsi="Times New Roman" w:eastAsia="宋体" w:cs="Times New Roman"/>
                <w:color w:val="auto"/>
                <w:sz w:val="24"/>
                <w:szCs w:val="24"/>
                <w:highlight w:val="none"/>
                <w:lang w:val="en-US" w:eastAsia="zh-CN"/>
              </w:rPr>
              <w:t>10</w:t>
            </w:r>
            <w:r>
              <w:rPr>
                <w:rFonts w:hint="default" w:ascii="Times New Roman" w:hAnsi="Times New Roman" w:eastAsia="宋体" w:cs="Times New Roman"/>
                <w:color w:val="auto"/>
                <w:sz w:val="24"/>
                <w:szCs w:val="24"/>
                <w:highlight w:val="none"/>
              </w:rPr>
              <w:t>月本项目开工建设，</w:t>
            </w:r>
            <w:r>
              <w:rPr>
                <w:rFonts w:hint="eastAsia" w:ascii="Times New Roman" w:hAnsi="Times New Roman" w:eastAsia="宋体" w:cs="Times New Roman"/>
                <w:color w:val="auto"/>
                <w:sz w:val="24"/>
                <w:szCs w:val="24"/>
                <w:highlight w:val="none"/>
                <w:lang w:val="en-US" w:eastAsia="zh-CN"/>
              </w:rPr>
              <w:t>12月</w:t>
            </w:r>
            <w:r>
              <w:rPr>
                <w:rFonts w:hint="default" w:ascii="Times New Roman" w:hAnsi="Times New Roman" w:eastAsia="宋体" w:cs="Times New Roman"/>
                <w:color w:val="auto"/>
                <w:sz w:val="24"/>
                <w:szCs w:val="24"/>
                <w:highlight w:val="none"/>
              </w:rPr>
              <w:t>建设完成进行调试；</w:t>
            </w:r>
          </w:p>
          <w:p w14:paraId="3E29F5A6">
            <w:pPr>
              <w:keepNext w:val="0"/>
              <w:keepLines w:val="0"/>
              <w:widowControl/>
              <w:suppressLineNumbers w:val="0"/>
              <w:jc w:val="left"/>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（4）</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202</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5</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年</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12月19日</w:t>
            </w:r>
            <w:r>
              <w:rPr>
                <w:rFonts w:hint="default" w:ascii="Times New Roman" w:hAnsi="Times New Roman" w:eastAsia="宋体" w:cs="Times New Roman"/>
                <w:color w:val="000000" w:themeColor="text1"/>
                <w:sz w:val="24"/>
                <w:szCs w:val="24"/>
                <w:highlight w:val="none"/>
                <w14:textFill>
                  <w14:solidFill>
                    <w14:schemeClr w14:val="tx1"/>
                  </w14:solidFill>
                </w14:textFill>
              </w:rPr>
              <w:t>，</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取得了固定污染源排污</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许可证</w:t>
            </w:r>
            <w:r>
              <w:rPr>
                <w:rFonts w:hint="default" w:ascii="Times New Roman" w:hAnsi="Times New Roman" w:eastAsia="宋体" w:cs="Times New Roman"/>
                <w:color w:val="000000" w:themeColor="text1"/>
                <w:sz w:val="24"/>
                <w:szCs w:val="24"/>
                <w:highlight w:val="none"/>
                <w14:textFill>
                  <w14:solidFill>
                    <w14:schemeClr w14:val="tx1"/>
                  </w14:solidFill>
                </w14:textFill>
              </w:rPr>
              <w:t>（</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证书</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编</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号</w:t>
            </w:r>
            <w:r>
              <w:rPr>
                <w:rFonts w:hint="default" w:ascii="Times New Roman" w:hAnsi="Times New Roman" w:eastAsia="宋体" w:cs="Times New Roman"/>
                <w:color w:val="000000" w:themeColor="text1"/>
                <w:sz w:val="24"/>
                <w:szCs w:val="24"/>
                <w:highlight w:val="none"/>
                <w14:textFill>
                  <w14:solidFill>
                    <w14:schemeClr w14:val="tx1"/>
                  </w14:solidFill>
                </w14:textFill>
              </w:rPr>
              <w:t>：</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91500101MADR5U3549001V）</w:t>
            </w:r>
            <w:r>
              <w:rPr>
                <w:rFonts w:hint="default" w:ascii="Times New Roman" w:hAnsi="Times New Roman" w:eastAsia="宋体" w:cs="Times New Roman"/>
                <w:color w:val="000000" w:themeColor="text1"/>
                <w:sz w:val="24"/>
                <w:szCs w:val="24"/>
                <w:highlight w:val="none"/>
                <w14:textFill>
                  <w14:solidFill>
                    <w14:schemeClr w14:val="tx1"/>
                  </w14:solidFill>
                </w14:textFill>
              </w:rPr>
              <w:t>；</w:t>
            </w:r>
          </w:p>
          <w:p w14:paraId="015B7A81">
            <w:pPr>
              <w:keepNext w:val="0"/>
              <w:keepLines w:val="0"/>
              <w:pageBreakBefore w:val="0"/>
              <w:widowControl w:val="0"/>
              <w:numPr>
                <w:ilvl w:val="0"/>
                <w:numId w:val="0"/>
              </w:numPr>
              <w:kinsoku/>
              <w:wordWrap/>
              <w:overflowPunct/>
              <w:topLinePunct w:val="0"/>
              <w:bidi w:val="0"/>
              <w:adjustRightInd w:val="0"/>
              <w:spacing w:line="360" w:lineRule="auto"/>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000000" w:themeColor="text1"/>
                <w:sz w:val="24"/>
                <w:szCs w:val="24"/>
                <w:highlight w:val="none"/>
                <w14:textFill>
                  <w14:solidFill>
                    <w14:schemeClr w14:val="tx1"/>
                  </w14:solidFill>
                </w14:textFill>
              </w:rPr>
              <w:t>（5）</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202</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6</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年</w:t>
            </w:r>
            <w:r>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t>，重庆鑫蒲江环境检测有限公司</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对该单位排放的废气</w:t>
            </w:r>
            <w:r>
              <w:rPr>
                <w:rFonts w:hint="default" w:ascii="Times New Roman" w:hAnsi="Times New Roman" w:eastAsia="宋体" w:cs="Times New Roman"/>
                <w:color w:val="auto"/>
                <w:sz w:val="24"/>
                <w:szCs w:val="24"/>
                <w:highlight w:val="none"/>
                <w:lang w:eastAsia="zh-CN"/>
              </w:rPr>
              <w:t>、废水、噪声进行采样监测。</w:t>
            </w:r>
          </w:p>
          <w:p w14:paraId="57C19CC3">
            <w:pPr>
              <w:keepNext w:val="0"/>
              <w:keepLines w:val="0"/>
              <w:pageBreakBefore w:val="0"/>
              <w:widowControl w:val="0"/>
              <w:numPr>
                <w:ilvl w:val="0"/>
                <w:numId w:val="0"/>
              </w:numPr>
              <w:kinsoku/>
              <w:wordWrap/>
              <w:overflowPunct/>
              <w:topLinePunct w:val="0"/>
              <w:bidi w:val="0"/>
              <w:adjustRightInd w:val="0"/>
              <w:spacing w:line="360" w:lineRule="auto"/>
              <w:rPr>
                <w:rFonts w:hint="default" w:ascii="Times New Roman" w:hAnsi="Times New Roman" w:cs="Times New Roman"/>
                <w:b/>
                <w:bCs/>
                <w:color w:val="auto"/>
                <w:sz w:val="24"/>
                <w:lang w:val="en-US" w:eastAsia="zh-CN"/>
              </w:rPr>
            </w:pPr>
            <w:r>
              <w:rPr>
                <w:rFonts w:hint="default" w:ascii="Times New Roman" w:hAnsi="Times New Roman" w:cs="Times New Roman"/>
                <w:b/>
                <w:bCs/>
                <w:color w:val="auto"/>
                <w:sz w:val="24"/>
                <w:lang w:val="en-US" w:eastAsia="zh-CN"/>
              </w:rPr>
              <w:t>8.1.3验收范围</w:t>
            </w:r>
          </w:p>
          <w:p w14:paraId="269C1B74">
            <w:pPr>
              <w:keepNext w:val="0"/>
              <w:keepLines w:val="0"/>
              <w:pageBreakBefore w:val="0"/>
              <w:widowControl w:val="0"/>
              <w:numPr>
                <w:ilvl w:val="0"/>
                <w:numId w:val="0"/>
              </w:numPr>
              <w:kinsoku/>
              <w:wordWrap/>
              <w:overflowPunct/>
              <w:topLinePunct w:val="0"/>
              <w:bidi w:val="0"/>
              <w:adjustRightInd w:val="0"/>
              <w:spacing w:line="360" w:lineRule="auto"/>
              <w:rPr>
                <w:rFonts w:hint="default" w:ascii="Times New Roman" w:hAnsi="Times New Roman" w:cs="Times New Roman"/>
                <w:color w:val="auto"/>
                <w:sz w:val="24"/>
                <w:lang w:val="en-GB" w:eastAsia="zh-CN"/>
              </w:rPr>
            </w:pPr>
            <w:r>
              <w:rPr>
                <w:rFonts w:hint="eastAsia" w:ascii="Times New Roman" w:hAnsi="Times New Roman" w:cs="Times New Roman"/>
                <w:color w:val="auto"/>
                <w:sz w:val="24"/>
                <w:lang w:val="en-US" w:eastAsia="zh-CN"/>
              </w:rPr>
              <w:t>本次对重庆创池再生资源回收有限公司“创池危险废物集中收集转运项目”的所有环评内容</w:t>
            </w:r>
            <w:r>
              <w:rPr>
                <w:rFonts w:hint="eastAsia" w:ascii="Times New Roman" w:hAnsi="Times New Roman" w:cs="Times New Roman"/>
                <w:color w:val="auto"/>
                <w:sz w:val="24"/>
                <w:lang w:val="en-GB" w:eastAsia="zh-CN"/>
              </w:rPr>
              <w:t>进行验收</w:t>
            </w:r>
            <w:r>
              <w:rPr>
                <w:rFonts w:hint="default" w:ascii="Times New Roman" w:hAnsi="Times New Roman" w:cs="Times New Roman"/>
                <w:color w:val="auto"/>
                <w:sz w:val="24"/>
                <w:lang w:val="en-GB" w:eastAsia="zh-CN"/>
              </w:rPr>
              <w:t xml:space="preserve">。   </w:t>
            </w:r>
          </w:p>
          <w:p w14:paraId="415650EA">
            <w:pPr>
              <w:keepNext w:val="0"/>
              <w:keepLines w:val="0"/>
              <w:pageBreakBefore w:val="0"/>
              <w:widowControl w:val="0"/>
              <w:numPr>
                <w:ilvl w:val="0"/>
                <w:numId w:val="0"/>
              </w:numPr>
              <w:kinsoku/>
              <w:wordWrap/>
              <w:overflowPunct/>
              <w:topLinePunct w:val="0"/>
              <w:bidi w:val="0"/>
              <w:adjustRightInd w:val="0"/>
              <w:spacing w:line="360" w:lineRule="auto"/>
              <w:rPr>
                <w:rFonts w:hint="default" w:ascii="Times New Roman" w:hAnsi="Times New Roman" w:cs="Times New Roman"/>
                <w:b/>
                <w:bCs/>
                <w:color w:val="auto"/>
                <w:sz w:val="24"/>
                <w:lang w:val="en-US" w:eastAsia="zh-CN"/>
              </w:rPr>
            </w:pPr>
            <w:r>
              <w:rPr>
                <w:rFonts w:hint="default" w:ascii="Times New Roman" w:hAnsi="Times New Roman" w:cs="Times New Roman"/>
                <w:b/>
                <w:bCs/>
                <w:color w:val="auto"/>
                <w:sz w:val="24"/>
                <w:lang w:val="en-US" w:eastAsia="zh-CN"/>
              </w:rPr>
              <w:t xml:space="preserve">8.2工程变动情况  </w:t>
            </w:r>
          </w:p>
          <w:p w14:paraId="750F3C82">
            <w:pPr>
              <w:pStyle w:val="11"/>
              <w:keepNext w:val="0"/>
              <w:keepLines w:val="0"/>
              <w:pageBreakBefore w:val="0"/>
              <w:widowControl w:val="0"/>
              <w:kinsoku/>
              <w:wordWrap/>
              <w:overflowPunct/>
              <w:topLinePunct w:val="0"/>
              <w:bidi w:val="0"/>
              <w:adjustRightInd w:val="0"/>
              <w:spacing w:after="0" w:line="360" w:lineRule="auto"/>
              <w:ind w:firstLine="480"/>
              <w:rPr>
                <w:rFonts w:hint="default" w:ascii="Times New Roman" w:hAnsi="Times New Roman" w:cs="Times New Roman"/>
                <w:color w:val="auto"/>
                <w:szCs w:val="21"/>
                <w:lang w:val="en-US" w:eastAsia="zh-CN"/>
              </w:rPr>
            </w:pPr>
            <w:r>
              <w:rPr>
                <w:rFonts w:hint="eastAsia" w:ascii="Times New Roman" w:hAnsi="Times New Roman" w:eastAsia="宋体" w:cs="Times New Roman"/>
                <w:color w:val="auto"/>
                <w:kern w:val="2"/>
                <w:sz w:val="24"/>
                <w:szCs w:val="24"/>
                <w:lang w:val="en-US" w:eastAsia="zh-CN" w:bidi="ar-SA"/>
              </w:rPr>
              <w:t>通过对照《污染影响类建设项目重大变动清单（试行）》，对本项目变动逐项进行分析，</w:t>
            </w:r>
            <w:r>
              <w:rPr>
                <w:rFonts w:hint="default" w:ascii="Times New Roman" w:hAnsi="Times New Roman" w:eastAsia="宋体" w:cs="Times New Roman"/>
                <w:color w:val="auto"/>
                <w:kern w:val="2"/>
                <w:sz w:val="24"/>
                <w:szCs w:val="24"/>
                <w:lang w:val="en-US" w:eastAsia="zh-CN" w:bidi="ar-SA"/>
              </w:rPr>
              <w:t>与环评及批复内容相比</w:t>
            </w:r>
            <w:r>
              <w:rPr>
                <w:rFonts w:hint="eastAsia" w:ascii="Times New Roman" w:hAnsi="Times New Roman" w:eastAsia="宋体" w:cs="Times New Roman"/>
                <w:color w:val="auto"/>
                <w:kern w:val="2"/>
                <w:sz w:val="24"/>
                <w:szCs w:val="24"/>
                <w:lang w:val="en-US" w:eastAsia="zh-CN" w:bidi="ar-SA"/>
              </w:rPr>
              <w:t>未发生变化。因此，本项目实际建设的内容不构成重大变动，不需要重新报批环评文件，应纳入竣工环境保护验收管理</w:t>
            </w:r>
            <w:r>
              <w:rPr>
                <w:rFonts w:hint="default" w:ascii="Times New Roman" w:hAnsi="Times New Roman" w:cs="Times New Roman"/>
                <w:color w:val="auto"/>
                <w:szCs w:val="21"/>
                <w:lang w:val="en-US" w:eastAsia="zh-CN"/>
              </w:rPr>
              <w:t>。</w:t>
            </w:r>
          </w:p>
          <w:p w14:paraId="4604E8A1">
            <w:pPr>
              <w:keepNext w:val="0"/>
              <w:keepLines w:val="0"/>
              <w:pageBreakBefore w:val="0"/>
              <w:widowControl w:val="0"/>
              <w:kinsoku/>
              <w:wordWrap/>
              <w:overflowPunct/>
              <w:topLinePunct w:val="0"/>
              <w:bidi w:val="0"/>
              <w:spacing w:line="360" w:lineRule="auto"/>
              <w:rPr>
                <w:rFonts w:hint="default" w:ascii="Times New Roman" w:hAnsi="Times New Roman" w:eastAsia="宋体" w:cs="Times New Roman"/>
                <w:b/>
                <w:bCs/>
                <w:color w:val="auto"/>
                <w:kern w:val="2"/>
                <w:sz w:val="24"/>
                <w:szCs w:val="24"/>
                <w:lang w:val="en-US" w:eastAsia="zh-CN" w:bidi="ar-SA"/>
              </w:rPr>
            </w:pPr>
            <w:r>
              <w:rPr>
                <w:rFonts w:hint="default" w:ascii="Times New Roman" w:hAnsi="Times New Roman" w:eastAsia="宋体" w:cs="Times New Roman"/>
                <w:b/>
                <w:bCs/>
                <w:color w:val="auto"/>
                <w:kern w:val="2"/>
                <w:sz w:val="24"/>
                <w:szCs w:val="24"/>
                <w:lang w:val="en-US" w:eastAsia="zh-CN" w:bidi="ar-SA"/>
              </w:rPr>
              <w:t>8.3环保设施落实情况</w:t>
            </w:r>
          </w:p>
          <w:p w14:paraId="238A37ED">
            <w:pPr>
              <w:keepNext w:val="0"/>
              <w:keepLines w:val="0"/>
              <w:pageBreakBefore w:val="0"/>
              <w:widowControl w:val="0"/>
              <w:kinsoku/>
              <w:wordWrap/>
              <w:overflowPunct/>
              <w:topLinePunct w:val="0"/>
              <w:bidi w:val="0"/>
              <w:spacing w:line="360" w:lineRule="auto"/>
              <w:ind w:firstLine="480" w:firstLineChars="200"/>
              <w:rPr>
                <w:rFonts w:hint="default" w:ascii="Times New Roman" w:hAnsi="Times New Roman" w:cs="Times New Roman"/>
                <w:color w:val="auto"/>
                <w:sz w:val="24"/>
              </w:rPr>
            </w:pPr>
            <w:r>
              <w:rPr>
                <w:rFonts w:hint="default" w:ascii="Times New Roman" w:hAnsi="Times New Roman" w:cs="Times New Roman"/>
                <w:color w:val="auto"/>
                <w:sz w:val="24"/>
              </w:rPr>
              <w:t>（1）废水</w:t>
            </w:r>
          </w:p>
          <w:p w14:paraId="61F33225">
            <w:pPr>
              <w:keepNext w:val="0"/>
              <w:keepLines w:val="0"/>
              <w:pageBreakBefore w:val="0"/>
              <w:widowControl w:val="0"/>
              <w:kinsoku/>
              <w:wordWrap/>
              <w:overflowPunct/>
              <w:topLinePunct w:val="0"/>
              <w:bidi w:val="0"/>
              <w:spacing w:line="360" w:lineRule="auto"/>
              <w:ind w:firstLine="480" w:firstLineChars="200"/>
              <w:rPr>
                <w:rFonts w:hint="eastAsia"/>
                <w:color w:val="000000"/>
                <w:sz w:val="24"/>
                <w:szCs w:val="24"/>
                <w:lang w:val="en-US" w:eastAsia="zh-CN"/>
              </w:rPr>
            </w:pPr>
            <w:r>
              <w:rPr>
                <w:rFonts w:hint="eastAsia"/>
                <w:color w:val="000000"/>
                <w:sz w:val="24"/>
                <w:szCs w:val="24"/>
                <w:lang w:eastAsia="zh-CN"/>
              </w:rPr>
              <w:t>生活污水经</w:t>
            </w:r>
            <w:r>
              <w:rPr>
                <w:rFonts w:hint="eastAsia"/>
                <w:color w:val="000000"/>
                <w:sz w:val="24"/>
                <w:szCs w:val="24"/>
                <w:lang w:val="en-US" w:eastAsia="zh-CN"/>
              </w:rPr>
              <w:t>5</w:t>
            </w:r>
            <w:r>
              <w:rPr>
                <w:rFonts w:hint="eastAsia"/>
                <w:color w:val="000000"/>
                <w:sz w:val="24"/>
                <w:szCs w:val="24"/>
              </w:rPr>
              <w:t>m</w:t>
            </w:r>
            <w:r>
              <w:rPr>
                <w:rFonts w:hint="eastAsia"/>
                <w:color w:val="000000"/>
                <w:sz w:val="24"/>
                <w:szCs w:val="24"/>
                <w:vertAlign w:val="superscript"/>
              </w:rPr>
              <w:t>3</w:t>
            </w:r>
            <w:r>
              <w:rPr>
                <w:rFonts w:hint="eastAsia"/>
                <w:color w:val="000000"/>
                <w:sz w:val="24"/>
                <w:szCs w:val="24"/>
              </w:rPr>
              <w:t>/d的生化池中处理后由DW001废水排放口排入园区污水管网，最终</w:t>
            </w:r>
            <w:r>
              <w:rPr>
                <w:rFonts w:hint="eastAsia"/>
                <w:color w:val="000000"/>
                <w:sz w:val="24"/>
                <w:szCs w:val="24"/>
                <w:lang w:eastAsia="zh-CN"/>
              </w:rPr>
              <w:t>进入申明坝</w:t>
            </w:r>
            <w:r>
              <w:rPr>
                <w:rFonts w:hint="eastAsia"/>
                <w:color w:val="000000"/>
                <w:sz w:val="24"/>
                <w:szCs w:val="24"/>
              </w:rPr>
              <w:t>污水处理厂深度处理后排入</w:t>
            </w:r>
            <w:r>
              <w:rPr>
                <w:rFonts w:hint="eastAsia"/>
                <w:color w:val="000000"/>
                <w:sz w:val="24"/>
                <w:szCs w:val="24"/>
                <w:lang w:val="en-US" w:eastAsia="zh-CN"/>
              </w:rPr>
              <w:t>长江。</w:t>
            </w:r>
          </w:p>
          <w:p w14:paraId="15F559BF">
            <w:pPr>
              <w:pStyle w:val="2"/>
              <w:rPr>
                <w:rFonts w:hint="default"/>
                <w:lang w:val="en-US" w:eastAsia="zh-CN"/>
              </w:rPr>
            </w:pPr>
            <w:r>
              <w:rPr>
                <w:rFonts w:hint="eastAsia"/>
                <w:color w:val="000000"/>
                <w:sz w:val="24"/>
                <w:szCs w:val="24"/>
                <w:lang w:val="en-US" w:eastAsia="zh-CN"/>
              </w:rPr>
              <w:t xml:space="preserve">    生产废水</w:t>
            </w:r>
            <w:r>
              <w:rPr>
                <w:rFonts w:hint="eastAsia" w:cs="宋体"/>
                <w:color w:val="000000"/>
                <w:sz w:val="24"/>
                <w:szCs w:val="24"/>
              </w:rPr>
              <w:t>设置专用的拖布清洗</w:t>
            </w:r>
            <w:r>
              <w:rPr>
                <w:rFonts w:hint="eastAsia" w:cs="宋体"/>
                <w:color w:val="000000"/>
                <w:sz w:val="24"/>
                <w:szCs w:val="24"/>
                <w:lang w:eastAsia="zh-CN"/>
              </w:rPr>
              <w:t>桶</w:t>
            </w:r>
            <w:r>
              <w:rPr>
                <w:rFonts w:hint="eastAsia" w:cs="宋体"/>
                <w:color w:val="000000"/>
                <w:sz w:val="24"/>
                <w:szCs w:val="24"/>
              </w:rPr>
              <w:t>，容积约0.0</w:t>
            </w:r>
            <w:r>
              <w:rPr>
                <w:rFonts w:hint="eastAsia" w:cs="宋体"/>
                <w:color w:val="000000"/>
                <w:sz w:val="24"/>
                <w:szCs w:val="24"/>
                <w:lang w:val="en-US" w:eastAsia="zh-CN"/>
              </w:rPr>
              <w:t>5</w:t>
            </w:r>
            <w:r>
              <w:rPr>
                <w:rFonts w:hint="eastAsia" w:cs="宋体"/>
                <w:color w:val="000000"/>
                <w:sz w:val="24"/>
                <w:szCs w:val="24"/>
              </w:rPr>
              <w:t>m</w:t>
            </w:r>
            <w:r>
              <w:rPr>
                <w:rFonts w:hint="eastAsia" w:cs="宋体"/>
                <w:color w:val="000000"/>
                <w:sz w:val="24"/>
                <w:szCs w:val="24"/>
                <w:vertAlign w:val="superscript"/>
              </w:rPr>
              <w:t>3</w:t>
            </w:r>
            <w:r>
              <w:rPr>
                <w:rFonts w:hint="eastAsia" w:cs="宋体"/>
                <w:color w:val="000000"/>
                <w:sz w:val="24"/>
                <w:szCs w:val="24"/>
              </w:rPr>
              <w:t>，地面及拖布清洗废水</w:t>
            </w:r>
            <w:r>
              <w:rPr>
                <w:rFonts w:hint="eastAsia" w:cs="宋体"/>
                <w:color w:val="000000"/>
                <w:sz w:val="24"/>
                <w:szCs w:val="24"/>
                <w:lang w:eastAsia="zh-CN"/>
              </w:rPr>
              <w:t>收集于清洗桶内</w:t>
            </w:r>
            <w:r>
              <w:rPr>
                <w:rFonts w:hint="eastAsia" w:cs="宋体"/>
                <w:color w:val="000000"/>
                <w:sz w:val="24"/>
                <w:szCs w:val="24"/>
              </w:rPr>
              <w:t>，交具有危废处置资质的单位处置。</w:t>
            </w:r>
          </w:p>
          <w:p w14:paraId="765D389A">
            <w:pPr>
              <w:keepNext w:val="0"/>
              <w:keepLines w:val="0"/>
              <w:pageBreakBefore w:val="0"/>
              <w:widowControl w:val="0"/>
              <w:kinsoku/>
              <w:wordWrap/>
              <w:overflowPunct/>
              <w:topLinePunct w:val="0"/>
              <w:bidi w:val="0"/>
              <w:spacing w:line="360" w:lineRule="auto"/>
              <w:ind w:firstLine="480" w:firstLineChars="200"/>
              <w:rPr>
                <w:rFonts w:hint="default" w:ascii="Times New Roman" w:hAnsi="Times New Roman" w:cs="Times New Roman"/>
                <w:bCs/>
                <w:color w:val="000000" w:themeColor="text1"/>
                <w:kern w:val="0"/>
                <w:sz w:val="24"/>
                <w14:textFill>
                  <w14:solidFill>
                    <w14:schemeClr w14:val="tx1"/>
                  </w14:solidFill>
                </w14:textFill>
              </w:rPr>
            </w:pPr>
            <w:r>
              <w:rPr>
                <w:rFonts w:hint="default" w:ascii="Times New Roman" w:hAnsi="Times New Roman" w:cs="Times New Roman"/>
                <w:bCs/>
                <w:color w:val="000000" w:themeColor="text1"/>
                <w:kern w:val="0"/>
                <w:sz w:val="24"/>
                <w14:textFill>
                  <w14:solidFill>
                    <w14:schemeClr w14:val="tx1"/>
                  </w14:solidFill>
                </w14:textFill>
              </w:rPr>
              <w:t>（2）废气</w:t>
            </w:r>
          </w:p>
          <w:p w14:paraId="20906E3C">
            <w:pPr>
              <w:keepNext w:val="0"/>
              <w:keepLines w:val="0"/>
              <w:pageBreakBefore w:val="0"/>
              <w:widowControl w:val="0"/>
              <w:kinsoku/>
              <w:wordWrap/>
              <w:overflowPunct/>
              <w:topLinePunct w:val="0"/>
              <w:bidi w:val="0"/>
              <w:spacing w:line="360" w:lineRule="auto"/>
              <w:ind w:firstLine="480" w:firstLineChars="200"/>
              <w:rPr>
                <w:rFonts w:hint="eastAsia" w:cs="宋体"/>
                <w:color w:val="000000"/>
                <w:sz w:val="24"/>
                <w:szCs w:val="24"/>
              </w:rPr>
            </w:pPr>
            <w:r>
              <w:rPr>
                <w:rFonts w:hint="eastAsia" w:ascii="Times New Roman" w:hAnsi="Times New Roman" w:cs="Times New Roman"/>
                <w:color w:val="auto"/>
                <w:sz w:val="24"/>
                <w:lang w:val="en-US" w:eastAsia="zh-CN"/>
              </w:rPr>
              <w:t>1、</w:t>
            </w:r>
            <w:r>
              <w:rPr>
                <w:rFonts w:hint="eastAsia" w:cs="宋体"/>
                <w:color w:val="000000"/>
                <w:sz w:val="24"/>
                <w:szCs w:val="24"/>
                <w:lang w:val="en-US" w:eastAsia="zh-CN"/>
              </w:rPr>
              <w:t>贮存二区</w:t>
            </w:r>
            <w:r>
              <w:rPr>
                <w:rFonts w:hint="eastAsia" w:cs="宋体"/>
                <w:color w:val="000000"/>
                <w:sz w:val="24"/>
                <w:szCs w:val="24"/>
              </w:rPr>
              <w:t>设置为密闭间，</w:t>
            </w:r>
            <w:r>
              <w:rPr>
                <w:rFonts w:hint="eastAsia" w:cs="宋体"/>
                <w:color w:val="000000"/>
                <w:sz w:val="24"/>
                <w:szCs w:val="24"/>
                <w:lang w:eastAsia="zh-CN"/>
              </w:rPr>
              <w:t>设置</w:t>
            </w:r>
            <w:r>
              <w:rPr>
                <w:rFonts w:hint="eastAsia" w:cs="宋体"/>
                <w:color w:val="000000"/>
                <w:sz w:val="24"/>
                <w:szCs w:val="24"/>
                <w:lang w:val="en-US" w:eastAsia="zh-CN"/>
              </w:rPr>
              <w:t>1套抽风系统对</w:t>
            </w:r>
            <w:r>
              <w:rPr>
                <w:rFonts w:hint="eastAsia" w:cs="宋体"/>
                <w:color w:val="000000"/>
                <w:sz w:val="24"/>
                <w:szCs w:val="24"/>
                <w:lang w:eastAsia="zh-CN"/>
              </w:rPr>
              <w:t>废气进行收集</w:t>
            </w:r>
            <w:r>
              <w:rPr>
                <w:rFonts w:hint="eastAsia" w:cs="宋体"/>
                <w:color w:val="000000"/>
                <w:sz w:val="24"/>
                <w:szCs w:val="24"/>
                <w:lang w:val="en-US" w:eastAsia="zh-CN"/>
              </w:rPr>
              <w:t>。</w:t>
            </w:r>
            <w:r>
              <w:rPr>
                <w:rFonts w:hint="eastAsia" w:cs="宋体"/>
                <w:color w:val="000000"/>
                <w:sz w:val="24"/>
                <w:szCs w:val="24"/>
                <w:lang w:eastAsia="zh-CN"/>
              </w:rPr>
              <w:t>废气统一</w:t>
            </w:r>
            <w:r>
              <w:rPr>
                <w:rFonts w:hint="eastAsia" w:cs="宋体"/>
                <w:color w:val="000000"/>
                <w:sz w:val="24"/>
                <w:szCs w:val="24"/>
              </w:rPr>
              <w:t>引入1套</w:t>
            </w:r>
            <w:r>
              <w:rPr>
                <w:rFonts w:hint="eastAsia" w:cs="宋体"/>
                <w:color w:val="000000"/>
                <w:sz w:val="24"/>
                <w:szCs w:val="24"/>
                <w:lang w:eastAsia="zh-CN"/>
              </w:rPr>
              <w:t>喷淋塔（生石灰</w:t>
            </w:r>
            <w:r>
              <w:rPr>
                <w:rFonts w:hint="eastAsia" w:cs="宋体"/>
                <w:color w:val="000000"/>
                <w:sz w:val="24"/>
                <w:szCs w:val="24"/>
                <w:lang w:val="en-US" w:eastAsia="zh-CN"/>
              </w:rPr>
              <w:t>+水</w:t>
            </w:r>
            <w:r>
              <w:rPr>
                <w:rFonts w:hint="eastAsia" w:cs="宋体"/>
                <w:color w:val="000000"/>
                <w:sz w:val="24"/>
                <w:szCs w:val="24"/>
                <w:lang w:eastAsia="zh-CN"/>
              </w:rPr>
              <w:t>）中</w:t>
            </w:r>
            <w:r>
              <w:rPr>
                <w:rFonts w:hint="eastAsia" w:cs="宋体"/>
                <w:color w:val="000000"/>
                <w:sz w:val="24"/>
                <w:szCs w:val="24"/>
              </w:rPr>
              <w:t>处理后</w:t>
            </w:r>
            <w:r>
              <w:rPr>
                <w:rFonts w:hint="eastAsia" w:cs="宋体"/>
                <w:color w:val="000000"/>
                <w:sz w:val="24"/>
                <w:szCs w:val="24"/>
                <w:lang w:eastAsia="zh-CN"/>
              </w:rPr>
              <w:t>由</w:t>
            </w:r>
            <w:r>
              <w:rPr>
                <w:rFonts w:hint="eastAsia" w:cs="宋体"/>
                <w:color w:val="000000"/>
                <w:sz w:val="24"/>
                <w:szCs w:val="24"/>
              </w:rPr>
              <w:t>1根15m高排气筒</w:t>
            </w:r>
            <w:r>
              <w:rPr>
                <w:rFonts w:hint="eastAsia" w:cs="宋体"/>
                <w:color w:val="000000"/>
                <w:sz w:val="24"/>
                <w:szCs w:val="24"/>
                <w:lang w:eastAsia="zh-CN"/>
              </w:rPr>
              <w:t>高空</w:t>
            </w:r>
            <w:r>
              <w:rPr>
                <w:rFonts w:hint="eastAsia" w:cs="宋体"/>
                <w:color w:val="000000"/>
                <w:sz w:val="24"/>
                <w:szCs w:val="24"/>
              </w:rPr>
              <w:t>排放。</w:t>
            </w:r>
          </w:p>
          <w:p w14:paraId="00C88AC8">
            <w:pPr>
              <w:keepNext w:val="0"/>
              <w:keepLines w:val="0"/>
              <w:pageBreakBefore w:val="0"/>
              <w:widowControl w:val="0"/>
              <w:kinsoku/>
              <w:wordWrap/>
              <w:overflowPunct/>
              <w:topLinePunct w:val="0"/>
              <w:bidi w:val="0"/>
              <w:spacing w:line="360" w:lineRule="auto"/>
              <w:ind w:firstLine="480" w:firstLineChars="200"/>
              <w:rPr>
                <w:rFonts w:hint="eastAsia"/>
                <w:color w:val="000000"/>
                <w:sz w:val="24"/>
                <w:szCs w:val="24"/>
                <w:lang w:val="en-US" w:eastAsia="zh-CN"/>
              </w:rPr>
            </w:pPr>
            <w:r>
              <w:rPr>
                <w:rFonts w:hint="eastAsia" w:ascii="Times New Roman" w:hAnsi="Times New Roman" w:cs="Times New Roman"/>
                <w:color w:val="auto"/>
                <w:sz w:val="24"/>
                <w:lang w:val="en-US" w:eastAsia="zh-CN"/>
              </w:rPr>
              <w:t>2、</w:t>
            </w:r>
            <w:r>
              <w:rPr>
                <w:rFonts w:hint="eastAsia"/>
                <w:color w:val="000000"/>
                <w:sz w:val="24"/>
                <w:szCs w:val="24"/>
              </w:rPr>
              <w:t>加强通风换气；</w:t>
            </w:r>
            <w:r>
              <w:rPr>
                <w:rFonts w:hint="eastAsia"/>
                <w:color w:val="000000"/>
                <w:sz w:val="24"/>
                <w:szCs w:val="24"/>
                <w:lang w:eastAsia="zh-CN"/>
              </w:rPr>
              <w:t>以贮存设施边界外扩</w:t>
            </w:r>
            <w:r>
              <w:rPr>
                <w:rFonts w:hint="eastAsia"/>
                <w:color w:val="000000"/>
                <w:sz w:val="24"/>
                <w:szCs w:val="24"/>
                <w:lang w:val="en-US" w:eastAsia="zh-CN"/>
              </w:rPr>
              <w:t>50m设置为环境防护距离，环境防护距离内不得新建居民点、医院、学校、食品生产企业等敏感点。</w:t>
            </w:r>
          </w:p>
          <w:p w14:paraId="2131F4D7">
            <w:pPr>
              <w:keepNext w:val="0"/>
              <w:keepLines w:val="0"/>
              <w:pageBreakBefore w:val="0"/>
              <w:widowControl w:val="0"/>
              <w:kinsoku/>
              <w:wordWrap/>
              <w:overflowPunct/>
              <w:topLinePunct w:val="0"/>
              <w:bidi w:val="0"/>
              <w:spacing w:line="360" w:lineRule="auto"/>
              <w:ind w:firstLine="480" w:firstLineChars="200"/>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（3）噪声</w:t>
            </w:r>
          </w:p>
          <w:p w14:paraId="710FD307">
            <w:pPr>
              <w:keepNext w:val="0"/>
              <w:keepLines w:val="0"/>
              <w:pageBreakBefore w:val="0"/>
              <w:widowControl w:val="0"/>
              <w:numPr>
                <w:ilvl w:val="0"/>
                <w:numId w:val="0"/>
              </w:numPr>
              <w:kinsoku/>
              <w:wordWrap/>
              <w:overflowPunct/>
              <w:topLinePunct w:val="0"/>
              <w:bidi w:val="0"/>
              <w:spacing w:line="360" w:lineRule="auto"/>
              <w:ind w:leftChars="200"/>
              <w:rPr>
                <w:rFonts w:hint="eastAsia" w:cs="宋体"/>
                <w:color w:val="000000"/>
                <w:sz w:val="24"/>
                <w:szCs w:val="24"/>
              </w:rPr>
            </w:pPr>
            <w:r>
              <w:rPr>
                <w:rFonts w:hint="eastAsia" w:cs="宋体"/>
                <w:color w:val="000000"/>
                <w:sz w:val="24"/>
                <w:szCs w:val="24"/>
              </w:rPr>
              <w:t>基础减</w:t>
            </w:r>
            <w:r>
              <w:rPr>
                <w:rFonts w:hint="eastAsia" w:cs="宋体"/>
                <w:color w:val="000000"/>
                <w:sz w:val="24"/>
                <w:szCs w:val="24"/>
                <w:lang w:eastAsia="zh-CN"/>
              </w:rPr>
              <w:t>振</w:t>
            </w:r>
            <w:r>
              <w:rPr>
                <w:rFonts w:hint="eastAsia" w:cs="宋体"/>
                <w:color w:val="000000"/>
                <w:sz w:val="24"/>
                <w:szCs w:val="24"/>
              </w:rPr>
              <w:t>、距离衰减</w:t>
            </w:r>
          </w:p>
          <w:p w14:paraId="6A0063DF">
            <w:pPr>
              <w:keepNext w:val="0"/>
              <w:keepLines w:val="0"/>
              <w:pageBreakBefore w:val="0"/>
              <w:widowControl w:val="0"/>
              <w:numPr>
                <w:ilvl w:val="0"/>
                <w:numId w:val="0"/>
              </w:numPr>
              <w:kinsoku/>
              <w:wordWrap/>
              <w:overflowPunct/>
              <w:topLinePunct w:val="0"/>
              <w:bidi w:val="0"/>
              <w:spacing w:line="360" w:lineRule="auto"/>
              <w:ind w:leftChars="200"/>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w:t>
            </w:r>
            <w:r>
              <w:rPr>
                <w:rFonts w:hint="eastAsia" w:ascii="Times New Roman" w:hAnsi="Times New Roman" w:cs="Times New Roman"/>
                <w:color w:val="000000" w:themeColor="text1"/>
                <w:sz w:val="24"/>
                <w:lang w:val="en-US" w:eastAsia="zh-CN"/>
                <w14:textFill>
                  <w14:solidFill>
                    <w14:schemeClr w14:val="tx1"/>
                  </w14:solidFill>
                </w14:textFill>
              </w:rPr>
              <w:t>4</w:t>
            </w:r>
            <w:r>
              <w:rPr>
                <w:rFonts w:hint="default" w:ascii="Times New Roman" w:hAnsi="Times New Roman" w:cs="Times New Roman"/>
                <w:color w:val="000000" w:themeColor="text1"/>
                <w:sz w:val="24"/>
                <w14:textFill>
                  <w14:solidFill>
                    <w14:schemeClr w14:val="tx1"/>
                  </w14:solidFill>
                </w14:textFill>
              </w:rPr>
              <w:t>）固体废物</w:t>
            </w:r>
          </w:p>
          <w:p w14:paraId="177F4D74">
            <w:pPr>
              <w:keepNext w:val="0"/>
              <w:keepLines w:val="0"/>
              <w:pageBreakBefore w:val="0"/>
              <w:widowControl w:val="0"/>
              <w:kinsoku/>
              <w:wordWrap/>
              <w:overflowPunct/>
              <w:topLinePunct w:val="0"/>
              <w:bidi w:val="0"/>
              <w:spacing w:line="360" w:lineRule="auto"/>
              <w:ind w:firstLine="480" w:firstLineChars="200"/>
              <w:rPr>
                <w:rFonts w:hint="default" w:ascii="Times New Roman" w:hAnsi="Times New Roman" w:cs="Times New Roman"/>
                <w:color w:val="auto"/>
                <w:sz w:val="24"/>
                <w:lang w:eastAsia="zh-CN"/>
              </w:rPr>
            </w:pPr>
            <w:r>
              <w:rPr>
                <w:rFonts w:hint="eastAsia" w:ascii="Times New Roman" w:hAnsi="Times New Roman" w:cs="Times New Roman"/>
                <w:color w:val="auto"/>
                <w:sz w:val="24"/>
                <w:lang w:val="en-US" w:eastAsia="zh-CN"/>
              </w:rPr>
              <w:t>生活垃圾交市政环卫部门清运</w:t>
            </w:r>
          </w:p>
          <w:p w14:paraId="70D4D3D4">
            <w:pPr>
              <w:keepNext w:val="0"/>
              <w:keepLines w:val="0"/>
              <w:pageBreakBefore w:val="0"/>
              <w:widowControl w:val="0"/>
              <w:kinsoku/>
              <w:wordWrap/>
              <w:overflowPunct/>
              <w:topLinePunct w:val="0"/>
              <w:bidi w:val="0"/>
              <w:spacing w:line="360" w:lineRule="auto"/>
              <w:ind w:firstLine="480" w:firstLineChars="200"/>
              <w:rPr>
                <w:rFonts w:hint="eastAsia" w:ascii="Times New Roman" w:hAnsi="Times New Roman" w:cs="Times New Roman"/>
                <w:color w:val="auto"/>
                <w:sz w:val="24"/>
                <w:lang w:val="en-US" w:eastAsia="zh-CN"/>
              </w:rPr>
            </w:pPr>
            <w:r>
              <w:rPr>
                <w:rFonts w:hint="eastAsia" w:ascii="Times New Roman" w:hAnsi="Times New Roman" w:cs="Times New Roman"/>
                <w:color w:val="auto"/>
                <w:sz w:val="24"/>
                <w:lang w:val="en-US" w:eastAsia="zh-CN"/>
              </w:rPr>
              <w:t>固废：</w:t>
            </w:r>
          </w:p>
          <w:p w14:paraId="211DBC8F">
            <w:pPr>
              <w:keepNext w:val="0"/>
              <w:keepLines w:val="0"/>
              <w:pageBreakBefore w:val="0"/>
              <w:widowControl w:val="0"/>
              <w:kinsoku/>
              <w:wordWrap/>
              <w:overflowPunct/>
              <w:topLinePunct w:val="0"/>
              <w:bidi w:val="0"/>
              <w:spacing w:line="360" w:lineRule="auto"/>
              <w:ind w:firstLine="480" w:firstLineChars="200"/>
              <w:rPr>
                <w:rFonts w:hint="eastAsia"/>
                <w:color w:val="000000"/>
                <w:sz w:val="24"/>
                <w:szCs w:val="24"/>
                <w:lang w:eastAsia="zh-CN"/>
              </w:rPr>
            </w:pPr>
            <w:r>
              <w:rPr>
                <w:rFonts w:hint="eastAsia"/>
                <w:color w:val="000000"/>
                <w:sz w:val="24"/>
                <w:szCs w:val="24"/>
                <w:lang w:eastAsia="zh-CN"/>
              </w:rPr>
              <w:t>本项目产生的地面清洁废水、废拖布及劳保用品、破损包装容器、喷淋沉淀污泥</w:t>
            </w:r>
            <w:r>
              <w:rPr>
                <w:rFonts w:hint="eastAsia"/>
                <w:color w:val="000000"/>
                <w:sz w:val="24"/>
                <w:szCs w:val="24"/>
              </w:rPr>
              <w:t>分类</w:t>
            </w:r>
            <w:r>
              <w:rPr>
                <w:rFonts w:hint="eastAsia"/>
                <w:color w:val="000000"/>
                <w:sz w:val="24"/>
                <w:szCs w:val="24"/>
                <w:lang w:eastAsia="zh-CN"/>
              </w:rPr>
              <w:t>密封盛装于危废贮存点内，</w:t>
            </w:r>
            <w:r>
              <w:rPr>
                <w:rFonts w:hint="eastAsia"/>
                <w:color w:val="000000"/>
                <w:sz w:val="24"/>
                <w:szCs w:val="24"/>
              </w:rPr>
              <w:t>及时交有危险废物处理资质的单位处理</w:t>
            </w:r>
            <w:r>
              <w:rPr>
                <w:rFonts w:hint="eastAsia"/>
                <w:color w:val="000000"/>
                <w:sz w:val="24"/>
                <w:szCs w:val="24"/>
                <w:lang w:eastAsia="zh-CN"/>
              </w:rPr>
              <w:t>；生活垃圾交由环卫部门统一处置。</w:t>
            </w:r>
          </w:p>
          <w:p w14:paraId="1A365903">
            <w:pPr>
              <w:pStyle w:val="29"/>
              <w:bidi w:val="0"/>
              <w:rPr>
                <w:rFonts w:hint="default" w:ascii="Times New Roman" w:hAnsi="Times New Roman" w:eastAsia="宋体" w:cs="Times New Roman"/>
                <w:bCs/>
                <w:i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bCs/>
                <w:color w:val="auto"/>
                <w:kern w:val="2"/>
                <w:sz w:val="24"/>
                <w:szCs w:val="24"/>
                <w:lang w:val="en-US" w:eastAsia="zh-CN" w:bidi="ar-SA"/>
              </w:rPr>
              <w:t>8.4验收监测结果</w:t>
            </w:r>
          </w:p>
          <w:p w14:paraId="0CE38B67">
            <w:pPr>
              <w:keepNext w:val="0"/>
              <w:keepLines w:val="0"/>
              <w:pageBreakBefore w:val="0"/>
              <w:widowControl w:val="0"/>
              <w:numPr>
                <w:ilvl w:val="0"/>
                <w:numId w:val="5"/>
              </w:numPr>
              <w:kinsoku/>
              <w:wordWrap/>
              <w:overflowPunct/>
              <w:topLinePunct w:val="0"/>
              <w:bidi w:val="0"/>
              <w:adjustRightInd w:val="0"/>
              <w:spacing w:line="360" w:lineRule="auto"/>
              <w:ind w:firstLine="420" w:firstLineChars="200"/>
              <w:rPr>
                <w:rFonts w:hint="eastAsia" w:ascii="Times New Roman" w:hAnsi="Times New Roman" w:eastAsia="宋体" w:cs="Times New Roman"/>
                <w:bCs/>
                <w:i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Cs/>
                <w:iCs/>
                <w:color w:val="000000" w:themeColor="text1"/>
                <w:sz w:val="21"/>
                <w:szCs w:val="21"/>
                <w:lang w:val="en-US" w:eastAsia="zh-CN"/>
                <w14:textFill>
                  <w14:solidFill>
                    <w14:schemeClr w14:val="tx1"/>
                  </w14:solidFill>
                </w14:textFill>
              </w:rPr>
              <w:t>废气：</w:t>
            </w:r>
          </w:p>
          <w:p w14:paraId="0DF2554B">
            <w:pPr>
              <w:pStyle w:val="29"/>
              <w:bidi w:val="0"/>
              <w:rPr>
                <w:rFonts w:hint="eastAsia"/>
                <w:color w:val="000000" w:themeColor="text1"/>
                <w:lang w:val="en-US" w:eastAsia="zh-CN"/>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验收监测期间</w:t>
            </w:r>
            <w:r>
              <w:rPr>
                <w:rFonts w:hint="eastAsia" w:ascii="Times New Roman" w:hAnsi="Times New Roman" w:eastAsia="宋体" w:cs="Times New Roman"/>
                <w:color w:val="000000" w:themeColor="text1"/>
                <w:sz w:val="24"/>
                <w:lang w:eastAsia="zh-CN"/>
                <w14:textFill>
                  <w14:solidFill>
                    <w14:schemeClr w14:val="tx1"/>
                  </w14:solidFill>
                </w14:textFill>
              </w:rPr>
              <w:t>，</w:t>
            </w:r>
            <w:r>
              <w:rPr>
                <w:rFonts w:hint="eastAsia" w:ascii="Times New Roman" w:hAnsi="Times New Roman" w:eastAsia="宋体" w:cs="Times New Roman"/>
                <w:color w:val="000000" w:themeColor="text1"/>
                <w:sz w:val="24"/>
                <w:lang w:val="en-US" w:eastAsia="zh-CN"/>
                <w14:textFill>
                  <w14:solidFill>
                    <w14:schemeClr w14:val="tx1"/>
                  </w14:solidFill>
                </w14:textFill>
              </w:rPr>
              <w:t>废气排放</w:t>
            </w:r>
            <w:r>
              <w:rPr>
                <w:rFonts w:hint="eastAsia" w:ascii="Times New Roman" w:hAnsi="Times New Roman" w:eastAsia="宋体"/>
                <w:color w:val="000000" w:themeColor="text1"/>
                <w:sz w:val="24"/>
                <w:szCs w:val="24"/>
                <w:highlight w:val="none"/>
                <w:lang w:val="en-US" w:eastAsia="zh-CN"/>
                <w14:textFill>
                  <w14:solidFill>
                    <w14:schemeClr w14:val="tx1"/>
                  </w14:solidFill>
                </w14:textFill>
              </w:rPr>
              <w:t>满足排放标准要求。</w:t>
            </w:r>
          </w:p>
          <w:p w14:paraId="23530168">
            <w:pPr>
              <w:keepNext w:val="0"/>
              <w:keepLines w:val="0"/>
              <w:pageBreakBefore w:val="0"/>
              <w:widowControl w:val="0"/>
              <w:kinsoku/>
              <w:wordWrap/>
              <w:overflowPunct/>
              <w:topLinePunct w:val="0"/>
              <w:bidi w:val="0"/>
              <w:spacing w:line="360" w:lineRule="auto"/>
              <w:ind w:firstLine="480" w:firstLineChars="200"/>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w:t>
            </w:r>
            <w:r>
              <w:rPr>
                <w:rFonts w:hint="eastAsia" w:cs="Times New Roman"/>
                <w:color w:val="000000" w:themeColor="text1"/>
                <w:sz w:val="24"/>
                <w:lang w:val="en-US" w:eastAsia="zh-CN"/>
                <w14:textFill>
                  <w14:solidFill>
                    <w14:schemeClr w14:val="tx1"/>
                  </w14:solidFill>
                </w14:textFill>
              </w:rPr>
              <w:t>2</w:t>
            </w:r>
            <w:r>
              <w:rPr>
                <w:rFonts w:hint="default" w:ascii="Times New Roman" w:hAnsi="Times New Roman" w:cs="Times New Roman"/>
                <w:color w:val="000000" w:themeColor="text1"/>
                <w:sz w:val="24"/>
                <w14:textFill>
                  <w14:solidFill>
                    <w14:schemeClr w14:val="tx1"/>
                  </w14:solidFill>
                </w14:textFill>
              </w:rPr>
              <w:t>）噪声</w:t>
            </w:r>
          </w:p>
          <w:p w14:paraId="0BF4B14A">
            <w:pPr>
              <w:spacing w:line="460" w:lineRule="atLeast"/>
              <w:ind w:firstLine="482"/>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验收监测期间，厂界噪声满足《工业企业厂界环境噪声排放标准》（GB12348-2008）</w:t>
            </w:r>
            <w:r>
              <w:rPr>
                <w:rFonts w:hint="eastAsia" w:cs="Times New Roman"/>
                <w:color w:val="000000" w:themeColor="text1"/>
                <w:sz w:val="24"/>
                <w:lang w:val="en-US" w:eastAsia="zh-CN"/>
                <w14:textFill>
                  <w14:solidFill>
                    <w14:schemeClr w14:val="tx1"/>
                  </w14:solidFill>
                </w14:textFill>
              </w:rPr>
              <w:t>3类标准。</w:t>
            </w:r>
          </w:p>
          <w:p w14:paraId="40C4DD66">
            <w:pPr>
              <w:keepNext w:val="0"/>
              <w:keepLines w:val="0"/>
              <w:pageBreakBefore w:val="0"/>
              <w:widowControl w:val="0"/>
              <w:kinsoku/>
              <w:wordWrap/>
              <w:overflowPunct/>
              <w:topLinePunct w:val="0"/>
              <w:bidi w:val="0"/>
              <w:spacing w:line="360" w:lineRule="auto"/>
              <w:ind w:firstLine="480" w:firstLineChars="200"/>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w:t>
            </w:r>
            <w:r>
              <w:rPr>
                <w:rFonts w:hint="eastAsia" w:ascii="Times New Roman" w:hAnsi="Times New Roman" w:cs="Times New Roman"/>
                <w:color w:val="000000" w:themeColor="text1"/>
                <w:sz w:val="24"/>
                <w:lang w:val="en-US" w:eastAsia="zh-CN"/>
                <w14:textFill>
                  <w14:solidFill>
                    <w14:schemeClr w14:val="tx1"/>
                  </w14:solidFill>
                </w14:textFill>
              </w:rPr>
              <w:t>3</w:t>
            </w:r>
            <w:r>
              <w:rPr>
                <w:rFonts w:hint="default" w:ascii="Times New Roman" w:hAnsi="Times New Roman" w:cs="Times New Roman"/>
                <w:color w:val="000000" w:themeColor="text1"/>
                <w:sz w:val="24"/>
                <w14:textFill>
                  <w14:solidFill>
                    <w14:schemeClr w14:val="tx1"/>
                  </w14:solidFill>
                </w14:textFill>
              </w:rPr>
              <w:t>）总量</w:t>
            </w:r>
          </w:p>
          <w:p w14:paraId="590B2B32">
            <w:pPr>
              <w:numPr>
                <w:ilvl w:val="0"/>
                <w:numId w:val="0"/>
              </w:numPr>
              <w:spacing w:line="460" w:lineRule="atLeast"/>
              <w:ind w:leftChars="0" w:firstLine="480" w:firstLineChars="200"/>
              <w:rPr>
                <w:rFonts w:hint="default"/>
                <w:color w:val="000000" w:themeColor="text1"/>
                <w:lang w:val="en-US" w:eastAsia="zh-CN"/>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总量满足环评及批复要求。</w:t>
            </w:r>
          </w:p>
          <w:p w14:paraId="1103E4D8">
            <w:pPr>
              <w:numPr>
                <w:ilvl w:val="0"/>
                <w:numId w:val="0"/>
              </w:numPr>
              <w:spacing w:line="460" w:lineRule="atLeast"/>
              <w:rPr>
                <w:rFonts w:hint="default" w:ascii="Times New Roman" w:hAnsi="Times New Roman" w:cs="Times New Roman"/>
                <w:b/>
                <w:bCs/>
                <w:color w:val="000000" w:themeColor="text1"/>
                <w:sz w:val="24"/>
                <w:lang w:eastAsia="zh-CN"/>
                <w14:textFill>
                  <w14:solidFill>
                    <w14:schemeClr w14:val="tx1"/>
                  </w14:solidFill>
                </w14:textFill>
              </w:rPr>
            </w:pPr>
            <w:bookmarkStart w:id="2" w:name="_Toc18636_WPSOffice_Level2"/>
            <w:bookmarkStart w:id="3" w:name="_Toc505585989"/>
            <w:bookmarkStart w:id="4" w:name="_Toc24463"/>
            <w:bookmarkStart w:id="5" w:name="_Toc24064"/>
            <w:r>
              <w:rPr>
                <w:rFonts w:hint="default" w:ascii="Times New Roman" w:hAnsi="Times New Roman" w:cs="Times New Roman"/>
                <w:b/>
                <w:bCs/>
                <w:color w:val="000000" w:themeColor="text1"/>
                <w:sz w:val="24"/>
                <w:lang w:eastAsia="zh-CN"/>
                <w14:textFill>
                  <w14:solidFill>
                    <w14:schemeClr w14:val="tx1"/>
                  </w14:solidFill>
                </w14:textFill>
              </w:rPr>
              <w:t>8.5工程建设对环境的影响</w:t>
            </w:r>
            <w:bookmarkEnd w:id="2"/>
            <w:bookmarkEnd w:id="3"/>
            <w:bookmarkEnd w:id="4"/>
            <w:bookmarkEnd w:id="5"/>
          </w:p>
          <w:p w14:paraId="0E196DD1">
            <w:pPr>
              <w:autoSpaceDE w:val="0"/>
              <w:autoSpaceDN w:val="0"/>
              <w:adjustRightInd w:val="0"/>
              <w:spacing w:line="360" w:lineRule="auto"/>
              <w:ind w:firstLine="471"/>
              <w:rPr>
                <w:rFonts w:hint="default" w:ascii="Times New Roman" w:hAnsi="Times New Roman" w:cs="Times New Roman"/>
                <w:color w:val="auto"/>
                <w:spacing w:val="-3"/>
                <w:sz w:val="24"/>
              </w:rPr>
            </w:pPr>
            <w:r>
              <w:rPr>
                <w:rFonts w:hint="default" w:ascii="Times New Roman" w:hAnsi="Times New Roman" w:cs="Times New Roman"/>
                <w:color w:val="auto"/>
                <w:spacing w:val="-3"/>
                <w:sz w:val="24"/>
              </w:rPr>
              <w:t>本项目施工期已经完成，本次仅进行施工期环境保护措施回顾性评价。</w:t>
            </w:r>
          </w:p>
          <w:p w14:paraId="0D131376">
            <w:pPr>
              <w:keepLines w:val="0"/>
              <w:pageBreakBefore w:val="0"/>
              <w:widowControl w:val="0"/>
              <w:kinsoku/>
              <w:wordWrap/>
              <w:topLinePunct w:val="0"/>
              <w:autoSpaceDE/>
              <w:autoSpaceDN/>
              <w:bidi w:val="0"/>
              <w:adjustRightInd/>
              <w:spacing w:line="460" w:lineRule="exact"/>
              <w:ind w:firstLine="482" w:firstLineChars="200"/>
              <w:textAlignment w:val="auto"/>
              <w:rPr>
                <w:rFonts w:hint="eastAsia"/>
                <w:b/>
                <w:bCs/>
                <w:color w:val="000000"/>
                <w:sz w:val="24"/>
                <w:szCs w:val="24"/>
                <w:lang w:eastAsia="zh-CN"/>
              </w:rPr>
            </w:pPr>
            <w:r>
              <w:rPr>
                <w:rFonts w:hint="eastAsia"/>
                <w:b/>
                <w:bCs/>
                <w:color w:val="000000"/>
                <w:sz w:val="24"/>
                <w:szCs w:val="24"/>
                <w:lang w:eastAsia="zh-CN"/>
              </w:rPr>
              <w:t>（</w:t>
            </w:r>
            <w:r>
              <w:rPr>
                <w:rFonts w:hint="eastAsia"/>
                <w:b/>
                <w:bCs/>
                <w:color w:val="000000"/>
                <w:sz w:val="24"/>
                <w:szCs w:val="24"/>
                <w:lang w:val="en-US" w:eastAsia="zh-CN"/>
              </w:rPr>
              <w:t>1</w:t>
            </w:r>
            <w:r>
              <w:rPr>
                <w:rFonts w:hint="eastAsia"/>
                <w:b/>
                <w:bCs/>
                <w:color w:val="000000"/>
                <w:sz w:val="24"/>
                <w:szCs w:val="24"/>
                <w:lang w:eastAsia="zh-CN"/>
              </w:rPr>
              <w:t>）废气</w:t>
            </w:r>
          </w:p>
          <w:p w14:paraId="5E389DBE">
            <w:pPr>
              <w:keepLines w:val="0"/>
              <w:pageBreakBefore w:val="0"/>
              <w:widowControl w:val="0"/>
              <w:kinsoku/>
              <w:wordWrap/>
              <w:topLinePunct w:val="0"/>
              <w:autoSpaceDE/>
              <w:autoSpaceDN/>
              <w:bidi w:val="0"/>
              <w:adjustRightInd/>
              <w:spacing w:line="460" w:lineRule="exact"/>
              <w:ind w:firstLine="480" w:firstLineChars="200"/>
              <w:textAlignment w:val="auto"/>
              <w:rPr>
                <w:color w:val="000000"/>
                <w:sz w:val="24"/>
                <w:szCs w:val="24"/>
              </w:rPr>
            </w:pPr>
            <w:r>
              <w:rPr>
                <w:rFonts w:hint="eastAsia"/>
                <w:color w:val="000000"/>
                <w:sz w:val="24"/>
                <w:szCs w:val="24"/>
              </w:rPr>
              <w:t>根据《重庆市环境保护条例》、《重庆市大气污染防治条例》中相关规定，采取如下措施：</w:t>
            </w:r>
          </w:p>
          <w:p w14:paraId="6FC220B7">
            <w:pPr>
              <w:keepLines w:val="0"/>
              <w:pageBreakBefore w:val="0"/>
              <w:widowControl w:val="0"/>
              <w:kinsoku/>
              <w:wordWrap/>
              <w:topLinePunct w:val="0"/>
              <w:autoSpaceDE/>
              <w:autoSpaceDN/>
              <w:bidi w:val="0"/>
              <w:adjustRightInd/>
              <w:spacing w:line="460" w:lineRule="exact"/>
              <w:ind w:firstLine="480" w:firstLineChars="200"/>
              <w:textAlignment w:val="auto"/>
              <w:rPr>
                <w:color w:val="000000"/>
                <w:sz w:val="24"/>
                <w:szCs w:val="24"/>
              </w:rPr>
            </w:pPr>
            <w:r>
              <w:rPr>
                <w:rFonts w:hint="eastAsia"/>
                <w:color w:val="000000"/>
                <w:sz w:val="24"/>
                <w:szCs w:val="24"/>
                <w:lang w:eastAsia="zh-CN"/>
              </w:rPr>
              <w:t>墙体砌筑</w:t>
            </w:r>
            <w:r>
              <w:rPr>
                <w:rFonts w:hint="eastAsia"/>
                <w:color w:val="000000"/>
                <w:lang w:eastAsia="zh-CN"/>
              </w:rPr>
              <w:t>、地面防渗等施工作业</w:t>
            </w:r>
            <w:r>
              <w:rPr>
                <w:rFonts w:hint="eastAsia"/>
                <w:color w:val="000000"/>
                <w:sz w:val="24"/>
                <w:szCs w:val="24"/>
                <w:lang w:eastAsia="zh-CN"/>
              </w:rPr>
              <w:t>时使用商品混凝土，现场不加工混凝土；</w:t>
            </w:r>
            <w:r>
              <w:rPr>
                <w:rFonts w:hint="eastAsia"/>
                <w:color w:val="000000"/>
                <w:sz w:val="24"/>
                <w:szCs w:val="24"/>
              </w:rPr>
              <w:t>选用先进的施工机械，加强施工机械的使用管理和保养维修，提高</w:t>
            </w:r>
            <w:r>
              <w:rPr>
                <w:rFonts w:hint="eastAsia"/>
                <w:color w:val="000000"/>
                <w:sz w:val="24"/>
                <w:szCs w:val="24"/>
                <w:lang w:eastAsia="zh-CN"/>
              </w:rPr>
              <w:t>施工</w:t>
            </w:r>
            <w:r>
              <w:rPr>
                <w:rFonts w:hint="eastAsia"/>
                <w:color w:val="000000"/>
                <w:sz w:val="24"/>
                <w:szCs w:val="24"/>
              </w:rPr>
              <w:t>机械设备使用效率，缩短工期，尽可能地控制施工机械废气对大气环境的影响。</w:t>
            </w:r>
          </w:p>
          <w:p w14:paraId="0B7882F1">
            <w:pPr>
              <w:keepLines w:val="0"/>
              <w:pageBreakBefore w:val="0"/>
              <w:widowControl w:val="0"/>
              <w:kinsoku/>
              <w:wordWrap/>
              <w:topLinePunct w:val="0"/>
              <w:autoSpaceDE/>
              <w:autoSpaceDN/>
              <w:bidi w:val="0"/>
              <w:adjustRightInd/>
              <w:spacing w:line="460" w:lineRule="exact"/>
              <w:ind w:firstLine="480" w:firstLineChars="200"/>
              <w:textAlignment w:val="auto"/>
              <w:rPr>
                <w:color w:val="000000"/>
                <w:sz w:val="24"/>
                <w:szCs w:val="24"/>
              </w:rPr>
            </w:pPr>
            <w:r>
              <w:rPr>
                <w:rFonts w:hint="eastAsia"/>
                <w:color w:val="000000"/>
                <w:sz w:val="24"/>
                <w:szCs w:val="24"/>
                <w:lang w:eastAsia="zh-CN"/>
              </w:rPr>
              <w:t>本项目施工期很短，</w:t>
            </w:r>
            <w:r>
              <w:rPr>
                <w:rFonts w:hint="eastAsia"/>
                <w:color w:val="000000"/>
                <w:sz w:val="24"/>
                <w:szCs w:val="24"/>
              </w:rPr>
              <w:t>通过采取上述污染防治措施</w:t>
            </w:r>
            <w:r>
              <w:rPr>
                <w:rFonts w:hint="eastAsia"/>
                <w:color w:val="000000"/>
                <w:sz w:val="24"/>
                <w:szCs w:val="24"/>
                <w:lang w:eastAsia="zh-CN"/>
              </w:rPr>
              <w:t>后</w:t>
            </w:r>
            <w:r>
              <w:rPr>
                <w:rFonts w:hint="eastAsia"/>
                <w:color w:val="000000"/>
                <w:sz w:val="24"/>
                <w:szCs w:val="24"/>
              </w:rPr>
              <w:t>，</w:t>
            </w:r>
            <w:r>
              <w:rPr>
                <w:rFonts w:hint="eastAsia"/>
                <w:color w:val="000000"/>
                <w:sz w:val="24"/>
                <w:szCs w:val="24"/>
                <w:lang w:eastAsia="zh-CN"/>
              </w:rPr>
              <w:t>施工期废气对周边环境影响较小</w:t>
            </w:r>
            <w:r>
              <w:rPr>
                <w:rFonts w:hint="eastAsia"/>
                <w:color w:val="000000"/>
                <w:sz w:val="24"/>
                <w:szCs w:val="24"/>
              </w:rPr>
              <w:t>。</w:t>
            </w:r>
          </w:p>
          <w:p w14:paraId="7EEDDD85">
            <w:pPr>
              <w:pStyle w:val="4"/>
              <w:keepLines w:val="0"/>
              <w:pageBreakBefore w:val="0"/>
              <w:widowControl w:val="0"/>
              <w:kinsoku/>
              <w:wordWrap/>
              <w:topLinePunct w:val="0"/>
              <w:autoSpaceDE/>
              <w:autoSpaceDN/>
              <w:bidi w:val="0"/>
              <w:adjustRightInd/>
              <w:spacing w:line="460" w:lineRule="exact"/>
              <w:ind w:left="434" w:leftChars="202" w:hanging="10" w:hangingChars="4"/>
              <w:textAlignment w:val="auto"/>
              <w:rPr>
                <w:rFonts w:hint="eastAsia" w:eastAsia="宋体"/>
                <w:color w:val="000000"/>
                <w:sz w:val="24"/>
                <w:szCs w:val="24"/>
                <w:lang w:eastAsia="zh-CN"/>
              </w:rPr>
            </w:pPr>
            <w:r>
              <w:rPr>
                <w:rFonts w:hint="eastAsia"/>
                <w:color w:val="000000"/>
                <w:sz w:val="24"/>
                <w:szCs w:val="24"/>
                <w:lang w:eastAsia="zh-CN"/>
              </w:rPr>
              <w:t>（</w:t>
            </w:r>
            <w:r>
              <w:rPr>
                <w:rFonts w:hint="eastAsia"/>
                <w:color w:val="000000"/>
                <w:sz w:val="24"/>
                <w:szCs w:val="24"/>
                <w:lang w:val="en-US" w:eastAsia="zh-CN"/>
              </w:rPr>
              <w:t>2</w:t>
            </w:r>
            <w:r>
              <w:rPr>
                <w:rFonts w:hint="eastAsia"/>
                <w:color w:val="000000"/>
                <w:sz w:val="24"/>
                <w:szCs w:val="24"/>
                <w:lang w:eastAsia="zh-CN"/>
              </w:rPr>
              <w:t>）废水</w:t>
            </w:r>
          </w:p>
          <w:p w14:paraId="55AF6F28">
            <w:pPr>
              <w:keepLines w:val="0"/>
              <w:pageBreakBefore w:val="0"/>
              <w:widowControl w:val="0"/>
              <w:kinsoku/>
              <w:wordWrap/>
              <w:topLinePunct w:val="0"/>
              <w:autoSpaceDE/>
              <w:autoSpaceDN/>
              <w:bidi w:val="0"/>
              <w:adjustRightInd/>
              <w:spacing w:line="460" w:lineRule="exact"/>
              <w:ind w:firstLine="480" w:firstLineChars="200"/>
              <w:textAlignment w:val="auto"/>
              <w:rPr>
                <w:color w:val="000000"/>
                <w:sz w:val="24"/>
                <w:szCs w:val="24"/>
              </w:rPr>
            </w:pPr>
            <w:r>
              <w:rPr>
                <w:rFonts w:hint="eastAsia"/>
                <w:color w:val="000000"/>
                <w:sz w:val="24"/>
                <w:szCs w:val="24"/>
              </w:rPr>
              <w:t>本项目施工工期短，施工人员</w:t>
            </w:r>
            <w:r>
              <w:rPr>
                <w:rFonts w:hint="eastAsia"/>
                <w:color w:val="000000"/>
                <w:sz w:val="24"/>
                <w:szCs w:val="24"/>
                <w:lang w:eastAsia="zh-CN"/>
              </w:rPr>
              <w:t>产生的生活污水依托长安跨越现有污水处理设施处理达标后排入申明坝深度处理后排放。</w:t>
            </w:r>
          </w:p>
          <w:p w14:paraId="71CC58D1">
            <w:pPr>
              <w:pStyle w:val="4"/>
              <w:keepLines w:val="0"/>
              <w:pageBreakBefore w:val="0"/>
              <w:widowControl w:val="0"/>
              <w:kinsoku/>
              <w:wordWrap/>
              <w:topLinePunct w:val="0"/>
              <w:autoSpaceDE/>
              <w:autoSpaceDN/>
              <w:bidi w:val="0"/>
              <w:adjustRightInd/>
              <w:spacing w:line="460" w:lineRule="exact"/>
              <w:ind w:left="434" w:leftChars="202" w:hanging="10" w:hangingChars="4"/>
              <w:textAlignment w:val="auto"/>
              <w:rPr>
                <w:rFonts w:hint="eastAsia" w:eastAsia="宋体"/>
                <w:color w:val="000000"/>
                <w:sz w:val="24"/>
                <w:szCs w:val="24"/>
                <w:lang w:eastAsia="zh-CN"/>
              </w:rPr>
            </w:pPr>
            <w:bookmarkStart w:id="6" w:name="_GoBack"/>
            <w:bookmarkEnd w:id="6"/>
            <w:r>
              <w:rPr>
                <w:rFonts w:hint="eastAsia"/>
                <w:color w:val="000000"/>
                <w:sz w:val="24"/>
                <w:szCs w:val="24"/>
                <w:lang w:eastAsia="zh-CN"/>
              </w:rPr>
              <w:t>（</w:t>
            </w:r>
            <w:r>
              <w:rPr>
                <w:rFonts w:hint="eastAsia"/>
                <w:color w:val="000000"/>
                <w:sz w:val="24"/>
                <w:szCs w:val="24"/>
                <w:lang w:val="en-US" w:eastAsia="zh-CN"/>
              </w:rPr>
              <w:t>3</w:t>
            </w:r>
            <w:r>
              <w:rPr>
                <w:rFonts w:hint="eastAsia"/>
                <w:color w:val="000000"/>
                <w:sz w:val="24"/>
                <w:szCs w:val="24"/>
                <w:lang w:eastAsia="zh-CN"/>
              </w:rPr>
              <w:t>）噪声</w:t>
            </w:r>
          </w:p>
          <w:p w14:paraId="75729799">
            <w:pPr>
              <w:keepLines w:val="0"/>
              <w:pageBreakBefore w:val="0"/>
              <w:widowControl w:val="0"/>
              <w:kinsoku/>
              <w:wordWrap/>
              <w:topLinePunct w:val="0"/>
              <w:autoSpaceDE/>
              <w:autoSpaceDN/>
              <w:bidi w:val="0"/>
              <w:adjustRightInd/>
              <w:spacing w:line="460" w:lineRule="exact"/>
              <w:ind w:firstLine="480" w:firstLineChars="200"/>
              <w:textAlignment w:val="auto"/>
              <w:rPr>
                <w:color w:val="000000"/>
                <w:sz w:val="24"/>
                <w:szCs w:val="24"/>
              </w:rPr>
            </w:pPr>
            <w:r>
              <w:rPr>
                <w:rFonts w:hint="eastAsia"/>
                <w:color w:val="000000"/>
                <w:sz w:val="24"/>
                <w:szCs w:val="24"/>
              </w:rPr>
              <w:t>根据《重庆市环境噪声污染防治办法》（渝府令[2023]363号）相关规定，采取如下措施：</w:t>
            </w:r>
          </w:p>
          <w:p w14:paraId="6087858E">
            <w:pPr>
              <w:keepLines w:val="0"/>
              <w:pageBreakBefore w:val="0"/>
              <w:widowControl w:val="0"/>
              <w:kinsoku/>
              <w:wordWrap/>
              <w:topLinePunct w:val="0"/>
              <w:autoSpaceDE/>
              <w:autoSpaceDN/>
              <w:bidi w:val="0"/>
              <w:adjustRightInd/>
              <w:spacing w:line="460" w:lineRule="exact"/>
              <w:ind w:firstLine="480" w:firstLineChars="200"/>
              <w:textAlignment w:val="auto"/>
              <w:rPr>
                <w:color w:val="000000"/>
                <w:sz w:val="24"/>
                <w:szCs w:val="24"/>
              </w:rPr>
            </w:pPr>
            <w:r>
              <w:rPr>
                <w:rFonts w:hint="eastAsia"/>
                <w:color w:val="000000"/>
                <w:sz w:val="24"/>
                <w:szCs w:val="24"/>
              </w:rPr>
              <w:t>施工单位在施工操作上加强环保措施，选用</w:t>
            </w:r>
            <w:r>
              <w:rPr>
                <w:rFonts w:hint="eastAsia"/>
                <w:color w:val="000000"/>
                <w:sz w:val="24"/>
                <w:szCs w:val="24"/>
                <w:lang w:eastAsia="zh-CN"/>
              </w:rPr>
              <w:t>高效</w:t>
            </w:r>
            <w:r>
              <w:rPr>
                <w:rFonts w:hint="eastAsia"/>
                <w:color w:val="000000"/>
                <w:sz w:val="24"/>
                <w:szCs w:val="24"/>
              </w:rPr>
              <w:t>低噪声施工设备</w:t>
            </w:r>
            <w:r>
              <w:rPr>
                <w:rFonts w:hint="eastAsia"/>
                <w:color w:val="000000"/>
                <w:sz w:val="24"/>
                <w:szCs w:val="24"/>
                <w:lang w:eastAsia="zh-CN"/>
              </w:rPr>
              <w:t>；</w:t>
            </w:r>
            <w:r>
              <w:rPr>
                <w:rFonts w:hint="eastAsia"/>
                <w:color w:val="000000"/>
                <w:sz w:val="24"/>
                <w:szCs w:val="24"/>
              </w:rPr>
              <w:t>加强对施工工地噪声监管力度，建立噪声防治管理责任制，加强现场管理，倡导文明施工，在装卸、搬运装修材料和机械设备的时候轻拿轻放，严禁抛掷</w:t>
            </w:r>
            <w:r>
              <w:rPr>
                <w:rFonts w:hint="eastAsia"/>
                <w:color w:val="000000"/>
                <w:sz w:val="24"/>
                <w:szCs w:val="24"/>
                <w:lang w:eastAsia="zh-CN"/>
              </w:rPr>
              <w:t>；</w:t>
            </w:r>
            <w:r>
              <w:rPr>
                <w:rFonts w:hint="eastAsia"/>
                <w:color w:val="000000"/>
                <w:sz w:val="24"/>
                <w:szCs w:val="24"/>
              </w:rPr>
              <w:t>合理安排施工作业时间，禁止夜间施工</w:t>
            </w:r>
            <w:r>
              <w:rPr>
                <w:rFonts w:hint="eastAsia"/>
                <w:color w:val="000000"/>
                <w:sz w:val="24"/>
                <w:szCs w:val="24"/>
                <w:lang w:eastAsia="zh-CN"/>
              </w:rPr>
              <w:t>；</w:t>
            </w:r>
            <w:r>
              <w:rPr>
                <w:rFonts w:hint="eastAsia"/>
                <w:color w:val="000000"/>
                <w:sz w:val="24"/>
                <w:szCs w:val="24"/>
              </w:rPr>
              <w:t>加强对</w:t>
            </w:r>
            <w:r>
              <w:rPr>
                <w:rFonts w:hint="eastAsia"/>
                <w:color w:val="000000"/>
                <w:sz w:val="24"/>
                <w:szCs w:val="24"/>
                <w:lang w:eastAsia="zh-CN"/>
              </w:rPr>
              <w:t>运输</w:t>
            </w:r>
            <w:r>
              <w:rPr>
                <w:rFonts w:hint="eastAsia"/>
                <w:color w:val="000000"/>
                <w:sz w:val="24"/>
                <w:szCs w:val="24"/>
              </w:rPr>
              <w:t>车辆的管理，车辆的运输应合理规划运输线路，尽量避开学校、</w:t>
            </w:r>
            <w:r>
              <w:rPr>
                <w:rFonts w:hint="eastAsia"/>
                <w:color w:val="000000"/>
                <w:sz w:val="24"/>
                <w:szCs w:val="24"/>
                <w:lang w:eastAsia="zh-CN"/>
              </w:rPr>
              <w:t>市区、</w:t>
            </w:r>
            <w:r>
              <w:rPr>
                <w:rFonts w:hint="eastAsia"/>
                <w:color w:val="000000"/>
                <w:sz w:val="24"/>
                <w:szCs w:val="24"/>
              </w:rPr>
              <w:t>集镇等环境敏感路段</w:t>
            </w:r>
            <w:r>
              <w:rPr>
                <w:rFonts w:hint="eastAsia"/>
                <w:color w:val="000000"/>
                <w:sz w:val="24"/>
                <w:szCs w:val="24"/>
                <w:lang w:eastAsia="zh-CN"/>
              </w:rPr>
              <w:t>，</w:t>
            </w:r>
            <w:r>
              <w:rPr>
                <w:rFonts w:hint="eastAsia"/>
                <w:color w:val="000000"/>
                <w:sz w:val="24"/>
                <w:szCs w:val="24"/>
              </w:rPr>
              <w:t>运输车辆在运输经过</w:t>
            </w:r>
            <w:r>
              <w:rPr>
                <w:rFonts w:hint="eastAsia"/>
                <w:color w:val="000000"/>
                <w:sz w:val="24"/>
                <w:szCs w:val="24"/>
                <w:lang w:eastAsia="zh-CN"/>
              </w:rPr>
              <w:t>敏感路段</w:t>
            </w:r>
            <w:r>
              <w:rPr>
                <w:rFonts w:hint="eastAsia"/>
                <w:color w:val="000000"/>
                <w:sz w:val="24"/>
                <w:szCs w:val="24"/>
              </w:rPr>
              <w:t>时</w:t>
            </w:r>
            <w:r>
              <w:rPr>
                <w:rFonts w:hint="eastAsia"/>
                <w:color w:val="000000"/>
                <w:sz w:val="24"/>
                <w:szCs w:val="24"/>
                <w:lang w:eastAsia="zh-CN"/>
              </w:rPr>
              <w:t>限速、禁鸣</w:t>
            </w:r>
            <w:r>
              <w:rPr>
                <w:rFonts w:hint="eastAsia"/>
                <w:color w:val="000000"/>
                <w:sz w:val="24"/>
                <w:szCs w:val="24"/>
              </w:rPr>
              <w:t>。同时，运输时段应避开居民出行高峰及休息时段。</w:t>
            </w:r>
          </w:p>
          <w:p w14:paraId="7E92FDCB">
            <w:pPr>
              <w:keepLines w:val="0"/>
              <w:pageBreakBefore w:val="0"/>
              <w:widowControl w:val="0"/>
              <w:kinsoku/>
              <w:wordWrap/>
              <w:topLinePunct w:val="0"/>
              <w:autoSpaceDE/>
              <w:autoSpaceDN/>
              <w:bidi w:val="0"/>
              <w:adjustRightInd/>
              <w:spacing w:line="460" w:lineRule="exact"/>
              <w:ind w:firstLine="480" w:firstLineChars="200"/>
              <w:textAlignment w:val="auto"/>
              <w:rPr>
                <w:color w:val="000000"/>
                <w:sz w:val="24"/>
                <w:szCs w:val="24"/>
              </w:rPr>
            </w:pPr>
            <w:r>
              <w:rPr>
                <w:rFonts w:hint="eastAsia"/>
                <w:color w:val="000000"/>
                <w:sz w:val="24"/>
                <w:szCs w:val="24"/>
                <w:lang w:eastAsia="zh-CN"/>
              </w:rPr>
              <w:t>本项目</w:t>
            </w:r>
            <w:r>
              <w:rPr>
                <w:rFonts w:hint="eastAsia"/>
                <w:color w:val="000000"/>
                <w:sz w:val="24"/>
                <w:szCs w:val="24"/>
              </w:rPr>
              <w:t>施工期较短，</w:t>
            </w:r>
            <w:r>
              <w:rPr>
                <w:rFonts w:hint="eastAsia"/>
                <w:color w:val="000000"/>
                <w:sz w:val="24"/>
                <w:szCs w:val="24"/>
                <w:lang w:eastAsia="zh-CN"/>
              </w:rPr>
              <w:t>噪声</w:t>
            </w:r>
            <w:r>
              <w:rPr>
                <w:rFonts w:hint="eastAsia"/>
                <w:color w:val="000000"/>
                <w:sz w:val="24"/>
                <w:szCs w:val="24"/>
              </w:rPr>
              <w:t>对外界影响是暂时的，随着施工结束影响也将消失。在采取以上污染防治措施后，施工噪声对环境保护目标影响较小。</w:t>
            </w:r>
          </w:p>
          <w:p w14:paraId="3FAF2FE9">
            <w:pPr>
              <w:pStyle w:val="4"/>
              <w:keepLines w:val="0"/>
              <w:pageBreakBefore w:val="0"/>
              <w:widowControl w:val="0"/>
              <w:kinsoku/>
              <w:wordWrap/>
              <w:topLinePunct w:val="0"/>
              <w:autoSpaceDE/>
              <w:autoSpaceDN/>
              <w:bidi w:val="0"/>
              <w:adjustRightInd/>
              <w:spacing w:line="460" w:lineRule="exact"/>
              <w:ind w:firstLine="482" w:firstLineChars="200"/>
              <w:textAlignment w:val="auto"/>
              <w:rPr>
                <w:color w:val="000000"/>
                <w:sz w:val="24"/>
                <w:szCs w:val="24"/>
              </w:rPr>
            </w:pPr>
            <w:r>
              <w:rPr>
                <w:rFonts w:hint="eastAsia"/>
                <w:color w:val="000000"/>
                <w:sz w:val="24"/>
                <w:szCs w:val="24"/>
                <w:lang w:eastAsia="zh-CN"/>
              </w:rPr>
              <w:t>（</w:t>
            </w:r>
            <w:r>
              <w:rPr>
                <w:rFonts w:hint="eastAsia"/>
                <w:color w:val="000000"/>
                <w:sz w:val="24"/>
                <w:szCs w:val="24"/>
                <w:lang w:val="en-US" w:eastAsia="zh-CN"/>
              </w:rPr>
              <w:t>4</w:t>
            </w:r>
            <w:r>
              <w:rPr>
                <w:rFonts w:hint="eastAsia"/>
                <w:color w:val="000000"/>
                <w:sz w:val="24"/>
                <w:szCs w:val="24"/>
                <w:lang w:eastAsia="zh-CN"/>
              </w:rPr>
              <w:t>）</w:t>
            </w:r>
            <w:r>
              <w:rPr>
                <w:rFonts w:hint="eastAsia"/>
                <w:color w:val="000000"/>
                <w:sz w:val="24"/>
                <w:szCs w:val="24"/>
              </w:rPr>
              <w:t>固体废物</w:t>
            </w:r>
          </w:p>
          <w:p w14:paraId="366795AB">
            <w:pPr>
              <w:keepLines w:val="0"/>
              <w:pageBreakBefore w:val="0"/>
              <w:widowControl w:val="0"/>
              <w:kinsoku/>
              <w:wordWrap/>
              <w:topLinePunct w:val="0"/>
              <w:autoSpaceDE/>
              <w:autoSpaceDN/>
              <w:bidi w:val="0"/>
              <w:adjustRightInd/>
              <w:spacing w:line="460" w:lineRule="exact"/>
              <w:ind w:firstLine="480"/>
              <w:textAlignment w:val="auto"/>
              <w:rPr>
                <w:rFonts w:hint="eastAsia"/>
                <w:color w:val="000000"/>
                <w:sz w:val="24"/>
                <w:szCs w:val="24"/>
                <w:lang w:eastAsia="zh-CN"/>
              </w:rPr>
            </w:pPr>
            <w:r>
              <w:rPr>
                <w:rFonts w:hint="eastAsia"/>
                <w:color w:val="000000"/>
                <w:sz w:val="24"/>
                <w:szCs w:val="24"/>
              </w:rPr>
              <w:t>项目在施工过程中产生的固体废物主要为建筑垃圾及施工人员的生活垃圾。</w:t>
            </w:r>
            <w:r>
              <w:rPr>
                <w:rFonts w:hint="eastAsia"/>
                <w:color w:val="000000"/>
                <w:sz w:val="24"/>
                <w:szCs w:val="24"/>
                <w:lang w:eastAsia="zh-CN"/>
              </w:rPr>
              <w:t>建筑垃圾中钢筋等收集后外售废品收购店回收利用，其余建筑垃圾运至建筑垃圾填埋场处置；生活垃圾收集后交由环卫部门统一处置。</w:t>
            </w:r>
          </w:p>
          <w:p w14:paraId="4CEC3D59">
            <w:pPr>
              <w:keepLines w:val="0"/>
              <w:pageBreakBefore w:val="0"/>
              <w:widowControl w:val="0"/>
              <w:kinsoku/>
              <w:wordWrap/>
              <w:topLinePunct w:val="0"/>
              <w:autoSpaceDE/>
              <w:autoSpaceDN/>
              <w:bidi w:val="0"/>
              <w:adjustRightInd/>
              <w:spacing w:line="460" w:lineRule="exact"/>
              <w:ind w:firstLine="480"/>
              <w:textAlignment w:val="auto"/>
              <w:rPr>
                <w:rFonts w:hint="eastAsia"/>
                <w:color w:val="000000"/>
                <w:sz w:val="24"/>
                <w:szCs w:val="24"/>
                <w:lang w:eastAsia="zh-CN"/>
              </w:rPr>
            </w:pPr>
            <w:r>
              <w:rPr>
                <w:rFonts w:hint="eastAsia"/>
                <w:color w:val="000000"/>
                <w:sz w:val="24"/>
                <w:szCs w:val="24"/>
                <w:lang w:eastAsia="zh-CN"/>
              </w:rPr>
              <w:t>施工期固体废物采取上述措施后，不会造成二次污染。</w:t>
            </w:r>
          </w:p>
          <w:p w14:paraId="32630F91">
            <w:pPr>
              <w:numPr>
                <w:ilvl w:val="0"/>
                <w:numId w:val="0"/>
              </w:numPr>
              <w:spacing w:line="460" w:lineRule="atLeast"/>
              <w:rPr>
                <w:rFonts w:hint="default" w:ascii="Times New Roman" w:hAnsi="Times New Roman" w:cs="Times New Roman"/>
                <w:b/>
                <w:bCs/>
                <w:color w:val="000000" w:themeColor="text1"/>
                <w:sz w:val="24"/>
                <w:lang w:eastAsia="zh-CN"/>
                <w14:textFill>
                  <w14:solidFill>
                    <w14:schemeClr w14:val="tx1"/>
                  </w14:solidFill>
                </w14:textFill>
              </w:rPr>
            </w:pPr>
            <w:r>
              <w:rPr>
                <w:rFonts w:hint="default" w:ascii="Times New Roman" w:hAnsi="Times New Roman" w:cs="Times New Roman"/>
                <w:b/>
                <w:bCs/>
                <w:color w:val="000000" w:themeColor="text1"/>
                <w:sz w:val="24"/>
                <w:lang w:eastAsia="zh-CN"/>
                <w14:textFill>
                  <w14:solidFill>
                    <w14:schemeClr w14:val="tx1"/>
                  </w14:solidFill>
                </w14:textFill>
              </w:rPr>
              <w:t>8.6结论</w:t>
            </w:r>
          </w:p>
          <w:p w14:paraId="6ED0D7AF">
            <w:pPr>
              <w:numPr>
                <w:ilvl w:val="0"/>
                <w:numId w:val="0"/>
              </w:numPr>
              <w:spacing w:line="460" w:lineRule="atLeast"/>
              <w:ind w:leftChars="0" w:firstLine="480" w:firstLineChars="200"/>
              <w:rPr>
                <w:rFonts w:hint="default" w:ascii="Times New Roman" w:hAnsi="Times New Roman" w:cs="Times New Roman"/>
                <w:color w:val="auto"/>
                <w:sz w:val="24"/>
                <w:lang w:eastAsia="zh-CN"/>
              </w:rPr>
            </w:pPr>
            <w:r>
              <w:rPr>
                <w:rFonts w:hint="default" w:ascii="Times New Roman" w:hAnsi="Times New Roman" w:cs="Times New Roman"/>
                <w:color w:val="000000" w:themeColor="text1"/>
                <w:sz w:val="24"/>
                <w:lang w:eastAsia="zh-CN"/>
                <w14:textFill>
                  <w14:solidFill>
                    <w14:schemeClr w14:val="tx1"/>
                  </w14:solidFill>
                </w14:textFill>
              </w:rPr>
              <w:t>综上所述，本验收项目各项环保设施建设到位，较好地落</w:t>
            </w:r>
            <w:r>
              <w:rPr>
                <w:rFonts w:hint="default" w:ascii="Times New Roman" w:hAnsi="Times New Roman" w:cs="Times New Roman"/>
                <w:color w:val="auto"/>
                <w:sz w:val="24"/>
                <w:lang w:eastAsia="zh-CN"/>
              </w:rPr>
              <w:t>实了环评及批复文件提出的环保要求。工程建设期间，未发生重大污染。现有环保设施能满足运营期污染物排放及处置要求，达到竣工环保验收条件，建议验收组通过工程竣工环境保护验收。</w:t>
            </w:r>
          </w:p>
          <w:p w14:paraId="5B92D2DA">
            <w:pPr>
              <w:numPr>
                <w:ilvl w:val="0"/>
                <w:numId w:val="0"/>
              </w:numPr>
              <w:spacing w:line="460" w:lineRule="atLeast"/>
              <w:rPr>
                <w:rFonts w:hint="default" w:ascii="Times New Roman" w:hAnsi="Times New Roman" w:cs="Times New Roman"/>
                <w:b/>
                <w:bCs/>
                <w:color w:val="auto"/>
                <w:sz w:val="24"/>
                <w:lang w:eastAsia="zh-CN"/>
              </w:rPr>
            </w:pPr>
            <w:r>
              <w:rPr>
                <w:rFonts w:hint="default" w:ascii="Times New Roman" w:hAnsi="Times New Roman" w:cs="Times New Roman"/>
                <w:b/>
                <w:bCs/>
                <w:color w:val="auto"/>
                <w:sz w:val="24"/>
                <w:lang w:eastAsia="zh-CN"/>
              </w:rPr>
              <w:t>8.7建议</w:t>
            </w:r>
          </w:p>
          <w:p w14:paraId="23469AF3">
            <w:pPr>
              <w:numPr>
                <w:ilvl w:val="0"/>
                <w:numId w:val="0"/>
              </w:numPr>
              <w:spacing w:line="460" w:lineRule="atLeast"/>
              <w:ind w:leftChars="0" w:firstLine="480" w:firstLineChars="200"/>
              <w:rPr>
                <w:rFonts w:hint="default" w:ascii="Times New Roman" w:hAnsi="Times New Roman" w:eastAsia="宋体" w:cs="Times New Roman"/>
                <w:bCs/>
                <w:iCs/>
                <w:color w:val="000000" w:themeColor="text1"/>
                <w:sz w:val="21"/>
                <w:szCs w:val="21"/>
                <w:lang w:val="en-US" w:eastAsia="zh-CN"/>
                <w14:textFill>
                  <w14:solidFill>
                    <w14:schemeClr w14:val="tx1"/>
                  </w14:solidFill>
                </w14:textFill>
              </w:rPr>
            </w:pPr>
            <w:r>
              <w:rPr>
                <w:rFonts w:hint="default" w:ascii="Times New Roman" w:hAnsi="Times New Roman" w:cs="Times New Roman"/>
                <w:color w:val="auto"/>
                <w:sz w:val="24"/>
                <w:lang w:eastAsia="zh-CN"/>
              </w:rPr>
              <w:t>企业应加强对各类环保设施的日常管理和维护，加强对企业员工的操作培训，保证环保设施的正常运行，完善环保设施运行记录，确保各项污染物长期稳定达标排放。</w:t>
            </w:r>
          </w:p>
        </w:tc>
      </w:tr>
    </w:tbl>
    <w:p w14:paraId="1A0363D7">
      <w:pPr>
        <w:pStyle w:val="15"/>
        <w:widowControl w:val="0"/>
        <w:numPr>
          <w:ilvl w:val="0"/>
          <w:numId w:val="0"/>
        </w:numPr>
        <w:jc w:val="both"/>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Dutch801 Rm BT">
    <w:altName w:val="Times New Roman"/>
    <w:panose1 w:val="02020603060505020304"/>
    <w:charset w:val="00"/>
    <w:family w:val="roman"/>
    <w:pitch w:val="default"/>
    <w:sig w:usb0="00000000" w:usb1="00000000" w:usb2="00000000"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roman"/>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 w:name="Arial Narrow">
    <w:altName w:val="Arial"/>
    <w:panose1 w:val="020B0606020202030204"/>
    <w:charset w:val="00"/>
    <w:family w:val="swiss"/>
    <w:pitch w:val="default"/>
    <w:sig w:usb0="00000000" w:usb1="00000000" w:usb2="00000000" w:usb3="00000000" w:csb0="2000009F" w:csb1="DFD7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Wingdings 2">
    <w:altName w:val="Wingdings"/>
    <w:panose1 w:val="05020102010507070707"/>
    <w:charset w:val="00"/>
    <w:family w:val="auto"/>
    <w:pitch w:val="default"/>
    <w:sig w:usb0="00000000" w:usb1="00000000" w:usb2="00000000" w:usb3="00000000" w:csb0="80000000" w:csb1="00000000"/>
  </w:font>
  <w:font w:name="Kingsoft UE">
    <w:panose1 w:val="02000100010000000000"/>
    <w:charset w:val="00"/>
    <w:family w:val="auto"/>
    <w:pitch w:val="default"/>
    <w:sig w:usb0="00000001" w:usb1="00004000" w:usb2="00000000" w:usb3="00000000" w:csb0="00000001" w:csb1="00000000"/>
  </w:font>
  <w:font w:name="KSOF3D47F291">
    <w:panose1 w:val="020B0604020202020204"/>
    <w:charset w:val="00"/>
    <w:family w:val="auto"/>
    <w:pitch w:val="default"/>
    <w:sig w:usb0="00000001"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436F86B"/>
    <w:multiLevelType w:val="singleLevel"/>
    <w:tmpl w:val="A436F86B"/>
    <w:lvl w:ilvl="0" w:tentative="0">
      <w:start w:val="1"/>
      <w:numFmt w:val="decimal"/>
      <w:suff w:val="nothing"/>
      <w:lvlText w:val="（%1）"/>
      <w:lvlJc w:val="left"/>
    </w:lvl>
  </w:abstractNum>
  <w:abstractNum w:abstractNumId="1">
    <w:nsid w:val="BA887D2B"/>
    <w:multiLevelType w:val="singleLevel"/>
    <w:tmpl w:val="BA887D2B"/>
    <w:lvl w:ilvl="0" w:tentative="0">
      <w:start w:val="1"/>
      <w:numFmt w:val="decimal"/>
      <w:suff w:val="nothing"/>
      <w:lvlText w:val="（%1）"/>
      <w:lvlJc w:val="left"/>
      <w:pPr>
        <w:ind w:left="525" w:leftChars="0" w:firstLine="0" w:firstLineChars="0"/>
      </w:pPr>
    </w:lvl>
  </w:abstractNum>
  <w:abstractNum w:abstractNumId="2">
    <w:nsid w:val="30E336C9"/>
    <w:multiLevelType w:val="multilevel"/>
    <w:tmpl w:val="30E336C9"/>
    <w:lvl w:ilvl="0" w:tentative="0">
      <w:start w:val="1"/>
      <w:numFmt w:val="decimal"/>
      <w:lvlText w:val="%1"/>
      <w:lvlJc w:val="left"/>
      <w:pPr>
        <w:tabs>
          <w:tab w:val="left" w:pos="1568"/>
        </w:tabs>
        <w:ind w:left="1568" w:hanging="432"/>
      </w:pPr>
      <w:rPr>
        <w:rFonts w:ascii="Times New Roman" w:hAnsi="宋体" w:eastAsia="宋体"/>
      </w:rPr>
    </w:lvl>
    <w:lvl w:ilvl="1" w:tentative="0">
      <w:start w:val="1"/>
      <w:numFmt w:val="decimal"/>
      <w:lvlText w:val="%1.%2"/>
      <w:lvlJc w:val="left"/>
      <w:pPr>
        <w:tabs>
          <w:tab w:val="left" w:pos="636"/>
        </w:tabs>
        <w:ind w:left="1883" w:hanging="1247"/>
      </w:pPr>
      <w:rPr>
        <w:rFonts w:hint="default" w:ascii="Times New Roman" w:hAnsi="Times New Roman" w:cs="Times New Roman"/>
        <w:sz w:val="28"/>
        <w:szCs w:val="28"/>
      </w:rPr>
    </w:lvl>
    <w:lvl w:ilvl="2" w:tentative="0">
      <w:start w:val="1"/>
      <w:numFmt w:val="decimal"/>
      <w:pStyle w:val="6"/>
      <w:lvlText w:val="%1.%2.%3"/>
      <w:lvlJc w:val="left"/>
      <w:pPr>
        <w:tabs>
          <w:tab w:val="left" w:pos="1146"/>
        </w:tabs>
        <w:ind w:left="1146" w:hanging="720"/>
      </w:pPr>
      <w:rPr>
        <w:rFonts w:hint="default" w:ascii="Times New Roman" w:hAnsi="Times New Roman" w:cs="Times New Roman"/>
      </w:rPr>
    </w:lvl>
    <w:lvl w:ilvl="3" w:tentative="0">
      <w:start w:val="1"/>
      <w:numFmt w:val="decimal"/>
      <w:lvlText w:val="%1.%2.%3.%4"/>
      <w:lvlJc w:val="left"/>
      <w:pPr>
        <w:tabs>
          <w:tab w:val="left" w:pos="1600"/>
        </w:tabs>
        <w:ind w:left="1600" w:hanging="748"/>
      </w:pPr>
      <w:rPr>
        <w:rFonts w:hint="default" w:ascii="Times New Roman" w:hAnsi="Times New Roman" w:cs="Times New Roman"/>
      </w:rPr>
    </w:lvl>
    <w:lvl w:ilvl="4" w:tentative="0">
      <w:start w:val="1"/>
      <w:numFmt w:val="decimal"/>
      <w:lvlText w:val="%1.%2.%3.%4.%5"/>
      <w:lvlJc w:val="left"/>
      <w:pPr>
        <w:tabs>
          <w:tab w:val="left" w:pos="2144"/>
        </w:tabs>
        <w:ind w:left="2144" w:hanging="1008"/>
      </w:pPr>
      <w:rPr>
        <w:rFonts w:hint="eastAsia"/>
      </w:rPr>
    </w:lvl>
    <w:lvl w:ilvl="5" w:tentative="0">
      <w:start w:val="1"/>
      <w:numFmt w:val="decimal"/>
      <w:lvlText w:val="%1.%2.%3.%4.%5.%6"/>
      <w:lvlJc w:val="left"/>
      <w:pPr>
        <w:tabs>
          <w:tab w:val="left" w:pos="2288"/>
        </w:tabs>
        <w:ind w:left="2288" w:hanging="1152"/>
      </w:pPr>
      <w:rPr>
        <w:rFonts w:hint="eastAsia"/>
      </w:rPr>
    </w:lvl>
    <w:lvl w:ilvl="6" w:tentative="0">
      <w:start w:val="1"/>
      <w:numFmt w:val="decimal"/>
      <w:lvlText w:val="%1.%2.%3.%4.%5.%6.%7"/>
      <w:lvlJc w:val="left"/>
      <w:pPr>
        <w:tabs>
          <w:tab w:val="left" w:pos="2432"/>
        </w:tabs>
        <w:ind w:left="2432" w:hanging="1296"/>
      </w:pPr>
      <w:rPr>
        <w:rFonts w:hint="eastAsia"/>
      </w:rPr>
    </w:lvl>
    <w:lvl w:ilvl="7" w:tentative="0">
      <w:start w:val="1"/>
      <w:numFmt w:val="decimal"/>
      <w:lvlText w:val="%1.%2.%3.%4.%5.%6.%7.%8"/>
      <w:lvlJc w:val="left"/>
      <w:pPr>
        <w:tabs>
          <w:tab w:val="left" w:pos="2576"/>
        </w:tabs>
        <w:ind w:left="2576" w:hanging="1440"/>
      </w:pPr>
      <w:rPr>
        <w:rFonts w:hint="eastAsia"/>
      </w:rPr>
    </w:lvl>
    <w:lvl w:ilvl="8" w:tentative="0">
      <w:start w:val="1"/>
      <w:numFmt w:val="decimal"/>
      <w:lvlText w:val="%1.%2.%3.%4.%5.%6.%7.%8.%9"/>
      <w:lvlJc w:val="left"/>
      <w:pPr>
        <w:tabs>
          <w:tab w:val="left" w:pos="2720"/>
        </w:tabs>
        <w:ind w:left="2720" w:hanging="1584"/>
      </w:pPr>
      <w:rPr>
        <w:rFonts w:hint="eastAsia"/>
      </w:rPr>
    </w:lvl>
  </w:abstractNum>
  <w:abstractNum w:abstractNumId="3">
    <w:nsid w:val="4CFE41B0"/>
    <w:multiLevelType w:val="singleLevel"/>
    <w:tmpl w:val="4CFE41B0"/>
    <w:lvl w:ilvl="0" w:tentative="0">
      <w:start w:val="1"/>
      <w:numFmt w:val="bullet"/>
      <w:pStyle w:val="15"/>
      <w:lvlText w:val=""/>
      <w:lvlJc w:val="left"/>
      <w:pPr>
        <w:tabs>
          <w:tab w:val="left" w:pos="2040"/>
        </w:tabs>
        <w:ind w:left="2040" w:hanging="360"/>
      </w:pPr>
      <w:rPr>
        <w:rFonts w:hint="default" w:ascii="Wingdings" w:hAnsi="Wingdings"/>
      </w:rPr>
    </w:lvl>
  </w:abstractNum>
  <w:abstractNum w:abstractNumId="4">
    <w:nsid w:val="62054727"/>
    <w:multiLevelType w:val="singleLevel"/>
    <w:tmpl w:val="62054727"/>
    <w:lvl w:ilvl="0" w:tentative="0">
      <w:start w:val="2"/>
      <w:numFmt w:val="decimal"/>
      <w:suff w:val="nothing"/>
      <w:lvlText w:val="（%1）"/>
      <w:lvlJc w:val="left"/>
    </w:lvl>
  </w:abstractNum>
  <w:num w:numId="1">
    <w:abstractNumId w:val="2"/>
  </w:num>
  <w:num w:numId="2">
    <w:abstractNumId w:val="3"/>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4434677"/>
    <w:rsid w:val="01E054EB"/>
    <w:rsid w:val="02076F1C"/>
    <w:rsid w:val="03726617"/>
    <w:rsid w:val="03F139E0"/>
    <w:rsid w:val="04F73188"/>
    <w:rsid w:val="058663AA"/>
    <w:rsid w:val="05B1176C"/>
    <w:rsid w:val="07126147"/>
    <w:rsid w:val="0F5D0D44"/>
    <w:rsid w:val="11651569"/>
    <w:rsid w:val="199926F8"/>
    <w:rsid w:val="1A594561"/>
    <w:rsid w:val="1AEA3AAF"/>
    <w:rsid w:val="1D2415E6"/>
    <w:rsid w:val="1DD46F68"/>
    <w:rsid w:val="1FCA53B9"/>
    <w:rsid w:val="1FCC70CE"/>
    <w:rsid w:val="233F1C1A"/>
    <w:rsid w:val="240D3AC6"/>
    <w:rsid w:val="2C2D2B07"/>
    <w:rsid w:val="2D8247CD"/>
    <w:rsid w:val="2F121D17"/>
    <w:rsid w:val="302A7494"/>
    <w:rsid w:val="34BD0DD0"/>
    <w:rsid w:val="38AE3090"/>
    <w:rsid w:val="3DE04DAA"/>
    <w:rsid w:val="3E497999"/>
    <w:rsid w:val="47CC7B2C"/>
    <w:rsid w:val="4E2351A7"/>
    <w:rsid w:val="54434677"/>
    <w:rsid w:val="54EC75A4"/>
    <w:rsid w:val="587F2D96"/>
    <w:rsid w:val="5A3D61AC"/>
    <w:rsid w:val="5CDA0A14"/>
    <w:rsid w:val="5DF66D9E"/>
    <w:rsid w:val="5FB900C4"/>
    <w:rsid w:val="624C1682"/>
    <w:rsid w:val="63836F64"/>
    <w:rsid w:val="68544E83"/>
    <w:rsid w:val="699F478D"/>
    <w:rsid w:val="6E537F23"/>
    <w:rsid w:val="7BD007D6"/>
    <w:rsid w:val="7C2A25DC"/>
    <w:rsid w:val="7CD26923"/>
    <w:rsid w:val="7DC20F14"/>
    <w:rsid w:val="7E692B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99"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qFormat="1" w:unhideWhenUsed="0" w:uiPriority="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qFormat="1"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qFormat="1"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qFormat/>
    <w:uiPriority w:val="0"/>
    <w:pPr>
      <w:keepNext/>
      <w:overflowPunct w:val="0"/>
      <w:snapToGrid w:val="0"/>
      <w:spacing w:before="120" w:after="160" w:line="259" w:lineRule="auto"/>
      <w:ind w:left="432" w:hanging="432"/>
      <w:outlineLvl w:val="0"/>
    </w:pPr>
    <w:rPr>
      <w:rFonts w:ascii="Times New Roman" w:hAnsi="Times New Roman" w:eastAsia="黑体" w:cs="Times New Roman"/>
      <w:b/>
      <w:bCs/>
      <w:color w:val="000000"/>
      <w:kern w:val="44"/>
      <w:sz w:val="30"/>
      <w:szCs w:val="30"/>
    </w:rPr>
  </w:style>
  <w:style w:type="paragraph" w:styleId="5">
    <w:name w:val="heading 2"/>
    <w:basedOn w:val="1"/>
    <w:next w:val="1"/>
    <w:qFormat/>
    <w:uiPriority w:val="0"/>
    <w:pPr>
      <w:keepNext/>
      <w:keepLines/>
      <w:spacing w:line="360" w:lineRule="auto"/>
      <w:outlineLvl w:val="1"/>
    </w:pPr>
    <w:rPr>
      <w:rFonts w:ascii="Times New Roman" w:hAnsi="Times New Roman"/>
      <w:b/>
      <w:bCs/>
      <w:sz w:val="28"/>
      <w:szCs w:val="32"/>
    </w:rPr>
  </w:style>
  <w:style w:type="paragraph" w:styleId="6">
    <w:name w:val="heading 3"/>
    <w:basedOn w:val="1"/>
    <w:next w:val="1"/>
    <w:qFormat/>
    <w:uiPriority w:val="99"/>
    <w:pPr>
      <w:keepNext/>
      <w:keepLines/>
      <w:numPr>
        <w:ilvl w:val="2"/>
        <w:numId w:val="1"/>
      </w:numPr>
      <w:spacing w:before="50" w:beforeLines="50" w:line="360" w:lineRule="auto"/>
      <w:ind w:left="0" w:firstLine="0"/>
      <w:jc w:val="left"/>
      <w:outlineLvl w:val="2"/>
    </w:pPr>
    <w:rPr>
      <w:rFonts w:ascii="Calibri" w:hAnsi="Calibri" w:eastAsia="宋体" w:cs="Times New Roman"/>
      <w:b/>
      <w:bCs/>
      <w:sz w:val="28"/>
      <w:szCs w:val="32"/>
    </w:rPr>
  </w:style>
  <w:style w:type="paragraph" w:styleId="7">
    <w:name w:val="heading 4"/>
    <w:basedOn w:val="1"/>
    <w:next w:val="1"/>
    <w:unhideWhenUsed/>
    <w:qFormat/>
    <w:uiPriority w:val="0"/>
    <w:pPr>
      <w:outlineLvl w:val="3"/>
    </w:pPr>
    <w:rPr>
      <w:rFonts w:ascii="宋体" w:hAnsi="宋体" w:eastAsia="宋体" w:cs="宋体"/>
      <w:b/>
      <w:bCs/>
      <w:sz w:val="24"/>
      <w:szCs w:val="24"/>
      <w:lang w:val="zh-CN" w:eastAsia="zh-CN" w:bidi="zh-CN"/>
    </w:rPr>
  </w:style>
  <w:style w:type="character" w:default="1" w:styleId="25">
    <w:name w:val="Default Paragraph Font"/>
    <w:semiHidden/>
    <w:qFormat/>
    <w:uiPriority w:val="0"/>
  </w:style>
  <w:style w:type="table" w:default="1" w:styleId="23">
    <w:name w:val="Normal Table"/>
    <w:semiHidden/>
    <w:qFormat/>
    <w:uiPriority w:val="0"/>
    <w:tblPr>
      <w:tblCellMar>
        <w:top w:w="0" w:type="dxa"/>
        <w:left w:w="108" w:type="dxa"/>
        <w:bottom w:w="0" w:type="dxa"/>
        <w:right w:w="108" w:type="dxa"/>
      </w:tblCellMar>
    </w:tblPr>
  </w:style>
  <w:style w:type="paragraph" w:styleId="2">
    <w:name w:val="index heading"/>
    <w:basedOn w:val="1"/>
    <w:next w:val="3"/>
    <w:semiHidden/>
    <w:qFormat/>
    <w:uiPriority w:val="0"/>
  </w:style>
  <w:style w:type="paragraph" w:styleId="3">
    <w:name w:val="index 1"/>
    <w:basedOn w:val="1"/>
    <w:next w:val="1"/>
    <w:qFormat/>
    <w:uiPriority w:val="0"/>
    <w:rPr>
      <w:rFonts w:ascii="Times New Roman" w:hAnsi="Times New Roman" w:cs="Times New Roman"/>
    </w:rPr>
  </w:style>
  <w:style w:type="paragraph" w:styleId="8">
    <w:name w:val="List 3"/>
    <w:basedOn w:val="1"/>
    <w:next w:val="1"/>
    <w:qFormat/>
    <w:uiPriority w:val="0"/>
    <w:pPr>
      <w:autoSpaceDE w:val="0"/>
      <w:autoSpaceDN w:val="0"/>
      <w:adjustRightInd w:val="0"/>
      <w:spacing w:line="288" w:lineRule="auto"/>
      <w:ind w:left="1260" w:hanging="420"/>
      <w:jc w:val="left"/>
      <w:textAlignment w:val="baseline"/>
    </w:pPr>
    <w:rPr>
      <w:kern w:val="0"/>
      <w:sz w:val="24"/>
      <w:szCs w:val="20"/>
    </w:rPr>
  </w:style>
  <w:style w:type="paragraph" w:styleId="9">
    <w:name w:val="Normal Indent"/>
    <w:basedOn w:val="1"/>
    <w:next w:val="1"/>
    <w:qFormat/>
    <w:uiPriority w:val="0"/>
    <w:pPr>
      <w:spacing w:line="360" w:lineRule="auto"/>
      <w:ind w:left="0" w:firstLine="723" w:firstLineChars="200"/>
    </w:pPr>
    <w:rPr>
      <w:rFonts w:ascii="宋体" w:hAnsi="宋体" w:eastAsia="宋体"/>
      <w:kern w:val="18"/>
      <w:szCs w:val="20"/>
    </w:rPr>
  </w:style>
  <w:style w:type="paragraph" w:styleId="10">
    <w:name w:val="caption"/>
    <w:basedOn w:val="1"/>
    <w:next w:val="1"/>
    <w:qFormat/>
    <w:uiPriority w:val="0"/>
    <w:rPr>
      <w:rFonts w:ascii="Arial" w:hAnsi="Arial" w:eastAsia="黑体" w:cs="Arial"/>
      <w:sz w:val="20"/>
      <w:szCs w:val="20"/>
    </w:rPr>
  </w:style>
  <w:style w:type="paragraph" w:styleId="11">
    <w:name w:val="Body Text"/>
    <w:basedOn w:val="1"/>
    <w:qFormat/>
    <w:uiPriority w:val="1"/>
    <w:rPr>
      <w:rFonts w:ascii="宋体" w:hAnsi="宋体" w:eastAsia="宋体" w:cs="宋体"/>
      <w:sz w:val="24"/>
      <w:szCs w:val="24"/>
      <w:lang w:val="zh-CN" w:eastAsia="zh-CN" w:bidi="zh-CN"/>
    </w:rPr>
  </w:style>
  <w:style w:type="paragraph" w:styleId="12">
    <w:name w:val="Body Text Indent"/>
    <w:basedOn w:val="1"/>
    <w:next w:val="13"/>
    <w:qFormat/>
    <w:uiPriority w:val="0"/>
    <w:pPr>
      <w:spacing w:after="120"/>
      <w:ind w:left="420" w:leftChars="200"/>
    </w:pPr>
    <w:rPr>
      <w:kern w:val="0"/>
      <w:sz w:val="24"/>
      <w:szCs w:val="20"/>
    </w:rPr>
  </w:style>
  <w:style w:type="paragraph" w:styleId="13">
    <w:name w:val="toc 3"/>
    <w:basedOn w:val="1"/>
    <w:next w:val="1"/>
    <w:qFormat/>
    <w:uiPriority w:val="0"/>
    <w:pPr>
      <w:ind w:left="840" w:leftChars="400"/>
    </w:pPr>
  </w:style>
  <w:style w:type="paragraph" w:styleId="14">
    <w:name w:val="Plain Text"/>
    <w:basedOn w:val="1"/>
    <w:qFormat/>
    <w:uiPriority w:val="0"/>
    <w:rPr>
      <w:rFonts w:ascii="宋体" w:hAnsi="Courier New" w:cs="Dutch801 Rm BT"/>
      <w:szCs w:val="20"/>
    </w:rPr>
  </w:style>
  <w:style w:type="paragraph" w:styleId="15">
    <w:name w:val="List Bullet 5"/>
    <w:basedOn w:val="1"/>
    <w:qFormat/>
    <w:uiPriority w:val="0"/>
    <w:pPr>
      <w:numPr>
        <w:ilvl w:val="0"/>
        <w:numId w:val="2"/>
      </w:numPr>
    </w:pPr>
  </w:style>
  <w:style w:type="paragraph" w:styleId="16">
    <w:name w:val="Balloon Text"/>
    <w:basedOn w:val="1"/>
    <w:qFormat/>
    <w:uiPriority w:val="0"/>
    <w:pPr>
      <w:ind w:firstLine="518" w:firstLineChars="200"/>
    </w:pPr>
    <w:rPr>
      <w:rFonts w:ascii="Calibri" w:hAnsi="Calibri" w:cs="Calibri"/>
      <w:sz w:val="18"/>
      <w:szCs w:val="18"/>
    </w:rPr>
  </w:style>
  <w:style w:type="paragraph" w:styleId="1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8">
    <w:name w:val="Normal (Web)"/>
    <w:basedOn w:val="1"/>
    <w:qFormat/>
    <w:uiPriority w:val="0"/>
    <w:pPr>
      <w:widowControl/>
      <w:spacing w:before="100" w:beforeAutospacing="1" w:after="100" w:afterAutospacing="1"/>
      <w:jc w:val="left"/>
    </w:pPr>
    <w:rPr>
      <w:rFonts w:ascii="宋体" w:hAnsi="宋体" w:eastAsia="宋体" w:cs="Times New Roman"/>
      <w:kern w:val="0"/>
      <w:sz w:val="24"/>
      <w:szCs w:val="20"/>
    </w:rPr>
  </w:style>
  <w:style w:type="paragraph" w:styleId="19">
    <w:name w:val="annotation subject"/>
    <w:basedOn w:val="20"/>
    <w:next w:val="21"/>
    <w:qFormat/>
    <w:uiPriority w:val="0"/>
    <w:pPr>
      <w:tabs>
        <w:tab w:val="left" w:pos="-2848"/>
      </w:tabs>
    </w:pPr>
    <w:rPr>
      <w:rFonts w:ascii="Times New Roman" w:hAnsi="Times New Roman" w:eastAsia="宋体" w:cs="Times New Roman"/>
      <w:b/>
      <w:sz w:val="24"/>
      <w:szCs w:val="20"/>
    </w:rPr>
  </w:style>
  <w:style w:type="paragraph" w:customStyle="1" w:styleId="20">
    <w:name w:val="表格文字"/>
    <w:basedOn w:val="9"/>
    <w:qFormat/>
    <w:uiPriority w:val="0"/>
    <w:pPr>
      <w:snapToGrid/>
      <w:spacing w:line="240" w:lineRule="auto"/>
      <w:ind w:firstLine="0"/>
    </w:pPr>
    <w:rPr>
      <w:rFonts w:ascii="Times New Roman" w:hAnsi="Times New Roman" w:eastAsia="仿宋_GB2312"/>
      <w:szCs w:val="24"/>
    </w:rPr>
  </w:style>
  <w:style w:type="paragraph" w:customStyle="1" w:styleId="21">
    <w:name w:val="报告表正文"/>
    <w:basedOn w:val="1"/>
    <w:qFormat/>
    <w:uiPriority w:val="0"/>
    <w:pPr>
      <w:adjustRightInd w:val="0"/>
      <w:spacing w:line="312" w:lineRule="auto"/>
      <w:ind w:left="113" w:right="113" w:firstLine="482"/>
      <w:textAlignment w:val="baseline"/>
    </w:pPr>
    <w:rPr>
      <w:rFonts w:ascii="Times New Roman" w:hAnsi="Times New Roman" w:eastAsia="宋体" w:cs="Times New Roman"/>
      <w:kern w:val="0"/>
      <w:szCs w:val="20"/>
    </w:rPr>
  </w:style>
  <w:style w:type="paragraph" w:styleId="22">
    <w:name w:val="Body Text First Indent 2"/>
    <w:basedOn w:val="12"/>
    <w:unhideWhenUsed/>
    <w:qFormat/>
    <w:uiPriority w:val="99"/>
    <w:pPr>
      <w:spacing w:after="120" w:line="240" w:lineRule="auto"/>
      <w:ind w:left="420" w:leftChars="200" w:firstLine="420"/>
    </w:pPr>
    <w:rPr>
      <w:rFonts w:ascii="Calibri" w:hAnsi="Calibri"/>
      <w:sz w:val="21"/>
      <w:szCs w:val="22"/>
    </w:rPr>
  </w:style>
  <w:style w:type="table" w:styleId="24">
    <w:name w:val="Table Grid"/>
    <w:basedOn w:val="23"/>
    <w:qFormat/>
    <w:uiPriority w:val="0"/>
    <w:rPr>
      <w:lang w:val="en-US" w:eastAsia="zh-CN" w:bidi="ar-S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Hyperlink"/>
    <w:basedOn w:val="25"/>
    <w:qFormat/>
    <w:uiPriority w:val="0"/>
    <w:rPr>
      <w:color w:val="0000FF"/>
      <w:u w:val="single"/>
    </w:rPr>
  </w:style>
  <w:style w:type="character" w:styleId="27">
    <w:name w:val="annotation reference"/>
    <w:qFormat/>
    <w:uiPriority w:val="0"/>
    <w:rPr>
      <w:rFonts w:ascii="Times New Roman" w:hAnsi="Times New Roman" w:eastAsia="宋体" w:cs="Times New Roman"/>
      <w:sz w:val="21"/>
    </w:rPr>
  </w:style>
  <w:style w:type="paragraph" w:customStyle="1" w:styleId="28">
    <w:name w:val="xl31"/>
    <w:basedOn w:val="1"/>
    <w:qFormat/>
    <w:uiPriority w:val="0"/>
    <w:pPr>
      <w:widowControl/>
      <w:spacing w:before="100" w:beforeAutospacing="1" w:after="100" w:afterAutospacing="1"/>
      <w:jc w:val="center"/>
    </w:pPr>
    <w:rPr>
      <w:rFonts w:ascii="Times New Roman" w:hAnsi="Times New Roman" w:eastAsia="宋体" w:cs="Times New Roman"/>
      <w:kern w:val="0"/>
      <w:sz w:val="24"/>
      <w:szCs w:val="20"/>
    </w:rPr>
  </w:style>
  <w:style w:type="paragraph" w:customStyle="1" w:styleId="29">
    <w:name w:val="Z正文内容"/>
    <w:basedOn w:val="1"/>
    <w:link w:val="42"/>
    <w:qFormat/>
    <w:uiPriority w:val="0"/>
    <w:pPr>
      <w:spacing w:line="360" w:lineRule="auto"/>
      <w:ind w:firstLine="720" w:firstLineChars="200"/>
      <w:jc w:val="left"/>
    </w:pPr>
    <w:rPr>
      <w:rFonts w:ascii="Times New Roman" w:hAnsi="Times New Roman" w:eastAsia="宋体"/>
      <w:sz w:val="24"/>
    </w:rPr>
  </w:style>
  <w:style w:type="paragraph" w:customStyle="1" w:styleId="30">
    <w:name w:val="正文（首行缩进2字）"/>
    <w:basedOn w:val="1"/>
    <w:qFormat/>
    <w:uiPriority w:val="0"/>
    <w:pPr>
      <w:spacing w:line="360" w:lineRule="auto"/>
      <w:ind w:firstLine="560" w:firstLineChars="200"/>
    </w:pPr>
    <w:rPr>
      <w:rFonts w:ascii="宋体" w:hAnsi="宋体"/>
      <w:color w:val="000000"/>
      <w:sz w:val="24"/>
      <w:szCs w:val="28"/>
    </w:rPr>
  </w:style>
  <w:style w:type="paragraph" w:customStyle="1" w:styleId="31">
    <w:name w:val="Z图表号"/>
    <w:basedOn w:val="1"/>
    <w:next w:val="29"/>
    <w:link w:val="46"/>
    <w:qFormat/>
    <w:uiPriority w:val="0"/>
    <w:pPr>
      <w:spacing w:line="240" w:lineRule="auto"/>
      <w:ind w:firstLine="0" w:firstLineChars="0"/>
      <w:jc w:val="center"/>
    </w:pPr>
    <w:rPr>
      <w:rFonts w:ascii="Times New Roman" w:hAnsi="Times New Roman" w:eastAsia="宋体"/>
      <w:b/>
    </w:rPr>
  </w:style>
  <w:style w:type="paragraph" w:customStyle="1" w:styleId="32">
    <w:name w:val="Z一级标题"/>
    <w:basedOn w:val="1"/>
    <w:next w:val="33"/>
    <w:qFormat/>
    <w:uiPriority w:val="0"/>
    <w:pPr>
      <w:spacing w:line="360" w:lineRule="auto"/>
      <w:jc w:val="left"/>
      <w:outlineLvl w:val="1"/>
    </w:pPr>
    <w:rPr>
      <w:rFonts w:ascii="Times New Roman" w:hAnsi="Times New Roman" w:eastAsia="宋体"/>
      <w:b/>
      <w:color w:val="auto"/>
      <w:sz w:val="24"/>
    </w:rPr>
  </w:style>
  <w:style w:type="paragraph" w:customStyle="1" w:styleId="33">
    <w:name w:val="Z二级标题"/>
    <w:basedOn w:val="1"/>
    <w:next w:val="29"/>
    <w:qFormat/>
    <w:uiPriority w:val="0"/>
    <w:pPr>
      <w:spacing w:line="360" w:lineRule="auto"/>
      <w:ind w:firstLine="480" w:firstLineChars="200"/>
      <w:jc w:val="left"/>
    </w:pPr>
    <w:rPr>
      <w:rFonts w:ascii="Times New Roman" w:hAnsi="Times New Roman" w:eastAsia="宋体" w:cs="宋体"/>
      <w:b/>
      <w:sz w:val="24"/>
    </w:rPr>
  </w:style>
  <w:style w:type="paragraph" w:customStyle="1" w:styleId="34">
    <w:name w:val="张_gege的正文文本"/>
    <w:qFormat/>
    <w:uiPriority w:val="99"/>
    <w:pPr>
      <w:widowControl w:val="0"/>
      <w:spacing w:line="360" w:lineRule="auto"/>
      <w:ind w:firstLine="200" w:firstLineChars="200"/>
    </w:pPr>
    <w:rPr>
      <w:rFonts w:ascii="Times New Roman" w:hAnsi="Times New Roman" w:cs="Times New Roman" w:eastAsiaTheme="minorEastAsia"/>
      <w:bCs/>
      <w:color w:val="000000" w:themeColor="text1"/>
      <w:kern w:val="2"/>
      <w:sz w:val="24"/>
      <w:lang w:val="en-US" w:eastAsia="zh-CN" w:bidi="ar-SA"/>
      <w14:textFill>
        <w14:solidFill>
          <w14:schemeClr w14:val="tx1"/>
        </w14:solidFill>
      </w14:textFill>
    </w:rPr>
  </w:style>
  <w:style w:type="paragraph" w:customStyle="1" w:styleId="35">
    <w:name w:val="张_gege的表头和图号"/>
    <w:next w:val="1"/>
    <w:qFormat/>
    <w:uiPriority w:val="99"/>
    <w:pPr>
      <w:spacing w:before="120" w:beforeLines="50"/>
      <w:jc w:val="center"/>
    </w:pPr>
    <w:rPr>
      <w:rFonts w:ascii="Times New Roman" w:hAnsi="Times New Roman" w:eastAsia="宋体" w:cs="Arial"/>
      <w:b/>
      <w:kern w:val="2"/>
      <w:sz w:val="21"/>
      <w:szCs w:val="24"/>
      <w:lang w:val="en-US" w:eastAsia="zh-CN" w:bidi="ar-SA"/>
    </w:rPr>
  </w:style>
  <w:style w:type="paragraph" w:customStyle="1" w:styleId="36">
    <w:name w:val="表格"/>
    <w:basedOn w:val="37"/>
    <w:next w:val="1"/>
    <w:qFormat/>
    <w:uiPriority w:val="0"/>
    <w:pPr>
      <w:adjustRightInd w:val="0"/>
      <w:snapToGrid w:val="0"/>
      <w:spacing w:beforeLines="10" w:afterLines="10" w:line="259" w:lineRule="auto"/>
      <w:jc w:val="center"/>
    </w:pPr>
    <w:rPr>
      <w:rFonts w:ascii="宋体"/>
      <w:kern w:val="0"/>
      <w:szCs w:val="20"/>
    </w:rPr>
  </w:style>
  <w:style w:type="paragraph" w:customStyle="1" w:styleId="37">
    <w:name w:val="表格内容数据报告"/>
    <w:basedOn w:val="1"/>
    <w:qFormat/>
    <w:uiPriority w:val="0"/>
    <w:pPr>
      <w:jc w:val="center"/>
      <w:textAlignment w:val="baseline"/>
    </w:pPr>
    <w:rPr>
      <w:rFonts w:ascii="Calibri" w:hAnsi="Calibri" w:eastAsia="宋体" w:cs="黑体"/>
      <w:kern w:val="0"/>
      <w:sz w:val="18"/>
      <w:szCs w:val="20"/>
    </w:rPr>
  </w:style>
  <w:style w:type="paragraph" w:customStyle="1" w:styleId="38">
    <w:name w:val="表头"/>
    <w:basedOn w:val="39"/>
    <w:next w:val="1"/>
    <w:qFormat/>
    <w:uiPriority w:val="0"/>
    <w:pPr>
      <w:adjustRightInd w:val="0"/>
      <w:snapToGrid w:val="0"/>
      <w:spacing w:before="100" w:beforeLines="100"/>
      <w:ind w:firstLine="200" w:firstLineChars="200"/>
    </w:pPr>
    <w:rPr>
      <w:b/>
      <w:sz w:val="22"/>
    </w:rPr>
  </w:style>
  <w:style w:type="paragraph" w:customStyle="1" w:styleId="39">
    <w:name w:val="表文"/>
    <w:basedOn w:val="11"/>
    <w:next w:val="9"/>
    <w:qFormat/>
    <w:uiPriority w:val="0"/>
    <w:pPr>
      <w:spacing w:before="62" w:beforeLines="20" w:after="62" w:afterLines="20" w:line="280" w:lineRule="exact"/>
      <w:jc w:val="center"/>
    </w:pPr>
    <w:rPr>
      <w:rFonts w:ascii="黑体" w:hAnsi="宋体"/>
    </w:rPr>
  </w:style>
  <w:style w:type="paragraph" w:customStyle="1" w:styleId="40">
    <w:name w:val="表格格式"/>
    <w:basedOn w:val="1"/>
    <w:qFormat/>
    <w:uiPriority w:val="0"/>
    <w:pPr>
      <w:widowControl/>
      <w:adjustRightInd w:val="0"/>
      <w:snapToGrid w:val="0"/>
      <w:spacing w:after="200"/>
      <w:jc w:val="center"/>
    </w:pPr>
    <w:rPr>
      <w:rFonts w:ascii="Tahoma" w:hAnsi="Tahoma" w:eastAsia="微软雅黑"/>
      <w:kern w:val="0"/>
    </w:rPr>
  </w:style>
  <w:style w:type="character" w:customStyle="1" w:styleId="41">
    <w:name w:val="15"/>
    <w:qFormat/>
    <w:uiPriority w:val="0"/>
    <w:rPr>
      <w:rFonts w:hint="default" w:ascii="Times New Roman" w:hAnsi="Times New Roman" w:cs="Times New Roman"/>
    </w:rPr>
  </w:style>
  <w:style w:type="character" w:customStyle="1" w:styleId="42">
    <w:name w:val="Z正文内容 Char"/>
    <w:link w:val="29"/>
    <w:qFormat/>
    <w:uiPriority w:val="0"/>
    <w:rPr>
      <w:rFonts w:ascii="Times New Roman" w:hAnsi="Times New Roman" w:eastAsia="宋体"/>
      <w:sz w:val="24"/>
    </w:rPr>
  </w:style>
  <w:style w:type="paragraph" w:customStyle="1" w:styleId="43">
    <w:name w:val="Z表内文字"/>
    <w:basedOn w:val="1"/>
    <w:next w:val="29"/>
    <w:qFormat/>
    <w:uiPriority w:val="0"/>
    <w:pPr>
      <w:adjustRightInd w:val="0"/>
      <w:snapToGrid w:val="0"/>
      <w:spacing w:beforeLines="0" w:afterLines="0"/>
      <w:jc w:val="center"/>
    </w:pPr>
    <w:rPr>
      <w:rFonts w:ascii="Times New Roman" w:hAnsi="Times New Roman" w:eastAsia="宋体"/>
      <w:bCs/>
      <w:szCs w:val="21"/>
    </w:rPr>
  </w:style>
  <w:style w:type="paragraph" w:customStyle="1" w:styleId="44">
    <w:name w:val="小四  缩进2 行距24"/>
    <w:basedOn w:val="1"/>
    <w:qFormat/>
    <w:uiPriority w:val="0"/>
    <w:pPr>
      <w:spacing w:line="480" w:lineRule="exact"/>
      <w:ind w:firstLine="480" w:firstLineChars="200"/>
    </w:pPr>
    <w:rPr>
      <w:rFonts w:cs="宋体"/>
      <w:sz w:val="24"/>
      <w:szCs w:val="20"/>
    </w:rPr>
  </w:style>
  <w:style w:type="paragraph" w:customStyle="1" w:styleId="45">
    <w:name w:val="小四  缩进5 行距24"/>
    <w:basedOn w:val="1"/>
    <w:qFormat/>
    <w:uiPriority w:val="0"/>
    <w:pPr>
      <w:spacing w:before="20" w:beforeLines="20" w:after="20" w:afterLines="20" w:line="480" w:lineRule="exact"/>
      <w:ind w:left="105" w:leftChars="50" w:right="105" w:rightChars="50" w:firstLine="1200" w:firstLineChars="500"/>
    </w:pPr>
    <w:rPr>
      <w:sz w:val="24"/>
    </w:rPr>
  </w:style>
  <w:style w:type="character" w:customStyle="1" w:styleId="46">
    <w:name w:val="Z图表号 Char"/>
    <w:link w:val="31"/>
    <w:qFormat/>
    <w:uiPriority w:val="0"/>
    <w:rPr>
      <w:rFonts w:ascii="Times New Roman" w:hAnsi="Times New Roman" w:eastAsia="宋体"/>
      <w:b/>
    </w:rPr>
  </w:style>
  <w:style w:type="paragraph" w:customStyle="1" w:styleId="47">
    <w:name w:val="表格1"/>
    <w:basedOn w:val="48"/>
    <w:qFormat/>
    <w:uiPriority w:val="0"/>
    <w:pPr>
      <w:spacing w:line="240" w:lineRule="auto"/>
      <w:ind w:firstLine="0" w:firstLineChars="0"/>
      <w:jc w:val="center"/>
    </w:pPr>
    <w:rPr>
      <w:sz w:val="21"/>
      <w:szCs w:val="21"/>
    </w:rPr>
  </w:style>
  <w:style w:type="paragraph" w:customStyle="1" w:styleId="48">
    <w:name w:val="表格格式1-2"/>
    <w:basedOn w:val="1"/>
    <w:qFormat/>
    <w:uiPriority w:val="0"/>
    <w:pPr>
      <w:jc w:val="center"/>
    </w:pPr>
    <w:rPr>
      <w:rFonts w:ascii="Times New Roman" w:hAnsi="Times New Roman"/>
      <w:szCs w:val="21"/>
    </w:rPr>
  </w:style>
  <w:style w:type="paragraph" w:customStyle="1" w:styleId="49">
    <w:name w:val="表格样式"/>
    <w:basedOn w:val="1"/>
    <w:qFormat/>
    <w:uiPriority w:val="0"/>
    <w:pPr>
      <w:spacing w:line="320" w:lineRule="exact"/>
      <w:contextualSpacing/>
    </w:pPr>
    <w:rPr>
      <w:sz w:val="22"/>
    </w:rPr>
  </w:style>
  <w:style w:type="paragraph" w:customStyle="1" w:styleId="50">
    <w:name w:val="Table Paragraph"/>
    <w:basedOn w:val="51"/>
    <w:next w:val="51"/>
    <w:qFormat/>
    <w:uiPriority w:val="0"/>
    <w:pPr>
      <w:spacing w:line="240" w:lineRule="auto"/>
      <w:ind w:firstLine="0" w:firstLineChars="0"/>
    </w:pPr>
    <w:rPr>
      <w:rFonts w:ascii="Calibri" w:hAnsi="Calibri" w:cs="Times New Roman"/>
      <w:sz w:val="21"/>
      <w:szCs w:val="21"/>
    </w:rPr>
  </w:style>
  <w:style w:type="paragraph" w:customStyle="1" w:styleId="51">
    <w:name w:val="Default"/>
    <w:basedOn w:val="52"/>
    <w:next w:val="8"/>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52">
    <w:name w:val="纯文本1"/>
    <w:basedOn w:val="1"/>
    <w:qFormat/>
    <w:uiPriority w:val="0"/>
    <w:rPr>
      <w:rFonts w:ascii="宋体" w:hAnsi="Courier New"/>
      <w:szCs w:val="21"/>
    </w:rPr>
  </w:style>
  <w:style w:type="paragraph" w:customStyle="1" w:styleId="53">
    <w:name w:val="标题 段落4级"/>
    <w:qFormat/>
    <w:uiPriority w:val="0"/>
    <w:pPr>
      <w:spacing w:line="500" w:lineRule="exact"/>
      <w:outlineLvl w:val="3"/>
    </w:pPr>
    <w:rPr>
      <w:rFonts w:ascii="Times New Roman" w:hAnsi="Times New Roman" w:eastAsia="仿宋_GB2312" w:cs="Calibri"/>
      <w:b/>
      <w:kern w:val="2"/>
      <w:sz w:val="28"/>
      <w:szCs w:val="24"/>
      <w:lang w:val="en-US" w:eastAsia="zh-CN" w:bidi="ar-SA"/>
    </w:rPr>
  </w:style>
  <w:style w:type="paragraph" w:customStyle="1" w:styleId="54">
    <w:name w:val="bw1"/>
    <w:basedOn w:val="1"/>
    <w:qFormat/>
    <w:uiPriority w:val="0"/>
    <w:pPr>
      <w:adjustRightInd w:val="0"/>
      <w:snapToGrid w:val="0"/>
      <w:spacing w:line="240" w:lineRule="atLeast"/>
      <w:ind w:left="6" w:right="6"/>
      <w:jc w:val="center"/>
    </w:pPr>
    <w:rPr>
      <w:rFonts w:ascii="Arial Narrow" w:hAnsi="Arial Narrow" w:eastAsia="楷体_GB2312"/>
      <w:color w:val="000000"/>
      <w:spacing w:val="-2"/>
      <w:w w:val="90"/>
      <w:sz w:val="20"/>
      <w:szCs w:val="18"/>
    </w:rPr>
  </w:style>
  <w:style w:type="paragraph" w:customStyle="1" w:styleId="55">
    <w:name w:val="表格字 居中"/>
    <w:basedOn w:val="1"/>
    <w:qFormat/>
    <w:uiPriority w:val="0"/>
    <w:pPr>
      <w:snapToGrid w:val="0"/>
      <w:spacing w:before="10" w:after="10"/>
      <w:jc w:val="center"/>
    </w:pPr>
    <w:rPr>
      <w:szCs w:val="21"/>
    </w:rPr>
  </w:style>
  <w:style w:type="paragraph" w:customStyle="1" w:styleId="56">
    <w:name w:val="L正文"/>
    <w:basedOn w:val="1"/>
    <w:qFormat/>
    <w:uiPriority w:val="0"/>
    <w:pPr>
      <w:adjustRightInd w:val="0"/>
      <w:snapToGrid w:val="0"/>
      <w:spacing w:line="360" w:lineRule="auto"/>
      <w:ind w:firstLine="200" w:firstLineChars="200"/>
      <w:jc w:val="left"/>
    </w:pPr>
    <w:rPr>
      <w:rFonts w:ascii="Times New Roman" w:hAnsi="Times New Roman"/>
      <w:sz w:val="24"/>
    </w:rPr>
  </w:style>
  <w:style w:type="paragraph" w:customStyle="1" w:styleId="57">
    <w:name w:val="内表表文"/>
    <w:basedOn w:val="1"/>
    <w:qFormat/>
    <w:uiPriority w:val="0"/>
    <w:pPr>
      <w:spacing w:before="100" w:beforeAutospacing="1" w:line="280" w:lineRule="exact"/>
      <w:jc w:val="center"/>
    </w:pPr>
    <w:rPr>
      <w:rFonts w:ascii="Times New Roman" w:hAnsi="Times New Roman"/>
      <w:szCs w:val="21"/>
    </w:rPr>
  </w:style>
  <w:style w:type="paragraph" w:customStyle="1" w:styleId="58">
    <w:name w:val="小表格"/>
    <w:basedOn w:val="1"/>
    <w:qFormat/>
    <w:uiPriority w:val="0"/>
    <w:pPr>
      <w:spacing w:line="320" w:lineRule="exact"/>
      <w:jc w:val="center"/>
    </w:pPr>
  </w:style>
  <w:style w:type="paragraph" w:customStyle="1" w:styleId="59">
    <w:name w:val="表体"/>
    <w:link w:val="66"/>
    <w:qFormat/>
    <w:uiPriority w:val="0"/>
    <w:pPr>
      <w:spacing w:line="240" w:lineRule="atLeast"/>
      <w:jc w:val="center"/>
    </w:pPr>
    <w:rPr>
      <w:rFonts w:ascii="Times New Roman" w:hAnsi="Times New Roman" w:eastAsia="宋体" w:cs="Times New Roman"/>
      <w:color w:val="000080"/>
      <w:kern w:val="2"/>
      <w:sz w:val="21"/>
      <w:szCs w:val="24"/>
      <w:lang w:val="en-US" w:eastAsia="zh-CN" w:bidi="ar-SA"/>
    </w:rPr>
  </w:style>
  <w:style w:type="paragraph" w:customStyle="1" w:styleId="60">
    <w:name w:val="p0"/>
    <w:basedOn w:val="1"/>
    <w:qFormat/>
    <w:uiPriority w:val="0"/>
    <w:pPr>
      <w:widowControl/>
    </w:pPr>
    <w:rPr>
      <w:rFonts w:ascii="Times New Roman" w:hAnsi="Times New Roman" w:cs="Times New Roman"/>
      <w:kern w:val="0"/>
      <w:szCs w:val="21"/>
    </w:rPr>
  </w:style>
  <w:style w:type="paragraph" w:styleId="61">
    <w:name w:val="List Paragraph"/>
    <w:basedOn w:val="1"/>
    <w:unhideWhenUsed/>
    <w:qFormat/>
    <w:uiPriority w:val="0"/>
    <w:pPr>
      <w:ind w:firstLine="420" w:firstLineChars="200"/>
    </w:pPr>
  </w:style>
  <w:style w:type="paragraph" w:customStyle="1" w:styleId="62">
    <w:name w:val="Z表一内容"/>
    <w:basedOn w:val="1"/>
    <w:qFormat/>
    <w:uiPriority w:val="0"/>
    <w:pPr>
      <w:jc w:val="center"/>
    </w:pPr>
    <w:rPr>
      <w:rFonts w:eastAsia="宋体"/>
      <w:color w:val="000000"/>
      <w:sz w:val="24"/>
    </w:rPr>
  </w:style>
  <w:style w:type="paragraph" w:customStyle="1" w:styleId="63">
    <w:name w:val="Default2"/>
    <w:qFormat/>
    <w:uiPriority w:val="0"/>
    <w:pPr>
      <w:widowControl w:val="0"/>
      <w:autoSpaceDE w:val="0"/>
      <w:autoSpaceDN w:val="0"/>
      <w:adjustRightInd w:val="0"/>
    </w:pPr>
    <w:rPr>
      <w:rFonts w:ascii="Tahoma" w:hAnsi="Tahoma" w:eastAsia="宋体" w:cs="Tahoma"/>
      <w:color w:val="000000"/>
      <w:sz w:val="24"/>
      <w:szCs w:val="24"/>
      <w:lang w:val="en-US" w:eastAsia="zh-CN" w:bidi="ar-SA"/>
    </w:rPr>
  </w:style>
  <w:style w:type="paragraph" w:customStyle="1" w:styleId="64">
    <w:name w:val="Table Text"/>
    <w:basedOn w:val="1"/>
    <w:semiHidden/>
    <w:qFormat/>
    <w:uiPriority w:val="0"/>
    <w:rPr>
      <w:rFonts w:ascii="宋体" w:hAnsi="宋体" w:eastAsia="宋体" w:cs="宋体"/>
      <w:sz w:val="28"/>
      <w:szCs w:val="28"/>
      <w:lang w:val="en-US" w:eastAsia="en-US" w:bidi="ar-SA"/>
    </w:rPr>
  </w:style>
  <w:style w:type="table" w:customStyle="1" w:styleId="65">
    <w:name w:val="Table Normal"/>
    <w:semiHidden/>
    <w:unhideWhenUsed/>
    <w:qFormat/>
    <w:uiPriority w:val="0"/>
    <w:tblPr>
      <w:tblCellMar>
        <w:top w:w="0" w:type="dxa"/>
        <w:left w:w="0" w:type="dxa"/>
        <w:bottom w:w="0" w:type="dxa"/>
        <w:right w:w="0" w:type="dxa"/>
      </w:tblCellMar>
    </w:tblPr>
  </w:style>
  <w:style w:type="character" w:customStyle="1" w:styleId="66">
    <w:name w:val="表体 Char"/>
    <w:link w:val="59"/>
    <w:qFormat/>
    <w:uiPriority w:val="0"/>
    <w:rPr>
      <w:rFonts w:ascii="Times New Roman" w:hAnsi="Times New Roman" w:eastAsia="宋体" w:cs="Times New Roman"/>
      <w:color w:val="000080"/>
      <w:kern w:val="2"/>
      <w:sz w:val="21"/>
      <w:szCs w:val="24"/>
      <w:lang w:val="en-US" w:eastAsia="zh-CN" w:bidi="ar-SA"/>
    </w:rPr>
  </w:style>
  <w:style w:type="paragraph" w:customStyle="1" w:styleId="67">
    <w:name w:val="小四  居中 加粗 1.3倍"/>
    <w:basedOn w:val="1"/>
    <w:next w:val="1"/>
    <w:autoRedefine/>
    <w:qFormat/>
    <w:uiPriority w:val="0"/>
    <w:pPr>
      <w:spacing w:before="30" w:beforeLines="30" w:after="10" w:afterLines="10" w:line="312" w:lineRule="auto"/>
      <w:ind w:left="105" w:leftChars="50" w:right="105" w:rightChars="50"/>
      <w:jc w:val="center"/>
    </w:pPr>
    <w:rPr>
      <w:rFonts w:ascii="Times New Roman" w:hAnsi="Times New Roman" w:eastAsia="仿宋_GB2312" w:cs="Times New Roman"/>
      <w:b/>
      <w:sz w:val="24"/>
      <w:szCs w:val="22"/>
    </w:rPr>
  </w:style>
  <w:style w:type="paragraph" w:customStyle="1" w:styleId="68">
    <w:name w:val="小四 加粗 行距 24 磅"/>
    <w:basedOn w:val="1"/>
    <w:unhideWhenUsed/>
    <w:qFormat/>
    <w:uiPriority w:val="99"/>
    <w:pPr>
      <w:spacing w:beforeLines="0" w:afterLines="0" w:line="480" w:lineRule="exact"/>
      <w:ind w:firstLine="482" w:firstLineChars="200"/>
    </w:pPr>
    <w:rPr>
      <w:rFonts w:hint="eastAsia"/>
      <w:b/>
      <w:sz w:val="24"/>
    </w:rPr>
  </w:style>
  <w:style w:type="paragraph" w:customStyle="1" w:styleId="69">
    <w:name w:val="小四  缩进2 行距1.5"/>
    <w:basedOn w:val="1"/>
    <w:qFormat/>
    <w:uiPriority w:val="0"/>
    <w:pPr>
      <w:spacing w:before="30" w:beforeLines="30"/>
      <w:ind w:left="105" w:leftChars="50" w:right="105" w:rightChars="50" w:firstLine="480"/>
    </w:pPr>
    <w:rPr>
      <w:rFonts w:ascii="Times New Roman" w:hAnsi="Times New Roman" w:eastAsia="宋体" w:cs="Times New Roman"/>
    </w:rPr>
  </w:style>
  <w:style w:type="paragraph" w:customStyle="1" w:styleId="70">
    <w:name w:val="小四  居中 加粗"/>
    <w:basedOn w:val="1"/>
    <w:next w:val="1"/>
    <w:qFormat/>
    <w:uiPriority w:val="0"/>
    <w:pPr>
      <w:spacing w:before="40" w:beforeLines="40"/>
      <w:jc w:val="center"/>
    </w:pPr>
    <w:rPr>
      <w:rFonts w:ascii="Times New Roman" w:hAnsi="Times New Roman" w:eastAsia="宋体" w:cs="Times New Roman"/>
      <w:b/>
    </w:rPr>
  </w:style>
  <w:style w:type="paragraph" w:customStyle="1" w:styleId="71">
    <w:name w:val="表字"/>
    <w:basedOn w:val="1"/>
    <w:qFormat/>
    <w:uiPriority w:val="0"/>
    <w:pPr>
      <w:spacing w:line="360" w:lineRule="auto"/>
      <w:jc w:val="center"/>
    </w:pPr>
    <w:rPr>
      <w:rFonts w:cs="宋体"/>
      <w:szCs w:val="21"/>
    </w:rPr>
  </w:style>
  <w:style w:type="paragraph" w:customStyle="1" w:styleId="72">
    <w:name w:val="环评正文"/>
    <w:basedOn w:val="1"/>
    <w:qFormat/>
    <w:uiPriority w:val="0"/>
    <w:pPr>
      <w:spacing w:line="360" w:lineRule="auto"/>
      <w:ind w:firstLine="200" w:firstLineChars="200"/>
    </w:pPr>
  </w:style>
  <w:style w:type="paragraph" w:customStyle="1" w:styleId="73">
    <w:name w:val="样式2"/>
    <w:basedOn w:val="4"/>
    <w:next w:val="1"/>
    <w:qFormat/>
    <w:uiPriority w:val="0"/>
    <w:rPr>
      <w:rFonts w:ascii="Calibri" w:hAnsi="Calibri"/>
      <w:sz w:val="30"/>
      <w:szCs w:val="22"/>
    </w:rPr>
  </w:style>
  <w:style w:type="paragraph" w:customStyle="1" w:styleId="74">
    <w:name w:val="小表中格式"/>
    <w:basedOn w:val="75"/>
    <w:qFormat/>
    <w:uiPriority w:val="0"/>
    <w:pPr>
      <w:kinsoku w:val="0"/>
      <w:overflowPunct w:val="0"/>
      <w:autoSpaceDE w:val="0"/>
      <w:autoSpaceDN w:val="0"/>
      <w:spacing w:line="360" w:lineRule="exact"/>
      <w:jc w:val="left"/>
    </w:pPr>
    <w:rPr>
      <w:w w:val="100"/>
      <w:sz w:val="21"/>
      <w:szCs w:val="20"/>
    </w:rPr>
  </w:style>
  <w:style w:type="paragraph" w:customStyle="1" w:styleId="75">
    <w:name w:val="样式 四号 左侧:  1.53 厘米"/>
    <w:basedOn w:val="1"/>
    <w:qFormat/>
    <w:uiPriority w:val="0"/>
    <w:pPr>
      <w:adjustRightInd w:val="0"/>
    </w:pPr>
    <w:rPr>
      <w:w w:val="90"/>
      <w:sz w:val="28"/>
      <w:szCs w:val="28"/>
    </w:rPr>
  </w:style>
  <w:style w:type="character" w:customStyle="1" w:styleId="76">
    <w:name w:val="font21"/>
    <w:basedOn w:val="25"/>
    <w:qFormat/>
    <w:uiPriority w:val="0"/>
    <w:rPr>
      <w:rFonts w:hint="default" w:ascii="Times New Roman" w:hAnsi="Times New Roman" w:cs="Times New Roman"/>
      <w:color w:val="000000"/>
      <w:sz w:val="24"/>
      <w:szCs w:val="24"/>
      <w:u w:val="none"/>
    </w:rPr>
  </w:style>
  <w:style w:type="character" w:customStyle="1" w:styleId="77">
    <w:name w:val="font31"/>
    <w:basedOn w:val="25"/>
    <w:qFormat/>
    <w:uiPriority w:val="0"/>
    <w:rPr>
      <w:rFonts w:hint="default" w:ascii="Times New Roman" w:hAnsi="Times New Roman" w:cs="Times New Roman"/>
      <w:color w:val="000000"/>
      <w:sz w:val="24"/>
      <w:szCs w:val="24"/>
      <w:u w:val="none"/>
      <w:vertAlign w:val="superscript"/>
    </w:rPr>
  </w:style>
  <w:style w:type="paragraph" w:customStyle="1" w:styleId="78">
    <w:name w:val="zwbtt1"/>
    <w:basedOn w:val="1"/>
    <w:autoRedefine/>
    <w:qFormat/>
    <w:uiPriority w:val="0"/>
    <w:pPr>
      <w:autoSpaceDE w:val="0"/>
      <w:autoSpaceDN w:val="0"/>
      <w:adjustRightInd w:val="0"/>
      <w:snapToGrid w:val="0"/>
      <w:spacing w:line="300" w:lineRule="exact"/>
      <w:ind w:firstLine="200" w:firstLineChars="200"/>
      <w:jc w:val="left"/>
    </w:pPr>
    <w:rPr>
      <w:rFonts w:cs="宋体"/>
      <w:b/>
      <w:kern w:val="0"/>
      <w:position w:val="-2"/>
      <w:szCs w:val="21"/>
    </w:rPr>
  </w:style>
  <w:style w:type="paragraph" w:customStyle="1" w:styleId="79">
    <w:name w:val="样式 正文缩进正文缩进2正文缩进 Char Char正文缩进 Char Char Char Char正文缩进 Char ..."/>
    <w:basedOn w:val="9"/>
    <w:qFormat/>
    <w:uiPriority w:val="0"/>
    <w:pPr>
      <w:tabs>
        <w:tab w:val="left" w:pos="540"/>
        <w:tab w:val="left" w:pos="1050"/>
        <w:tab w:val="left" w:pos="1260"/>
        <w:tab w:val="left" w:pos="1800"/>
      </w:tabs>
      <w:spacing w:line="360" w:lineRule="auto"/>
      <w:ind w:firstLine="200"/>
    </w:pPr>
    <w:rPr>
      <w:rFonts w:ascii="Times New Roman" w:hAnsi="Times New Roman" w:eastAsia="宋体" w:cs="宋体"/>
      <w:sz w:val="24"/>
    </w:rPr>
  </w:style>
  <w:style w:type="paragraph" w:customStyle="1" w:styleId="80">
    <w:name w:val="正文1"/>
    <w:basedOn w:val="1"/>
    <w:qFormat/>
    <w:uiPriority w:val="0"/>
    <w:pPr>
      <w:adjustRightInd w:val="0"/>
      <w:spacing w:line="315" w:lineRule="atLeast"/>
    </w:pPr>
    <w:rPr>
      <w:rFonts w:hint="eastAsia" w:ascii="宋体" w:eastAsia="宋体"/>
      <w:kern w:val="0"/>
      <w:sz w:val="28"/>
      <w:szCs w:val="20"/>
    </w:rPr>
  </w:style>
  <w:style w:type="paragraph" w:customStyle="1" w:styleId="81">
    <w:name w:val="表内字"/>
    <w:basedOn w:val="36"/>
    <w:qFormat/>
    <w:uiPriority w:val="0"/>
    <w:pPr>
      <w:snapToGrid w:val="0"/>
    </w:pPr>
    <w:rPr>
      <w:kern w:val="0"/>
      <w:szCs w:val="21"/>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wmf"/><Relationship Id="rId4" Type="http://schemas.openxmlformats.org/officeDocument/2006/relationships/oleObject" Target="embeddings/oleObject1.bin"/><Relationship Id="rId3" Type="http://schemas.openxmlformats.org/officeDocument/2006/relationships/theme" Target="theme/theme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36</Pages>
  <Words>5432</Words>
  <Characters>6607</Characters>
  <Lines>0</Lines>
  <Paragraphs>0</Paragraphs>
  <TotalTime>0</TotalTime>
  <ScaleCrop>false</ScaleCrop>
  <LinksUpToDate>false</LinksUpToDate>
  <CharactersWithSpaces>6697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2025-08-27T12:37:00Z</dcterms:created>
  <dc:creator>周熊伟</dc:creator>
  <cp:lastModifiedBy>徐国庆</cp:lastModifiedBy>
  <dcterms:modified xsi:type="dcterms:W3CDTF">2026-03-19T21:47:28Z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82E0701D180F44BFB7E5C29E7F61AE8A_13</vt:lpwstr>
  </property>
  <property fmtid="{D5CDD505-2E9C-101B-9397-08002B2CF9AE}" pid="4" name="KSOTemplateDocerSaveRecord">
    <vt:lpwstr>eyJoZGlkIjoiYzk3YTU0NmY3NWI5OGMzNjdhMjFmZjUzZDdlNTExYTEiLCJ1c2VySWQiOiIxNTE3OTY0Mzg0In0=</vt:lpwstr>
  </property>
</Properties>
</file>